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32"/>
          <w:szCs w:val="32"/>
        </w:rPr>
        <w:t xml:space="preserve">IFT 542 — WEB APPLICATION SECURITY</w:t>
      </w:r>
    </w:p>
    <w:p>
      <w:pPr>
        <w:spacing w:before="200"/>
        <w:jc w:val="center"/>
      </w:pPr>
      <w:r>
        <w:rPr>
          <w:rFonts w:ascii="Calibri" w:cs="Calibri" w:eastAsia="Calibri" w:hAnsi="Calibri"/>
          <w:sz w:val="26"/>
          <w:szCs w:val="26"/>
        </w:rPr>
        <w:t xml:space="preserve">Security Assessment and Hardening of a Student Registration Web Application</w:t>
      </w:r>
    </w:p>
    <w:p>
      <w:pPr>
        <w:spacing w:before="400"/>
        <w:jc w:val="center"/>
      </w:pPr>
      <w:r>
        <w:rPr>
          <w:rFonts w:ascii="Calibri" w:cs="Calibri" w:eastAsia="Calibri" w:hAnsi="Calibri"/>
          <w:i/>
          <w:iCs/>
          <w:sz w:val="24"/>
          <w:szCs w:val="24"/>
        </w:rPr>
        <w:t xml:space="preserve">Technical Report</w:t>
      </w:r>
    </w:p>
    <w:p>
      <w:pPr>
        <w:spacing w:before="1200"/>
        <w:jc w:val="center"/>
      </w:pPr>
      <w:r>
        <w:rPr>
          <w:rFonts w:ascii="Calibri" w:cs="Calibri" w:eastAsia="Calibri" w:hAnsi="Calibri"/>
          <w:sz w:val="22"/>
          <w:szCs w:val="22"/>
        </w:rPr>
        <w:t xml:space="preserve">Federal University of Technology, Minna</w:t>
      </w:r>
    </w:p>
    <w:p>
      <w:pPr>
        <w:spacing w:before="60"/>
        <w:jc w:val="center"/>
      </w:pPr>
      <w:r>
        <w:rPr>
          <w:rFonts w:ascii="Calibri" w:cs="Calibri" w:eastAsia="Calibri" w:hAnsi="Calibri"/>
          <w:sz w:val="22"/>
          <w:szCs w:val="22"/>
        </w:rPr>
        <w:t xml:space="preserve">School of Information and Communication Technology</w:t>
      </w:r>
    </w:p>
    <w:p>
      <w:pPr>
        <w:spacing w:before="60"/>
        <w:jc w:val="center"/>
      </w:pPr>
      <w:r>
        <w:rPr>
          <w:rFonts w:ascii="Calibri" w:cs="Calibri" w:eastAsia="Calibri" w:hAnsi="Calibri"/>
          <w:sz w:val="22"/>
          <w:szCs w:val="22"/>
        </w:rPr>
        <w:t xml:space="preserve">Department of Information Technology</w:t>
      </w:r>
    </w:p>
    <w:p>
      <w:pPr>
        <w:spacing w:before="1200"/>
        <w:jc w:val="center"/>
      </w:pPr>
      <w:r>
        <w:rPr>
          <w:rFonts w:ascii="Calibri" w:cs="Calibri" w:eastAsia="Calibri" w:hAnsi="Calibri"/>
          <w:sz w:val="22"/>
          <w:szCs w:val="22"/>
        </w:rPr>
        <w:t xml:space="preserve">Name: _______________________________</w:t>
      </w:r>
    </w:p>
    <w:p>
      <w:pPr>
        <w:spacing w:before="200"/>
        <w:jc w:val="center"/>
      </w:pPr>
      <w:r>
        <w:rPr>
          <w:rFonts w:ascii="Calibri" w:cs="Calibri" w:eastAsia="Calibri" w:hAnsi="Calibri"/>
          <w:sz w:val="22"/>
          <w:szCs w:val="22"/>
        </w:rPr>
        <w:t xml:space="preserve">Matric Number: _______________________________</w:t>
      </w:r>
    </w:p>
    <w:p>
      <w:pPr>
        <w:spacing w:before="200"/>
        <w:jc w:val="center"/>
      </w:pPr>
      <w:r>
        <w:rPr>
          <w:rFonts w:ascii="Calibri" w:cs="Calibri" w:eastAsia="Calibri" w:hAnsi="Calibri"/>
          <w:sz w:val="22"/>
          <w:szCs w:val="22"/>
        </w:rPr>
        <w:t xml:space="preserve">Date: August 2026</w:t>
      </w:r>
    </w:p>
    <w:p>
      <w:r>
        <w:br w:type="page"/>
      </w:r>
    </w:p>
    <w:p>
      <w:pPr>
        <w:pStyle w:val="Heading1"/>
        <w:spacing w:after="200" w:before="400"/>
      </w:pPr>
      <w:r>
        <w:t xml:space="preserve">Task 1: STRIDE Threat Model and Risk Assessment</w:t>
      </w:r>
    </w:p>
    <w:p>
      <w:pPr>
        <w:spacing w:after="160" w:line="276"/>
      </w:pPr>
      <w:r>
        <w:rPr>
          <w:rFonts w:ascii="Calibri" w:cs="Calibri" w:eastAsia="Calibri" w:hAnsi="Calibri"/>
          <w:sz w:val="22"/>
          <w:szCs w:val="22"/>
        </w:rPr>
        <w:t xml:space="preserve">This section models realistic threats against the Student Registration Web Application and prioritises remediation using a transparent, repeatable risk-scoring method (Risk = Likelihood × Impact, each scored 1-5).</w:t>
      </w:r>
    </w:p>
    <w:p>
      <w:pPr>
        <w:pStyle w:val="Heading2"/>
        <w:spacing w:after="150" w:before="300"/>
      </w:pPr>
      <w:r>
        <w:t xml:space="preserve">1.1 Data-Flow Diagram and Trust Boundaries</w:t>
      </w:r>
    </w:p>
    <w:p>
      <w:pPr>
        <w:spacing w:after="160" w:line="276"/>
      </w:pPr>
      <w:r>
        <w:rPr>
          <w:rFonts w:ascii="Calibri" w:cs="Calibri" w:eastAsia="Calibri" w:hAnsi="Calibri"/>
          <w:sz w:val="22"/>
          <w:szCs w:val="22"/>
        </w:rPr>
        <w:t xml:space="preserve">The application is decomposed into six processes (Auth, Course Registration, Document Upload, Resource Preview, Admin Management, and a shared Security Middleware), four data stores (users, courses/enrolments, documents, and an audit log), and three trust boundaries. The full diagram source (Mermaid format) is provided in docs/task1-threat-model.md of the submitted project and was rendered externally; insert the rendered screenshot below before submission.</w:t>
      </w:r>
    </w:p>
    <w:p>
      <w:pPr>
        <w:spacing w:after="160" w:line="276"/>
      </w:pPr>
      <w:r>
        <w:rPr>
          <w:rFonts w:ascii="Calibri" w:cs="Calibri" w:eastAsia="Calibri" w:hAnsi="Calibri"/>
          <w:i/>
          <w:iCs/>
          <w:color w:val="9C0006"/>
          <w:sz w:val="22"/>
          <w:szCs w:val="22"/>
        </w:rPr>
        <w:t xml:space="preserve">[ INSERT RENDERED DATA-FLOW DIAGRAM SCREENSHOT HERE ]</w:t>
      </w:r>
    </w:p>
    <w:p>
      <w:pPr>
        <w:spacing w:after="160" w:line="276"/>
      </w:pPr>
      <w:r>
        <w:rPr>
          <w:rFonts w:ascii="Calibri" w:cs="Calibri" w:eastAsia="Calibri" w:hAnsi="Calibri"/>
          <w:sz w:val="22"/>
          <w:szCs w:val="22"/>
        </w:rPr>
        <w:t xml:space="preserve">Trust boundaries identified:</w:t>
      </w:r>
    </w:p>
    <w:p>
      <w:pPr>
        <w:pStyle w:val="ListParagraph"/>
        <w:numPr>
          <w:ilvl w:val="0"/>
          <w:numId w:val="1"/>
        </w:numPr>
        <w:spacing w:after="80"/>
        <w:rPr>
          <w:rFonts w:ascii="Calibri" w:cs="Calibri" w:eastAsia="Calibri" w:hAnsi="Calibri"/>
          <w:sz w:val="22"/>
          <w:szCs w:val="22"/>
        </w:rPr>
      </w:pPr>
      <w:r>
        <w:t xml:space="preserve">Boundary 1 — Public Internet to Web Server: all form fields, uploaded files, and URLs submitted by students/admins are untrusted until validated.</w:t>
      </w:r>
    </w:p>
    <w:p>
      <w:pPr>
        <w:pStyle w:val="ListParagraph"/>
        <w:numPr>
          <w:ilvl w:val="0"/>
          <w:numId w:val="1"/>
        </w:numPr>
        <w:spacing w:after="80"/>
        <w:rPr>
          <w:rFonts w:ascii="Calibri" w:cs="Calibri" w:eastAsia="Calibri" w:hAnsi="Calibri"/>
          <w:sz w:val="22"/>
          <w:szCs w:val="22"/>
        </w:rPr>
      </w:pPr>
      <w:r>
        <w:t xml:space="preserve">Boundary 2 — Web Server to Data Layer: reachable only through parameterised queries issued from config/db.php; the web tier is the sole intermediary to the database.</w:t>
      </w:r>
    </w:p>
    <w:p>
      <w:pPr>
        <w:pStyle w:val="ListParagraph"/>
        <w:numPr>
          <w:ilvl w:val="0"/>
          <w:numId w:val="1"/>
        </w:numPr>
        <w:spacing w:after="80"/>
        <w:rPr>
          <w:rFonts w:ascii="Calibri" w:cs="Calibri" w:eastAsia="Calibri" w:hAnsi="Calibri"/>
          <w:sz w:val="22"/>
          <w:szCs w:val="22"/>
        </w:rPr>
      </w:pPr>
      <w:r>
        <w:t xml:space="preserve">Boundary 3 — Web Server to External Host: the resource-preview feature is the only process that makes outbound requests on a user's behalf, and is the SSRF attack surface.</w:t>
      </w:r>
    </w:p>
    <w:p>
      <w:pPr>
        <w:pStyle w:val="Heading2"/>
        <w:spacing w:after="150" w:before="300"/>
      </w:pPr>
      <w:r>
        <w:t xml:space="preserve">1.2 STRIDE Worksheet</w:t>
      </w:r>
    </w:p>
    <w:p>
      <w:pPr>
        <w:spacing w:after="160" w:line="276"/>
      </w:pPr>
      <w:r>
        <w:rPr>
          <w:rFonts w:ascii="Calibri" w:cs="Calibri" w:eastAsia="Calibri" w:hAnsi="Calibri"/>
          <w:sz w:val="22"/>
          <w:szCs w:val="22"/>
        </w:rPr>
        <w:t xml:space="preserve">Nine application-specific threats were identified, covering all six STRIDE categories (exceeding the minimum of six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200"/>
        <w:gridCol w:w="2200"/>
      </w:tblGrid>
      <w:tr>
        <w:trPr>
          <w:tblHeader/>
        </w:trPr>
        <w:tc>
          <w:tcPr>
            <w:tcW w:type="dxa" w:w="700"/>
            <w:shd w:fill="1F3864" w:val="clear"/>
            <w:vAlign w:val="center"/>
          </w:tcPr>
          <w:p>
            <w:r>
              <w:rPr>
                <w:rFonts w:ascii="Calibri" w:cs="Calibri" w:eastAsia="Calibri" w:hAnsi="Calibri"/>
                <w:b/>
                <w:bCs/>
                <w:color w:val="FFFFFF"/>
                <w:sz w:val="18"/>
                <w:szCs w:val="18"/>
              </w:rPr>
              <w:t xml:space="preserve">#</w:t>
            </w:r>
          </w:p>
        </w:tc>
        <w:tc>
          <w:tcPr>
            <w:tcW w:type="dxa" w:w="1400"/>
            <w:shd w:fill="1F3864" w:val="clear"/>
            <w:vAlign w:val="center"/>
          </w:tcPr>
          <w:p>
            <w:r>
              <w:rPr>
                <w:rFonts w:ascii="Calibri" w:cs="Calibri" w:eastAsia="Calibri" w:hAnsi="Calibri"/>
                <w:b/>
                <w:bCs/>
                <w:color w:val="FFFFFF"/>
                <w:sz w:val="18"/>
                <w:szCs w:val="18"/>
              </w:rPr>
              <w:t xml:space="preserve">Category</w:t>
            </w:r>
          </w:p>
        </w:tc>
        <w:tc>
          <w:tcPr>
            <w:tcW w:type="dxa" w:w="5200"/>
            <w:shd w:fill="1F3864" w:val="clear"/>
            <w:vAlign w:val="center"/>
          </w:tcPr>
          <w:p>
            <w:r>
              <w:rPr>
                <w:rFonts w:ascii="Calibri" w:cs="Calibri" w:eastAsia="Calibri" w:hAnsi="Calibri"/>
                <w:b/>
                <w:bCs/>
                <w:color w:val="FFFFFF"/>
                <w:sz w:val="18"/>
                <w:szCs w:val="18"/>
              </w:rPr>
              <w:t xml:space="preserve">Threat</w:t>
            </w:r>
          </w:p>
        </w:tc>
        <w:tc>
          <w:tcPr>
            <w:tcW w:type="dxa" w:w="2200"/>
            <w:shd w:fill="1F3864" w:val="clear"/>
            <w:vAlign w:val="center"/>
          </w:tcPr>
          <w:p>
            <w:r>
              <w:rPr>
                <w:rFonts w:ascii="Calibri" w:cs="Calibri" w:eastAsia="Calibri" w:hAnsi="Calibri"/>
                <w:b/>
                <w:bCs/>
                <w:color w:val="FFFFFF"/>
                <w:sz w:val="18"/>
                <w:szCs w:val="18"/>
              </w:rPr>
              <w:t xml:space="preserve">Affected Flow</w:t>
            </w:r>
          </w:p>
        </w:tc>
      </w:tr>
      <w:tr>
        <w:tc>
          <w:tcPr>
            <w:tcW w:type="dxa" w:w="700"/>
            <w:vAlign w:val="center"/>
          </w:tcPr>
          <w:p>
            <w:r>
              <w:rPr>
                <w:rFonts w:ascii="Calibri" w:cs="Calibri" w:eastAsia="Calibri" w:hAnsi="Calibri"/>
                <w:b w:val="false"/>
                <w:bCs w:val="false"/>
                <w:color w:val="000000"/>
                <w:sz w:val="18"/>
                <w:szCs w:val="18"/>
              </w:rPr>
              <w:t xml:space="preserve">T1</w:t>
            </w:r>
          </w:p>
        </w:tc>
        <w:tc>
          <w:tcPr>
            <w:tcW w:type="dxa" w:w="1400"/>
            <w:vAlign w:val="center"/>
          </w:tcPr>
          <w:p>
            <w:r>
              <w:rPr>
                <w:rFonts w:ascii="Calibri" w:cs="Calibri" w:eastAsia="Calibri" w:hAnsi="Calibri"/>
                <w:b w:val="false"/>
                <w:bCs w:val="false"/>
                <w:color w:val="000000"/>
                <w:sz w:val="18"/>
                <w:szCs w:val="18"/>
              </w:rPr>
              <w:t xml:space="preserve">Spoofing</w:t>
            </w:r>
          </w:p>
        </w:tc>
        <w:tc>
          <w:tcPr>
            <w:tcW w:type="dxa" w:w="5200"/>
            <w:vAlign w:val="center"/>
          </w:tcPr>
          <w:p>
            <w:r>
              <w:rPr>
                <w:rFonts w:ascii="Calibri" w:cs="Calibri" w:eastAsia="Calibri" w:hAnsi="Calibri"/>
                <w:b w:val="false"/>
                <w:bCs w:val="false"/>
                <w:color w:val="000000"/>
                <w:sz w:val="18"/>
                <w:szCs w:val="18"/>
              </w:rPr>
              <w:t xml:space="preserve">Credential stuffing / brute-forcing a student login using leaked password lists</w:t>
            </w:r>
          </w:p>
        </w:tc>
        <w:tc>
          <w:tcPr>
            <w:tcW w:type="dxa" w:w="2200"/>
            <w:vAlign w:val="center"/>
          </w:tcPr>
          <w:p>
            <w:r>
              <w:rPr>
                <w:rFonts w:ascii="Calibri" w:cs="Calibri" w:eastAsia="Calibri" w:hAnsi="Calibri"/>
                <w:b w:val="false"/>
                <w:bCs w:val="false"/>
                <w:color w:val="000000"/>
                <w:sz w:val="18"/>
                <w:szCs w:val="18"/>
              </w:rPr>
              <w:t xml:space="preserve">Student → Auth → users DB</w:t>
            </w:r>
          </w:p>
        </w:tc>
      </w:tr>
      <w:tr>
        <w:tc>
          <w:tcPr>
            <w:tcW w:type="dxa" w:w="700"/>
            <w:vAlign w:val="center"/>
          </w:tcPr>
          <w:p>
            <w:r>
              <w:rPr>
                <w:rFonts w:ascii="Calibri" w:cs="Calibri" w:eastAsia="Calibri" w:hAnsi="Calibri"/>
                <w:b w:val="false"/>
                <w:bCs w:val="false"/>
                <w:color w:val="000000"/>
                <w:sz w:val="18"/>
                <w:szCs w:val="18"/>
              </w:rPr>
              <w:t xml:space="preserve">T2</w:t>
            </w:r>
          </w:p>
        </w:tc>
        <w:tc>
          <w:tcPr>
            <w:tcW w:type="dxa" w:w="1400"/>
            <w:vAlign w:val="center"/>
          </w:tcPr>
          <w:p>
            <w:r>
              <w:rPr>
                <w:rFonts w:ascii="Calibri" w:cs="Calibri" w:eastAsia="Calibri" w:hAnsi="Calibri"/>
                <w:b w:val="false"/>
                <w:bCs w:val="false"/>
                <w:color w:val="000000"/>
                <w:sz w:val="18"/>
                <w:szCs w:val="18"/>
              </w:rPr>
              <w:t xml:space="preserve">Spoofing</w:t>
            </w:r>
          </w:p>
        </w:tc>
        <w:tc>
          <w:tcPr>
            <w:tcW w:type="dxa" w:w="5200"/>
            <w:vAlign w:val="center"/>
          </w:tcPr>
          <w:p>
            <w:r>
              <w:rPr>
                <w:rFonts w:ascii="Calibri" w:cs="Calibri" w:eastAsia="Calibri" w:hAnsi="Calibri"/>
                <w:b w:val="false"/>
                <w:bCs w:val="false"/>
                <w:color w:val="000000"/>
                <w:sz w:val="18"/>
                <w:szCs w:val="18"/>
              </w:rPr>
              <w:t xml:space="preserve">Session hijacking via a stolen or predictable session cookie</w:t>
            </w:r>
          </w:p>
        </w:tc>
        <w:tc>
          <w:tcPr>
            <w:tcW w:type="dxa" w:w="2200"/>
            <w:vAlign w:val="center"/>
          </w:tcPr>
          <w:p>
            <w:r>
              <w:rPr>
                <w:rFonts w:ascii="Calibri" w:cs="Calibri" w:eastAsia="Calibri" w:hAnsi="Calibri"/>
                <w:b w:val="false"/>
                <w:bCs w:val="false"/>
                <w:color w:val="000000"/>
                <w:sz w:val="18"/>
                <w:szCs w:val="18"/>
              </w:rPr>
              <w:t xml:space="preserve">Any authenticated flow</w:t>
            </w:r>
          </w:p>
        </w:tc>
      </w:tr>
      <w:tr>
        <w:tc>
          <w:tcPr>
            <w:tcW w:type="dxa" w:w="700"/>
            <w:vAlign w:val="center"/>
          </w:tcPr>
          <w:p>
            <w:r>
              <w:rPr>
                <w:rFonts w:ascii="Calibri" w:cs="Calibri" w:eastAsia="Calibri" w:hAnsi="Calibri"/>
                <w:b w:val="false"/>
                <w:bCs w:val="false"/>
                <w:color w:val="000000"/>
                <w:sz w:val="18"/>
                <w:szCs w:val="18"/>
              </w:rPr>
              <w:t xml:space="preserve">T3</w:t>
            </w:r>
          </w:p>
        </w:tc>
        <w:tc>
          <w:tcPr>
            <w:tcW w:type="dxa" w:w="1400"/>
            <w:vAlign w:val="center"/>
          </w:tcPr>
          <w:p>
            <w:r>
              <w:rPr>
                <w:rFonts w:ascii="Calibri" w:cs="Calibri" w:eastAsia="Calibri" w:hAnsi="Calibri"/>
                <w:b w:val="false"/>
                <w:bCs w:val="false"/>
                <w:color w:val="000000"/>
                <w:sz w:val="18"/>
                <w:szCs w:val="18"/>
              </w:rPr>
              <w:t xml:space="preserve">Tampering</w:t>
            </w:r>
          </w:p>
        </w:tc>
        <w:tc>
          <w:tcPr>
            <w:tcW w:type="dxa" w:w="5200"/>
            <w:vAlign w:val="center"/>
          </w:tcPr>
          <w:p>
            <w:r>
              <w:rPr>
                <w:rFonts w:ascii="Calibri" w:cs="Calibri" w:eastAsia="Calibri" w:hAnsi="Calibri"/>
                <w:b w:val="false"/>
                <w:bCs w:val="false"/>
                <w:color w:val="000000"/>
                <w:sz w:val="18"/>
                <w:szCs w:val="18"/>
              </w:rPr>
              <w:t xml:space="preserve">Tampering with the course_id POST field to enrol without authorisation, or replaying a captured request</w:t>
            </w:r>
          </w:p>
        </w:tc>
        <w:tc>
          <w:tcPr>
            <w:tcW w:type="dxa" w:w="2200"/>
            <w:vAlign w:val="center"/>
          </w:tcPr>
          <w:p>
            <w:r>
              <w:rPr>
                <w:rFonts w:ascii="Calibri" w:cs="Calibri" w:eastAsia="Calibri" w:hAnsi="Calibri"/>
                <w:b w:val="false"/>
                <w:bCs w:val="false"/>
                <w:color w:val="000000"/>
                <w:sz w:val="18"/>
                <w:szCs w:val="18"/>
              </w:rPr>
              <w:t xml:space="preserve">Student → Course Reg → DB</w:t>
            </w:r>
          </w:p>
        </w:tc>
      </w:tr>
      <w:tr>
        <w:tc>
          <w:tcPr>
            <w:tcW w:type="dxa" w:w="700"/>
            <w:vAlign w:val="center"/>
          </w:tcPr>
          <w:p>
            <w:r>
              <w:rPr>
                <w:rFonts w:ascii="Calibri" w:cs="Calibri" w:eastAsia="Calibri" w:hAnsi="Calibri"/>
                <w:b w:val="false"/>
                <w:bCs w:val="false"/>
                <w:color w:val="000000"/>
                <w:sz w:val="18"/>
                <w:szCs w:val="18"/>
              </w:rPr>
              <w:t xml:space="preserve">T4</w:t>
            </w:r>
          </w:p>
        </w:tc>
        <w:tc>
          <w:tcPr>
            <w:tcW w:type="dxa" w:w="1400"/>
            <w:vAlign w:val="center"/>
          </w:tcPr>
          <w:p>
            <w:r>
              <w:rPr>
                <w:rFonts w:ascii="Calibri" w:cs="Calibri" w:eastAsia="Calibri" w:hAnsi="Calibri"/>
                <w:b w:val="false"/>
                <w:bCs w:val="false"/>
                <w:color w:val="000000"/>
                <w:sz w:val="18"/>
                <w:szCs w:val="18"/>
              </w:rPr>
              <w:t xml:space="preserve">Repudiation</w:t>
            </w:r>
          </w:p>
        </w:tc>
        <w:tc>
          <w:tcPr>
            <w:tcW w:type="dxa" w:w="5200"/>
            <w:vAlign w:val="center"/>
          </w:tcPr>
          <w:p>
            <w:r>
              <w:rPr>
                <w:rFonts w:ascii="Calibri" w:cs="Calibri" w:eastAsia="Calibri" w:hAnsi="Calibri"/>
                <w:b w:val="false"/>
                <w:bCs w:val="false"/>
                <w:color w:val="000000"/>
                <w:sz w:val="18"/>
                <w:szCs w:val="18"/>
              </w:rPr>
              <w:t xml:space="preserve">A student denies registering for a course, or an admin denies deleting one, with no record to prove otherwise</w:t>
            </w:r>
          </w:p>
        </w:tc>
        <w:tc>
          <w:tcPr>
            <w:tcW w:type="dxa" w:w="2200"/>
            <w:vAlign w:val="center"/>
          </w:tcPr>
          <w:p>
            <w:r>
              <w:rPr>
                <w:rFonts w:ascii="Calibri" w:cs="Calibri" w:eastAsia="Calibri" w:hAnsi="Calibri"/>
                <w:b w:val="false"/>
                <w:bCs w:val="false"/>
                <w:color w:val="000000"/>
                <w:sz w:val="18"/>
                <w:szCs w:val="18"/>
              </w:rPr>
              <w:t xml:space="preserve">Course Reg / Admin → DB</w:t>
            </w:r>
          </w:p>
        </w:tc>
      </w:tr>
      <w:tr>
        <w:tc>
          <w:tcPr>
            <w:tcW w:type="dxa" w:w="700"/>
            <w:vAlign w:val="center"/>
          </w:tcPr>
          <w:p>
            <w:r>
              <w:rPr>
                <w:rFonts w:ascii="Calibri" w:cs="Calibri" w:eastAsia="Calibri" w:hAnsi="Calibri"/>
                <w:b w:val="false"/>
                <w:bCs w:val="false"/>
                <w:color w:val="000000"/>
                <w:sz w:val="18"/>
                <w:szCs w:val="18"/>
              </w:rPr>
              <w:t xml:space="preserve">T5</w:t>
            </w:r>
          </w:p>
        </w:tc>
        <w:tc>
          <w:tcPr>
            <w:tcW w:type="dxa" w:w="1400"/>
            <w:vAlign w:val="center"/>
          </w:tcPr>
          <w:p>
            <w:r>
              <w:rPr>
                <w:rFonts w:ascii="Calibri" w:cs="Calibri" w:eastAsia="Calibri" w:hAnsi="Calibri"/>
                <w:b w:val="false"/>
                <w:bCs w:val="false"/>
                <w:color w:val="000000"/>
                <w:sz w:val="18"/>
                <w:szCs w:val="18"/>
              </w:rPr>
              <w:t xml:space="preserve">Information Disclosure</w:t>
            </w:r>
          </w:p>
        </w:tc>
        <w:tc>
          <w:tcPr>
            <w:tcW w:type="dxa" w:w="5200"/>
            <w:vAlign w:val="center"/>
          </w:tcPr>
          <w:p>
            <w:r>
              <w:rPr>
                <w:rFonts w:ascii="Calibri" w:cs="Calibri" w:eastAsia="Calibri" w:hAnsi="Calibri"/>
                <w:b w:val="false"/>
                <w:bCs w:val="false"/>
                <w:color w:val="000000"/>
                <w:sz w:val="18"/>
                <w:szCs w:val="18"/>
              </w:rPr>
              <w:t xml:space="preserve">SQL injection in an unparameterised login query leaks the entire users table</w:t>
            </w:r>
          </w:p>
        </w:tc>
        <w:tc>
          <w:tcPr>
            <w:tcW w:type="dxa" w:w="2200"/>
            <w:vAlign w:val="center"/>
          </w:tcPr>
          <w:p>
            <w:r>
              <w:rPr>
                <w:rFonts w:ascii="Calibri" w:cs="Calibri" w:eastAsia="Calibri" w:hAnsi="Calibri"/>
                <w:b w:val="false"/>
                <w:bCs w:val="false"/>
                <w:color w:val="000000"/>
                <w:sz w:val="18"/>
                <w:szCs w:val="18"/>
              </w:rPr>
              <w:t xml:space="preserve">Student → Auth → users DB</w:t>
            </w:r>
          </w:p>
        </w:tc>
      </w:tr>
      <w:tr>
        <w:tc>
          <w:tcPr>
            <w:tcW w:type="dxa" w:w="700"/>
            <w:vAlign w:val="center"/>
          </w:tcPr>
          <w:p>
            <w:r>
              <w:rPr>
                <w:rFonts w:ascii="Calibri" w:cs="Calibri" w:eastAsia="Calibri" w:hAnsi="Calibri"/>
                <w:b w:val="false"/>
                <w:bCs w:val="false"/>
                <w:color w:val="000000"/>
                <w:sz w:val="18"/>
                <w:szCs w:val="18"/>
              </w:rPr>
              <w:t xml:space="preserve">T6</w:t>
            </w:r>
          </w:p>
        </w:tc>
        <w:tc>
          <w:tcPr>
            <w:tcW w:type="dxa" w:w="1400"/>
            <w:vAlign w:val="center"/>
          </w:tcPr>
          <w:p>
            <w:r>
              <w:rPr>
                <w:rFonts w:ascii="Calibri" w:cs="Calibri" w:eastAsia="Calibri" w:hAnsi="Calibri"/>
                <w:b w:val="false"/>
                <w:bCs w:val="false"/>
                <w:color w:val="000000"/>
                <w:sz w:val="18"/>
                <w:szCs w:val="18"/>
              </w:rPr>
              <w:t xml:space="preserve">Information Disclosure</w:t>
            </w:r>
          </w:p>
        </w:tc>
        <w:tc>
          <w:tcPr>
            <w:tcW w:type="dxa" w:w="5200"/>
            <w:vAlign w:val="center"/>
          </w:tcPr>
          <w:p>
            <w:r>
              <w:rPr>
                <w:rFonts w:ascii="Calibri" w:cs="Calibri" w:eastAsia="Calibri" w:hAnsi="Calibri"/>
                <w:b w:val="false"/>
                <w:bCs w:val="false"/>
                <w:color w:val="000000"/>
                <w:sz w:val="18"/>
                <w:szCs w:val="18"/>
              </w:rPr>
              <w:t xml:space="preserve">Verbose PHP errors or DB error strings shown directly to the browser in a debug-enabled deployment</w:t>
            </w:r>
          </w:p>
        </w:tc>
        <w:tc>
          <w:tcPr>
            <w:tcW w:type="dxa" w:w="2200"/>
            <w:vAlign w:val="center"/>
          </w:tcPr>
          <w:p>
            <w:r>
              <w:rPr>
                <w:rFonts w:ascii="Calibri" w:cs="Calibri" w:eastAsia="Calibri" w:hAnsi="Calibri"/>
                <w:b w:val="false"/>
                <w:bCs w:val="false"/>
                <w:color w:val="000000"/>
                <w:sz w:val="18"/>
                <w:szCs w:val="18"/>
              </w:rPr>
              <w:t xml:space="preserve">Any process → browser</w:t>
            </w:r>
          </w:p>
        </w:tc>
      </w:tr>
      <w:tr>
        <w:tc>
          <w:tcPr>
            <w:tcW w:type="dxa" w:w="700"/>
            <w:vAlign w:val="center"/>
          </w:tcPr>
          <w:p>
            <w:r>
              <w:rPr>
                <w:rFonts w:ascii="Calibri" w:cs="Calibri" w:eastAsia="Calibri" w:hAnsi="Calibri"/>
                <w:b w:val="false"/>
                <w:bCs w:val="false"/>
                <w:color w:val="000000"/>
                <w:sz w:val="18"/>
                <w:szCs w:val="18"/>
              </w:rPr>
              <w:t xml:space="preserve">T7</w:t>
            </w:r>
          </w:p>
        </w:tc>
        <w:tc>
          <w:tcPr>
            <w:tcW w:type="dxa" w:w="1400"/>
            <w:vAlign w:val="center"/>
          </w:tcPr>
          <w:p>
            <w:r>
              <w:rPr>
                <w:rFonts w:ascii="Calibri" w:cs="Calibri" w:eastAsia="Calibri" w:hAnsi="Calibri"/>
                <w:b w:val="false"/>
                <w:bCs w:val="false"/>
                <w:color w:val="000000"/>
                <w:sz w:val="18"/>
                <w:szCs w:val="18"/>
              </w:rPr>
              <w:t xml:space="preserve">Denial of Service</w:t>
            </w:r>
          </w:p>
        </w:tc>
        <w:tc>
          <w:tcPr>
            <w:tcW w:type="dxa" w:w="5200"/>
            <w:vAlign w:val="center"/>
          </w:tcPr>
          <w:p>
            <w:r>
              <w:rPr>
                <w:rFonts w:ascii="Calibri" w:cs="Calibri" w:eastAsia="Calibri" w:hAnsi="Calibri"/>
                <w:b w:val="false"/>
                <w:bCs w:val="false"/>
                <w:color w:val="000000"/>
                <w:sz w:val="18"/>
                <w:szCs w:val="18"/>
              </w:rPr>
              <w:t xml:space="preserve">Unrestricted file upload size/count exhausts server disk space; repeated logins exhaust DB connections</w:t>
            </w:r>
          </w:p>
        </w:tc>
        <w:tc>
          <w:tcPr>
            <w:tcW w:type="dxa" w:w="2200"/>
            <w:vAlign w:val="center"/>
          </w:tcPr>
          <w:p>
            <w:r>
              <w:rPr>
                <w:rFonts w:ascii="Calibri" w:cs="Calibri" w:eastAsia="Calibri" w:hAnsi="Calibri"/>
                <w:b w:val="false"/>
                <w:bCs w:val="false"/>
                <w:color w:val="000000"/>
                <w:sz w:val="18"/>
                <w:szCs w:val="18"/>
              </w:rPr>
              <w:t xml:space="preserve">Student → Upload / Auth</w:t>
            </w:r>
          </w:p>
        </w:tc>
      </w:tr>
      <w:tr>
        <w:tc>
          <w:tcPr>
            <w:tcW w:type="dxa" w:w="700"/>
            <w:vAlign w:val="center"/>
          </w:tcPr>
          <w:p>
            <w:r>
              <w:rPr>
                <w:rFonts w:ascii="Calibri" w:cs="Calibri" w:eastAsia="Calibri" w:hAnsi="Calibri"/>
                <w:b w:val="false"/>
                <w:bCs w:val="false"/>
                <w:color w:val="000000"/>
                <w:sz w:val="18"/>
                <w:szCs w:val="18"/>
              </w:rPr>
              <w:t xml:space="preserve">T8</w:t>
            </w:r>
          </w:p>
        </w:tc>
        <w:tc>
          <w:tcPr>
            <w:tcW w:type="dxa" w:w="1400"/>
            <w:vAlign w:val="center"/>
          </w:tcPr>
          <w:p>
            <w:r>
              <w:rPr>
                <w:rFonts w:ascii="Calibri" w:cs="Calibri" w:eastAsia="Calibri" w:hAnsi="Calibri"/>
                <w:b w:val="false"/>
                <w:bCs w:val="false"/>
                <w:color w:val="000000"/>
                <w:sz w:val="18"/>
                <w:szCs w:val="18"/>
              </w:rPr>
              <w:t xml:space="preserve">Elevation of Privilege</w:t>
            </w:r>
          </w:p>
        </w:tc>
        <w:tc>
          <w:tcPr>
            <w:tcW w:type="dxa" w:w="5200"/>
            <w:vAlign w:val="center"/>
          </w:tcPr>
          <w:p>
            <w:r>
              <w:rPr>
                <w:rFonts w:ascii="Calibri" w:cs="Calibri" w:eastAsia="Calibri" w:hAnsi="Calibri"/>
                <w:b w:val="false"/>
                <w:bCs w:val="false"/>
                <w:color w:val="000000"/>
                <w:sz w:val="18"/>
                <w:szCs w:val="18"/>
              </w:rPr>
              <w:t xml:space="preserve">A student directly requests an admin-only URL (forced browsing) to reach course-management functions</w:t>
            </w:r>
          </w:p>
        </w:tc>
        <w:tc>
          <w:tcPr>
            <w:tcW w:type="dxa" w:w="2200"/>
            <w:vAlign w:val="center"/>
          </w:tcPr>
          <w:p>
            <w:r>
              <w:rPr>
                <w:rFonts w:ascii="Calibri" w:cs="Calibri" w:eastAsia="Calibri" w:hAnsi="Calibri"/>
                <w:b w:val="false"/>
                <w:bCs w:val="false"/>
                <w:color w:val="000000"/>
                <w:sz w:val="18"/>
                <w:szCs w:val="18"/>
              </w:rPr>
              <w:t xml:space="preserve">Student → Admin panel</w:t>
            </w:r>
          </w:p>
        </w:tc>
      </w:tr>
      <w:tr>
        <w:tc>
          <w:tcPr>
            <w:tcW w:type="dxa" w:w="700"/>
            <w:vAlign w:val="center"/>
          </w:tcPr>
          <w:p>
            <w:r>
              <w:rPr>
                <w:rFonts w:ascii="Calibri" w:cs="Calibri" w:eastAsia="Calibri" w:hAnsi="Calibri"/>
                <w:b w:val="false"/>
                <w:bCs w:val="false"/>
                <w:color w:val="000000"/>
                <w:sz w:val="18"/>
                <w:szCs w:val="18"/>
              </w:rPr>
              <w:t xml:space="preserve">T9</w:t>
            </w:r>
          </w:p>
        </w:tc>
        <w:tc>
          <w:tcPr>
            <w:tcW w:type="dxa" w:w="1400"/>
            <w:vAlign w:val="center"/>
          </w:tcPr>
          <w:p>
            <w:r>
              <w:rPr>
                <w:rFonts w:ascii="Calibri" w:cs="Calibri" w:eastAsia="Calibri" w:hAnsi="Calibri"/>
                <w:b w:val="false"/>
                <w:bCs w:val="false"/>
                <w:color w:val="000000"/>
                <w:sz w:val="18"/>
                <w:szCs w:val="18"/>
              </w:rPr>
              <w:t xml:space="preserve">Tampering (SSRF)</w:t>
            </w:r>
          </w:p>
        </w:tc>
        <w:tc>
          <w:tcPr>
            <w:tcW w:type="dxa" w:w="5200"/>
            <w:vAlign w:val="center"/>
          </w:tcPr>
          <w:p>
            <w:r>
              <w:rPr>
                <w:rFonts w:ascii="Calibri" w:cs="Calibri" w:eastAsia="Calibri" w:hAnsi="Calibri"/>
                <w:b w:val="false"/>
                <w:bCs w:val="false"/>
                <w:color w:val="000000"/>
                <w:sz w:val="18"/>
                <w:szCs w:val="18"/>
              </w:rPr>
              <w:t xml:space="preserve">Attacker submits an internal or metadata URL to the resource-preview feature, making the server fetch internal-only resources</w:t>
            </w:r>
          </w:p>
        </w:tc>
        <w:tc>
          <w:tcPr>
            <w:tcW w:type="dxa" w:w="2200"/>
            <w:vAlign w:val="center"/>
          </w:tcPr>
          <w:p>
            <w:r>
              <w:rPr>
                <w:rFonts w:ascii="Calibri" w:cs="Calibri" w:eastAsia="Calibri" w:hAnsi="Calibri"/>
                <w:b w:val="false"/>
                <w:bCs w:val="false"/>
                <w:color w:val="000000"/>
                <w:sz w:val="18"/>
                <w:szCs w:val="18"/>
              </w:rPr>
              <w:t xml:space="preserve">Student → Preview → internal net</w:t>
            </w:r>
          </w:p>
        </w:tc>
      </w:tr>
    </w:tbl>
    <w:p>
      <w:pPr>
        <w:pStyle w:val="Heading2"/>
        <w:spacing w:after="150" w:before="300"/>
      </w:pPr>
      <w:r>
        <w:t xml:space="preserve">1.3 Risk Register</w:t>
      </w:r>
    </w:p>
    <w:p>
      <w:pPr>
        <w:spacing w:after="160" w:line="276"/>
      </w:pPr>
      <w:r>
        <w:rPr>
          <w:rFonts w:ascii="Calibri" w:cs="Calibri" w:eastAsia="Calibri" w:hAnsi="Calibri"/>
          <w:sz w:val="22"/>
          <w:szCs w:val="22"/>
        </w:rPr>
        <w:t xml:space="preserve">Each threat was scored as found in the initial prototype (before controls), then re-scored after the controls documented in Tasks 2 and 3 were applied.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00"/>
        <w:gridCol w:w="500"/>
        <w:gridCol w:w="700"/>
        <w:gridCol w:w="700"/>
        <w:gridCol w:w="3300"/>
        <w:gridCol w:w="1400"/>
      </w:tblGrid>
      <w:tr>
        <w:trPr>
          <w:tblHeader/>
        </w:trPr>
        <w:tc>
          <w:tcPr>
            <w:tcW w:type="dxa" w:w="500"/>
            <w:shd w:fill="1F3864" w:val="clear"/>
            <w:vAlign w:val="center"/>
          </w:tcPr>
          <w:p>
            <w:r>
              <w:rPr>
                <w:rFonts w:ascii="Calibri" w:cs="Calibri" w:eastAsia="Calibri" w:hAnsi="Calibri"/>
                <w:b/>
                <w:bCs/>
                <w:color w:val="FFFFFF"/>
                <w:sz w:val="18"/>
                <w:szCs w:val="18"/>
              </w:rPr>
              <w:t xml:space="preserve">#</w:t>
            </w:r>
          </w:p>
        </w:tc>
        <w:tc>
          <w:tcPr>
            <w:tcW w:type="dxa" w:w="2600"/>
            <w:shd w:fill="1F3864" w:val="clear"/>
            <w:vAlign w:val="center"/>
          </w:tcPr>
          <w:p>
            <w:r>
              <w:rPr>
                <w:rFonts w:ascii="Calibri" w:cs="Calibri" w:eastAsia="Calibri" w:hAnsi="Calibri"/>
                <w:b/>
                <w:bCs/>
                <w:color w:val="FFFFFF"/>
                <w:sz w:val="18"/>
                <w:szCs w:val="18"/>
              </w:rPr>
              <w:t xml:space="preserve">Threat</w:t>
            </w:r>
          </w:p>
        </w:tc>
        <w:tc>
          <w:tcPr>
            <w:tcW w:type="dxa" w:w="500"/>
            <w:shd w:fill="1F3864" w:val="clear"/>
            <w:vAlign w:val="center"/>
          </w:tcPr>
          <w:p>
            <w:r>
              <w:rPr>
                <w:rFonts w:ascii="Calibri" w:cs="Calibri" w:eastAsia="Calibri" w:hAnsi="Calibri"/>
                <w:b/>
                <w:bCs/>
                <w:color w:val="FFFFFF"/>
                <w:sz w:val="18"/>
                <w:szCs w:val="18"/>
              </w:rPr>
              <w:t xml:space="preserve">L</w:t>
            </w:r>
          </w:p>
        </w:tc>
        <w:tc>
          <w:tcPr>
            <w:tcW w:type="dxa" w:w="500"/>
            <w:shd w:fill="1F3864" w:val="clear"/>
            <w:vAlign w:val="center"/>
          </w:tcPr>
          <w:p>
            <w:r>
              <w:rPr>
                <w:rFonts w:ascii="Calibri" w:cs="Calibri" w:eastAsia="Calibri" w:hAnsi="Calibri"/>
                <w:b/>
                <w:bCs/>
                <w:color w:val="FFFFFF"/>
                <w:sz w:val="18"/>
                <w:szCs w:val="18"/>
              </w:rPr>
              <w:t xml:space="preserve">I</w:t>
            </w:r>
          </w:p>
        </w:tc>
        <w:tc>
          <w:tcPr>
            <w:tcW w:type="dxa" w:w="700"/>
            <w:shd w:fill="1F3864" w:val="clear"/>
            <w:vAlign w:val="center"/>
          </w:tcPr>
          <w:p>
            <w:r>
              <w:rPr>
                <w:rFonts w:ascii="Calibri" w:cs="Calibri" w:eastAsia="Calibri" w:hAnsi="Calibri"/>
                <w:b/>
                <w:bCs/>
                <w:color w:val="FFFFFF"/>
                <w:sz w:val="18"/>
                <w:szCs w:val="18"/>
              </w:rPr>
              <w:t xml:space="preserve">Risk</w:t>
            </w:r>
          </w:p>
        </w:tc>
        <w:tc>
          <w:tcPr>
            <w:tcW w:type="dxa" w:w="700"/>
            <w:shd w:fill="1F3864" w:val="clear"/>
            <w:vAlign w:val="center"/>
          </w:tcPr>
          <w:p>
            <w:r>
              <w:rPr>
                <w:rFonts w:ascii="Calibri" w:cs="Calibri" w:eastAsia="Calibri" w:hAnsi="Calibri"/>
                <w:b/>
                <w:bCs/>
                <w:color w:val="FFFFFF"/>
                <w:sz w:val="18"/>
                <w:szCs w:val="18"/>
              </w:rPr>
              <w:t xml:space="preserve">Pri.</w:t>
            </w:r>
          </w:p>
        </w:tc>
        <w:tc>
          <w:tcPr>
            <w:tcW w:type="dxa" w:w="3300"/>
            <w:shd w:fill="1F3864" w:val="clear"/>
            <w:vAlign w:val="center"/>
          </w:tcPr>
          <w:p>
            <w:r>
              <w:rPr>
                <w:rFonts w:ascii="Calibri" w:cs="Calibri" w:eastAsia="Calibri" w:hAnsi="Calibri"/>
                <w:b/>
                <w:bCs/>
                <w:color w:val="FFFFFF"/>
                <w:sz w:val="18"/>
                <w:szCs w:val="18"/>
              </w:rPr>
              <w:t xml:space="preserve">Control Applied</w:t>
            </w:r>
          </w:p>
        </w:tc>
        <w:tc>
          <w:tcPr>
            <w:tcW w:type="dxa" w:w="1400"/>
            <w:shd w:fill="1F3864" w:val="clear"/>
            <w:vAlign w:val="center"/>
          </w:tcPr>
          <w:p>
            <w:r>
              <w:rPr>
                <w:rFonts w:ascii="Calibri" w:cs="Calibri" w:eastAsia="Calibri" w:hAnsi="Calibri"/>
                <w:b/>
                <w:bCs/>
                <w:color w:val="FFFFFF"/>
                <w:sz w:val="18"/>
                <w:szCs w:val="18"/>
              </w:rPr>
              <w:t xml:space="preserve">Residual</w:t>
            </w:r>
          </w:p>
        </w:tc>
      </w:tr>
      <w:tr>
        <w:tc>
          <w:tcPr>
            <w:tcW w:type="dxa" w:w="500"/>
            <w:vAlign w:val="center"/>
          </w:tcPr>
          <w:p>
            <w:r>
              <w:rPr>
                <w:rFonts w:ascii="Calibri" w:cs="Calibri" w:eastAsia="Calibri" w:hAnsi="Calibri"/>
                <w:b w:val="false"/>
                <w:bCs w:val="false"/>
                <w:color w:val="000000"/>
                <w:sz w:val="18"/>
                <w:szCs w:val="18"/>
              </w:rPr>
              <w:t xml:space="preserve">T5</w:t>
            </w:r>
          </w:p>
        </w:tc>
        <w:tc>
          <w:tcPr>
            <w:tcW w:type="dxa" w:w="2600"/>
            <w:vAlign w:val="center"/>
          </w:tcPr>
          <w:p>
            <w:r>
              <w:rPr>
                <w:rFonts w:ascii="Calibri" w:cs="Calibri" w:eastAsia="Calibri" w:hAnsi="Calibri"/>
                <w:b w:val="false"/>
                <w:bCs w:val="false"/>
                <w:color w:val="000000"/>
                <w:sz w:val="18"/>
                <w:szCs w:val="18"/>
              </w:rPr>
              <w:t xml:space="preserve">SQL injection (login)</w:t>
            </w:r>
          </w:p>
        </w:tc>
        <w:tc>
          <w:tcPr>
            <w:tcW w:type="dxa" w:w="500"/>
            <w:vAlign w:val="center"/>
          </w:tcPr>
          <w:p>
            <w:r>
              <w:rPr>
                <w:rFonts w:ascii="Calibri" w:cs="Calibri" w:eastAsia="Calibri" w:hAnsi="Calibri"/>
                <w:b w:val="false"/>
                <w:bCs w:val="false"/>
                <w:color w:val="000000"/>
                <w:sz w:val="18"/>
                <w:szCs w:val="18"/>
              </w:rPr>
              <w:t xml:space="preserve">4</w:t>
            </w:r>
          </w:p>
        </w:tc>
        <w:tc>
          <w:tcPr>
            <w:tcW w:type="dxa" w:w="500"/>
            <w:vAlign w:val="center"/>
          </w:tcPr>
          <w:p>
            <w:r>
              <w:rPr>
                <w:rFonts w:ascii="Calibri" w:cs="Calibri" w:eastAsia="Calibri" w:hAnsi="Calibri"/>
                <w:b w:val="false"/>
                <w:bCs w:val="false"/>
                <w:color w:val="000000"/>
                <w:sz w:val="18"/>
                <w:szCs w:val="18"/>
              </w:rPr>
              <w:t xml:space="preserve">5</w:t>
            </w:r>
          </w:p>
        </w:tc>
        <w:tc>
          <w:tcPr>
            <w:tcW w:type="dxa" w:w="700"/>
            <w:vAlign w:val="center"/>
          </w:tcPr>
          <w:p>
            <w:r>
              <w:rPr>
                <w:rFonts w:ascii="Calibri" w:cs="Calibri" w:eastAsia="Calibri" w:hAnsi="Calibri"/>
                <w:b w:val="false"/>
                <w:bCs w:val="false"/>
                <w:color w:val="000000"/>
                <w:sz w:val="18"/>
                <w:szCs w:val="18"/>
              </w:rPr>
              <w:t xml:space="preserve">20</w:t>
            </w:r>
          </w:p>
        </w:tc>
        <w:tc>
          <w:tcPr>
            <w:tcW w:type="dxa" w:w="700"/>
            <w:vAlign w:val="center"/>
          </w:tcPr>
          <w:p>
            <w:r>
              <w:rPr>
                <w:rFonts w:ascii="Calibri" w:cs="Calibri" w:eastAsia="Calibri" w:hAnsi="Calibri"/>
                <w:b w:val="false"/>
                <w:bCs w:val="false"/>
                <w:color w:val="000000"/>
                <w:sz w:val="18"/>
                <w:szCs w:val="18"/>
              </w:rPr>
              <w:t xml:space="preserve">1</w:t>
            </w:r>
          </w:p>
        </w:tc>
        <w:tc>
          <w:tcPr>
            <w:tcW w:type="dxa" w:w="3300"/>
            <w:vAlign w:val="center"/>
          </w:tcPr>
          <w:p>
            <w:r>
              <w:rPr>
                <w:rFonts w:ascii="Calibri" w:cs="Calibri" w:eastAsia="Calibri" w:hAnsi="Calibri"/>
                <w:b w:val="false"/>
                <w:bCs w:val="false"/>
                <w:color w:val="000000"/>
                <w:sz w:val="18"/>
                <w:szCs w:val="18"/>
              </w:rPr>
              <w:t xml:space="preserve">Prepared statements; ATTR_EMULATE_PREPARES off</w:t>
            </w:r>
          </w:p>
        </w:tc>
        <w:tc>
          <w:tcPr>
            <w:tcW w:type="dxa" w:w="1400"/>
            <w:vAlign w:val="center"/>
          </w:tcPr>
          <w:p>
            <w:r>
              <w:rPr>
                <w:rFonts w:ascii="Calibri" w:cs="Calibri" w:eastAsia="Calibri" w:hAnsi="Calibri"/>
                <w:b w:val="false"/>
                <w:bCs w:val="false"/>
                <w:color w:val="000000"/>
                <w:sz w:val="18"/>
                <w:szCs w:val="18"/>
              </w:rPr>
              <w:t xml:space="preserve">5</w:t>
            </w:r>
          </w:p>
        </w:tc>
      </w:tr>
      <w:tr>
        <w:tc>
          <w:tcPr>
            <w:tcW w:type="dxa" w:w="500"/>
            <w:vAlign w:val="center"/>
          </w:tcPr>
          <w:p>
            <w:r>
              <w:rPr>
                <w:rFonts w:ascii="Calibri" w:cs="Calibri" w:eastAsia="Calibri" w:hAnsi="Calibri"/>
                <w:b w:val="false"/>
                <w:bCs w:val="false"/>
                <w:color w:val="000000"/>
                <w:sz w:val="18"/>
                <w:szCs w:val="18"/>
              </w:rPr>
              <w:t xml:space="preserve">T8</w:t>
            </w:r>
          </w:p>
        </w:tc>
        <w:tc>
          <w:tcPr>
            <w:tcW w:type="dxa" w:w="2600"/>
            <w:vAlign w:val="center"/>
          </w:tcPr>
          <w:p>
            <w:r>
              <w:rPr>
                <w:rFonts w:ascii="Calibri" w:cs="Calibri" w:eastAsia="Calibri" w:hAnsi="Calibri"/>
                <w:b w:val="false"/>
                <w:bCs w:val="false"/>
                <w:color w:val="000000"/>
                <w:sz w:val="18"/>
                <w:szCs w:val="18"/>
              </w:rPr>
              <w:t xml:space="preserve">Broken access control</w:t>
            </w:r>
          </w:p>
        </w:tc>
        <w:tc>
          <w:tcPr>
            <w:tcW w:type="dxa" w:w="500"/>
            <w:vAlign w:val="center"/>
          </w:tcPr>
          <w:p>
            <w:r>
              <w:rPr>
                <w:rFonts w:ascii="Calibri" w:cs="Calibri" w:eastAsia="Calibri" w:hAnsi="Calibri"/>
                <w:b w:val="false"/>
                <w:bCs w:val="false"/>
                <w:color w:val="000000"/>
                <w:sz w:val="18"/>
                <w:szCs w:val="18"/>
              </w:rPr>
              <w:t xml:space="preserve">3</w:t>
            </w:r>
          </w:p>
        </w:tc>
        <w:tc>
          <w:tcPr>
            <w:tcW w:type="dxa" w:w="500"/>
            <w:vAlign w:val="center"/>
          </w:tcPr>
          <w:p>
            <w:r>
              <w:rPr>
                <w:rFonts w:ascii="Calibri" w:cs="Calibri" w:eastAsia="Calibri" w:hAnsi="Calibri"/>
                <w:b w:val="false"/>
                <w:bCs w:val="false"/>
                <w:color w:val="000000"/>
                <w:sz w:val="18"/>
                <w:szCs w:val="18"/>
              </w:rPr>
              <w:t xml:space="preserve">5</w:t>
            </w:r>
          </w:p>
        </w:tc>
        <w:tc>
          <w:tcPr>
            <w:tcW w:type="dxa" w:w="700"/>
            <w:vAlign w:val="center"/>
          </w:tcPr>
          <w:p>
            <w:r>
              <w:rPr>
                <w:rFonts w:ascii="Calibri" w:cs="Calibri" w:eastAsia="Calibri" w:hAnsi="Calibri"/>
                <w:b w:val="false"/>
                <w:bCs w:val="false"/>
                <w:color w:val="000000"/>
                <w:sz w:val="18"/>
                <w:szCs w:val="18"/>
              </w:rPr>
              <w:t xml:space="preserve">15</w:t>
            </w:r>
          </w:p>
        </w:tc>
        <w:tc>
          <w:tcPr>
            <w:tcW w:type="dxa" w:w="700"/>
            <w:vAlign w:val="center"/>
          </w:tcPr>
          <w:p>
            <w:r>
              <w:rPr>
                <w:rFonts w:ascii="Calibri" w:cs="Calibri" w:eastAsia="Calibri" w:hAnsi="Calibri"/>
                <w:b w:val="false"/>
                <w:bCs w:val="false"/>
                <w:color w:val="000000"/>
                <w:sz w:val="18"/>
                <w:szCs w:val="18"/>
              </w:rPr>
              <w:t xml:space="preserve">2</w:t>
            </w:r>
          </w:p>
        </w:tc>
        <w:tc>
          <w:tcPr>
            <w:tcW w:type="dxa" w:w="3300"/>
            <w:vAlign w:val="center"/>
          </w:tcPr>
          <w:p>
            <w:r>
              <w:rPr>
                <w:rFonts w:ascii="Calibri" w:cs="Calibri" w:eastAsia="Calibri" w:hAnsi="Calibri"/>
                <w:b w:val="false"/>
                <w:bCs w:val="false"/>
                <w:color w:val="000000"/>
                <w:sz w:val="18"/>
                <w:szCs w:val="18"/>
              </w:rPr>
              <w:t xml:space="preserve">require_role('admin') guard on every admin page</w:t>
            </w:r>
          </w:p>
        </w:tc>
        <w:tc>
          <w:tcPr>
            <w:tcW w:type="dxa" w:w="1400"/>
            <w:vAlign w:val="center"/>
          </w:tcPr>
          <w:p>
            <w:r>
              <w:rPr>
                <w:rFonts w:ascii="Calibri" w:cs="Calibri" w:eastAsia="Calibri" w:hAnsi="Calibri"/>
                <w:b w:val="false"/>
                <w:bCs w:val="false"/>
                <w:color w:val="000000"/>
                <w:sz w:val="18"/>
                <w:szCs w:val="18"/>
              </w:rPr>
              <w:t xml:space="preserve">4</w:t>
            </w:r>
          </w:p>
        </w:tc>
      </w:tr>
      <w:tr>
        <w:tc>
          <w:tcPr>
            <w:tcW w:type="dxa" w:w="500"/>
            <w:vAlign w:val="center"/>
          </w:tcPr>
          <w:p>
            <w:r>
              <w:rPr>
                <w:rFonts w:ascii="Calibri" w:cs="Calibri" w:eastAsia="Calibri" w:hAnsi="Calibri"/>
                <w:b w:val="false"/>
                <w:bCs w:val="false"/>
                <w:color w:val="000000"/>
                <w:sz w:val="18"/>
                <w:szCs w:val="18"/>
              </w:rPr>
              <w:t xml:space="preserve">T9</w:t>
            </w:r>
          </w:p>
        </w:tc>
        <w:tc>
          <w:tcPr>
            <w:tcW w:type="dxa" w:w="2600"/>
            <w:vAlign w:val="center"/>
          </w:tcPr>
          <w:p>
            <w:r>
              <w:rPr>
                <w:rFonts w:ascii="Calibri" w:cs="Calibri" w:eastAsia="Calibri" w:hAnsi="Calibri"/>
                <w:b w:val="false"/>
                <w:bCs w:val="false"/>
                <w:color w:val="000000"/>
                <w:sz w:val="18"/>
                <w:szCs w:val="18"/>
              </w:rPr>
              <w:t xml:space="preserve">SSRF via resource preview</w:t>
            </w:r>
          </w:p>
        </w:tc>
        <w:tc>
          <w:tcPr>
            <w:tcW w:type="dxa" w:w="500"/>
            <w:vAlign w:val="center"/>
          </w:tcPr>
          <w:p>
            <w:r>
              <w:rPr>
                <w:rFonts w:ascii="Calibri" w:cs="Calibri" w:eastAsia="Calibri" w:hAnsi="Calibri"/>
                <w:b w:val="false"/>
                <w:bCs w:val="false"/>
                <w:color w:val="000000"/>
                <w:sz w:val="18"/>
                <w:szCs w:val="18"/>
              </w:rPr>
              <w:t xml:space="preserve">3</w:t>
            </w:r>
          </w:p>
        </w:tc>
        <w:tc>
          <w:tcPr>
            <w:tcW w:type="dxa" w:w="500"/>
            <w:vAlign w:val="center"/>
          </w:tcPr>
          <w:p>
            <w:r>
              <w:rPr>
                <w:rFonts w:ascii="Calibri" w:cs="Calibri" w:eastAsia="Calibri" w:hAnsi="Calibri"/>
                <w:b w:val="false"/>
                <w:bCs w:val="false"/>
                <w:color w:val="000000"/>
                <w:sz w:val="18"/>
                <w:szCs w:val="18"/>
              </w:rPr>
              <w:t xml:space="preserve">4</w:t>
            </w:r>
          </w:p>
        </w:tc>
        <w:tc>
          <w:tcPr>
            <w:tcW w:type="dxa" w:w="700"/>
            <w:vAlign w:val="center"/>
          </w:tcPr>
          <w:p>
            <w:r>
              <w:rPr>
                <w:rFonts w:ascii="Calibri" w:cs="Calibri" w:eastAsia="Calibri" w:hAnsi="Calibri"/>
                <w:b w:val="false"/>
                <w:bCs w:val="false"/>
                <w:color w:val="000000"/>
                <w:sz w:val="18"/>
                <w:szCs w:val="18"/>
              </w:rPr>
              <w:t xml:space="preserve">12</w:t>
            </w:r>
          </w:p>
        </w:tc>
        <w:tc>
          <w:tcPr>
            <w:tcW w:type="dxa" w:w="700"/>
            <w:vAlign w:val="center"/>
          </w:tcPr>
          <w:p>
            <w:r>
              <w:rPr>
                <w:rFonts w:ascii="Calibri" w:cs="Calibri" w:eastAsia="Calibri" w:hAnsi="Calibri"/>
                <w:b w:val="false"/>
                <w:bCs w:val="false"/>
                <w:color w:val="000000"/>
                <w:sz w:val="18"/>
                <w:szCs w:val="18"/>
              </w:rPr>
              <w:t xml:space="preserve">3</w:t>
            </w:r>
          </w:p>
        </w:tc>
        <w:tc>
          <w:tcPr>
            <w:tcW w:type="dxa" w:w="3300"/>
            <w:vAlign w:val="center"/>
          </w:tcPr>
          <w:p>
            <w:r>
              <w:rPr>
                <w:rFonts w:ascii="Calibri" w:cs="Calibri" w:eastAsia="Calibri" w:hAnsi="Calibri"/>
                <w:b w:val="false"/>
                <w:bCs w:val="false"/>
                <w:color w:val="000000"/>
                <w:sz w:val="18"/>
                <w:szCs w:val="18"/>
              </w:rPr>
              <w:t xml:space="preserve">Scheme/host allowlist + private-IP rejection, no redirects</w:t>
            </w:r>
          </w:p>
        </w:tc>
        <w:tc>
          <w:tcPr>
            <w:tcW w:type="dxa" w:w="1400"/>
            <w:vAlign w:val="center"/>
          </w:tcPr>
          <w:p>
            <w:r>
              <w:rPr>
                <w:rFonts w:ascii="Calibri" w:cs="Calibri" w:eastAsia="Calibri" w:hAnsi="Calibri"/>
                <w:b w:val="false"/>
                <w:bCs w:val="false"/>
                <w:color w:val="000000"/>
                <w:sz w:val="18"/>
                <w:szCs w:val="18"/>
              </w:rPr>
              <w:t xml:space="preserve">3</w:t>
            </w:r>
          </w:p>
        </w:tc>
      </w:tr>
      <w:tr>
        <w:tc>
          <w:tcPr>
            <w:tcW w:type="dxa" w:w="500"/>
            <w:vAlign w:val="center"/>
          </w:tcPr>
          <w:p>
            <w:r>
              <w:rPr>
                <w:rFonts w:ascii="Calibri" w:cs="Calibri" w:eastAsia="Calibri" w:hAnsi="Calibri"/>
                <w:b w:val="false"/>
                <w:bCs w:val="false"/>
                <w:color w:val="000000"/>
                <w:sz w:val="18"/>
                <w:szCs w:val="18"/>
              </w:rPr>
              <w:t xml:space="preserve">T6</w:t>
            </w:r>
          </w:p>
        </w:tc>
        <w:tc>
          <w:tcPr>
            <w:tcW w:type="dxa" w:w="2600"/>
            <w:vAlign w:val="center"/>
          </w:tcPr>
          <w:p>
            <w:r>
              <w:rPr>
                <w:rFonts w:ascii="Calibri" w:cs="Calibri" w:eastAsia="Calibri" w:hAnsi="Calibri"/>
                <w:b w:val="false"/>
                <w:bCs w:val="false"/>
                <w:color w:val="000000"/>
                <w:sz w:val="18"/>
                <w:szCs w:val="18"/>
              </w:rPr>
              <w:t xml:space="preserve">Verbose error disclosure</w:t>
            </w:r>
          </w:p>
        </w:tc>
        <w:tc>
          <w:tcPr>
            <w:tcW w:type="dxa" w:w="500"/>
            <w:vAlign w:val="center"/>
          </w:tcPr>
          <w:p>
            <w:r>
              <w:rPr>
                <w:rFonts w:ascii="Calibri" w:cs="Calibri" w:eastAsia="Calibri" w:hAnsi="Calibri"/>
                <w:b w:val="false"/>
                <w:bCs w:val="false"/>
                <w:color w:val="000000"/>
                <w:sz w:val="18"/>
                <w:szCs w:val="18"/>
              </w:rPr>
              <w:t xml:space="preserve">3</w:t>
            </w:r>
          </w:p>
        </w:tc>
        <w:tc>
          <w:tcPr>
            <w:tcW w:type="dxa" w:w="500"/>
            <w:vAlign w:val="center"/>
          </w:tcPr>
          <w:p>
            <w:r>
              <w:rPr>
                <w:rFonts w:ascii="Calibri" w:cs="Calibri" w:eastAsia="Calibri" w:hAnsi="Calibri"/>
                <w:b w:val="false"/>
                <w:bCs w:val="false"/>
                <w:color w:val="000000"/>
                <w:sz w:val="18"/>
                <w:szCs w:val="18"/>
              </w:rPr>
              <w:t xml:space="preserve">4</w:t>
            </w:r>
          </w:p>
        </w:tc>
        <w:tc>
          <w:tcPr>
            <w:tcW w:type="dxa" w:w="700"/>
            <w:vAlign w:val="center"/>
          </w:tcPr>
          <w:p>
            <w:r>
              <w:rPr>
                <w:rFonts w:ascii="Calibri" w:cs="Calibri" w:eastAsia="Calibri" w:hAnsi="Calibri"/>
                <w:b w:val="false"/>
                <w:bCs w:val="false"/>
                <w:color w:val="000000"/>
                <w:sz w:val="18"/>
                <w:szCs w:val="18"/>
              </w:rPr>
              <w:t xml:space="preserve">12</w:t>
            </w:r>
          </w:p>
        </w:tc>
        <w:tc>
          <w:tcPr>
            <w:tcW w:type="dxa" w:w="700"/>
            <w:vAlign w:val="center"/>
          </w:tcPr>
          <w:p>
            <w:r>
              <w:rPr>
                <w:rFonts w:ascii="Calibri" w:cs="Calibri" w:eastAsia="Calibri" w:hAnsi="Calibri"/>
                <w:b w:val="false"/>
                <w:bCs w:val="false"/>
                <w:color w:val="000000"/>
                <w:sz w:val="18"/>
                <w:szCs w:val="18"/>
              </w:rPr>
              <w:t xml:space="preserve">4</w:t>
            </w:r>
          </w:p>
        </w:tc>
        <w:tc>
          <w:tcPr>
            <w:tcW w:type="dxa" w:w="3300"/>
            <w:vAlign w:val="center"/>
          </w:tcPr>
          <w:p>
            <w:r>
              <w:rPr>
                <w:rFonts w:ascii="Calibri" w:cs="Calibri" w:eastAsia="Calibri" w:hAnsi="Calibri"/>
                <w:b w:val="false"/>
                <w:bCs w:val="false"/>
                <w:color w:val="000000"/>
                <w:sz w:val="18"/>
                <w:szCs w:val="18"/>
              </w:rPr>
              <w:t xml:space="preserve">APP_DEBUG flag gates error display</w:t>
            </w:r>
          </w:p>
        </w:tc>
        <w:tc>
          <w:tcPr>
            <w:tcW w:type="dxa" w:w="1400"/>
            <w:vAlign w:val="center"/>
          </w:tcPr>
          <w:p>
            <w:r>
              <w:rPr>
                <w:rFonts w:ascii="Calibri" w:cs="Calibri" w:eastAsia="Calibri" w:hAnsi="Calibri"/>
                <w:b w:val="false"/>
                <w:bCs w:val="false"/>
                <w:color w:val="000000"/>
                <w:sz w:val="18"/>
                <w:szCs w:val="18"/>
              </w:rPr>
              <w:t xml:space="preserve">3</w:t>
            </w:r>
          </w:p>
        </w:tc>
      </w:tr>
      <w:tr>
        <w:tc>
          <w:tcPr>
            <w:tcW w:type="dxa" w:w="500"/>
            <w:vAlign w:val="center"/>
          </w:tcPr>
          <w:p>
            <w:r>
              <w:rPr>
                <w:rFonts w:ascii="Calibri" w:cs="Calibri" w:eastAsia="Calibri" w:hAnsi="Calibri"/>
                <w:b w:val="false"/>
                <w:bCs w:val="false"/>
                <w:color w:val="000000"/>
                <w:sz w:val="18"/>
                <w:szCs w:val="18"/>
              </w:rPr>
              <w:t xml:space="preserve">T1</w:t>
            </w:r>
          </w:p>
        </w:tc>
        <w:tc>
          <w:tcPr>
            <w:tcW w:type="dxa" w:w="2600"/>
            <w:vAlign w:val="center"/>
          </w:tcPr>
          <w:p>
            <w:r>
              <w:rPr>
                <w:rFonts w:ascii="Calibri" w:cs="Calibri" w:eastAsia="Calibri" w:hAnsi="Calibri"/>
                <w:b w:val="false"/>
                <w:bCs w:val="false"/>
                <w:color w:val="000000"/>
                <w:sz w:val="18"/>
                <w:szCs w:val="18"/>
              </w:rPr>
              <w:t xml:space="preserve">Credential stuffing</w:t>
            </w:r>
          </w:p>
        </w:tc>
        <w:tc>
          <w:tcPr>
            <w:tcW w:type="dxa" w:w="500"/>
            <w:vAlign w:val="center"/>
          </w:tcPr>
          <w:p>
            <w:r>
              <w:rPr>
                <w:rFonts w:ascii="Calibri" w:cs="Calibri" w:eastAsia="Calibri" w:hAnsi="Calibri"/>
                <w:b w:val="false"/>
                <w:bCs w:val="false"/>
                <w:color w:val="000000"/>
                <w:sz w:val="18"/>
                <w:szCs w:val="18"/>
              </w:rPr>
              <w:t xml:space="preserve">4</w:t>
            </w:r>
          </w:p>
        </w:tc>
        <w:tc>
          <w:tcPr>
            <w:tcW w:type="dxa" w:w="500"/>
            <w:vAlign w:val="center"/>
          </w:tcPr>
          <w:p>
            <w:r>
              <w:rPr>
                <w:rFonts w:ascii="Calibri" w:cs="Calibri" w:eastAsia="Calibri" w:hAnsi="Calibri"/>
                <w:b w:val="false"/>
                <w:bCs w:val="false"/>
                <w:color w:val="000000"/>
                <w:sz w:val="18"/>
                <w:szCs w:val="18"/>
              </w:rPr>
              <w:t xml:space="preserve">4</w:t>
            </w:r>
          </w:p>
        </w:tc>
        <w:tc>
          <w:tcPr>
            <w:tcW w:type="dxa" w:w="700"/>
            <w:vAlign w:val="center"/>
          </w:tcPr>
          <w:p>
            <w:r>
              <w:rPr>
                <w:rFonts w:ascii="Calibri" w:cs="Calibri" w:eastAsia="Calibri" w:hAnsi="Calibri"/>
                <w:b w:val="false"/>
                <w:bCs w:val="false"/>
                <w:color w:val="000000"/>
                <w:sz w:val="18"/>
                <w:szCs w:val="18"/>
              </w:rPr>
              <w:t xml:space="preserve">16</w:t>
            </w:r>
          </w:p>
        </w:tc>
        <w:tc>
          <w:tcPr>
            <w:tcW w:type="dxa" w:w="700"/>
            <w:vAlign w:val="center"/>
          </w:tcPr>
          <w:p>
            <w:r>
              <w:rPr>
                <w:rFonts w:ascii="Calibri" w:cs="Calibri" w:eastAsia="Calibri" w:hAnsi="Calibri"/>
                <w:b w:val="false"/>
                <w:bCs w:val="false"/>
                <w:color w:val="000000"/>
                <w:sz w:val="18"/>
                <w:szCs w:val="18"/>
              </w:rPr>
              <w:t xml:space="preserve">5</w:t>
            </w:r>
          </w:p>
        </w:tc>
        <w:tc>
          <w:tcPr>
            <w:tcW w:type="dxa" w:w="3300"/>
            <w:vAlign w:val="center"/>
          </w:tcPr>
          <w:p>
            <w:r>
              <w:rPr>
                <w:rFonts w:ascii="Calibri" w:cs="Calibri" w:eastAsia="Calibri" w:hAnsi="Calibri"/>
                <w:b w:val="false"/>
                <w:bCs w:val="false"/>
                <w:color w:val="000000"/>
                <w:sz w:val="18"/>
                <w:szCs w:val="18"/>
              </w:rPr>
              <w:t xml:space="preserve">Argon2id hashing + 5-attempt/15-min lockout</w:t>
            </w:r>
          </w:p>
        </w:tc>
        <w:tc>
          <w:tcPr>
            <w:tcW w:type="dxa" w:w="1400"/>
            <w:vAlign w:val="center"/>
          </w:tcPr>
          <w:p>
            <w:r>
              <w:rPr>
                <w:rFonts w:ascii="Calibri" w:cs="Calibri" w:eastAsia="Calibri" w:hAnsi="Calibri"/>
                <w:b w:val="false"/>
                <w:bCs w:val="false"/>
                <w:color w:val="000000"/>
                <w:sz w:val="18"/>
                <w:szCs w:val="18"/>
              </w:rPr>
              <w:t xml:space="preserve">6</w:t>
            </w:r>
          </w:p>
        </w:tc>
      </w:tr>
      <w:tr>
        <w:tc>
          <w:tcPr>
            <w:tcW w:type="dxa" w:w="500"/>
            <w:vAlign w:val="center"/>
          </w:tcPr>
          <w:p>
            <w:r>
              <w:rPr>
                <w:rFonts w:ascii="Calibri" w:cs="Calibri" w:eastAsia="Calibri" w:hAnsi="Calibri"/>
                <w:b w:val="false"/>
                <w:bCs w:val="false"/>
                <w:color w:val="000000"/>
                <w:sz w:val="18"/>
                <w:szCs w:val="18"/>
              </w:rPr>
              <w:t xml:space="preserve">T3</w:t>
            </w:r>
          </w:p>
        </w:tc>
        <w:tc>
          <w:tcPr>
            <w:tcW w:type="dxa" w:w="2600"/>
            <w:vAlign w:val="center"/>
          </w:tcPr>
          <w:p>
            <w:r>
              <w:rPr>
                <w:rFonts w:ascii="Calibri" w:cs="Calibri" w:eastAsia="Calibri" w:hAnsi="Calibri"/>
                <w:b w:val="false"/>
                <w:bCs w:val="false"/>
                <w:color w:val="000000"/>
                <w:sz w:val="18"/>
                <w:szCs w:val="18"/>
              </w:rPr>
              <w:t xml:space="preserve">CSRF / parameter tampering</w:t>
            </w:r>
          </w:p>
        </w:tc>
        <w:tc>
          <w:tcPr>
            <w:tcW w:type="dxa" w:w="500"/>
            <w:vAlign w:val="center"/>
          </w:tcPr>
          <w:p>
            <w:r>
              <w:rPr>
                <w:rFonts w:ascii="Calibri" w:cs="Calibri" w:eastAsia="Calibri" w:hAnsi="Calibri"/>
                <w:b w:val="false"/>
                <w:bCs w:val="false"/>
                <w:color w:val="000000"/>
                <w:sz w:val="18"/>
                <w:szCs w:val="18"/>
              </w:rPr>
              <w:t xml:space="preserve">3</w:t>
            </w:r>
          </w:p>
        </w:tc>
        <w:tc>
          <w:tcPr>
            <w:tcW w:type="dxa" w:w="500"/>
            <w:vAlign w:val="center"/>
          </w:tcPr>
          <w:p>
            <w:r>
              <w:rPr>
                <w:rFonts w:ascii="Calibri" w:cs="Calibri" w:eastAsia="Calibri" w:hAnsi="Calibri"/>
                <w:b w:val="false"/>
                <w:bCs w:val="false"/>
                <w:color w:val="000000"/>
                <w:sz w:val="18"/>
                <w:szCs w:val="18"/>
              </w:rPr>
              <w:t xml:space="preserve">3</w:t>
            </w:r>
          </w:p>
        </w:tc>
        <w:tc>
          <w:tcPr>
            <w:tcW w:type="dxa" w:w="700"/>
            <w:vAlign w:val="center"/>
          </w:tcPr>
          <w:p>
            <w:r>
              <w:rPr>
                <w:rFonts w:ascii="Calibri" w:cs="Calibri" w:eastAsia="Calibri" w:hAnsi="Calibri"/>
                <w:b w:val="false"/>
                <w:bCs w:val="false"/>
                <w:color w:val="000000"/>
                <w:sz w:val="18"/>
                <w:szCs w:val="18"/>
              </w:rPr>
              <w:t xml:space="preserve">9</w:t>
            </w:r>
          </w:p>
        </w:tc>
        <w:tc>
          <w:tcPr>
            <w:tcW w:type="dxa" w:w="700"/>
            <w:vAlign w:val="center"/>
          </w:tcPr>
          <w:p>
            <w:r>
              <w:rPr>
                <w:rFonts w:ascii="Calibri" w:cs="Calibri" w:eastAsia="Calibri" w:hAnsi="Calibri"/>
                <w:b w:val="false"/>
                <w:bCs w:val="false"/>
                <w:color w:val="000000"/>
                <w:sz w:val="18"/>
                <w:szCs w:val="18"/>
              </w:rPr>
              <w:t xml:space="preserve">6</w:t>
            </w:r>
          </w:p>
        </w:tc>
        <w:tc>
          <w:tcPr>
            <w:tcW w:type="dxa" w:w="3300"/>
            <w:vAlign w:val="center"/>
          </w:tcPr>
          <w:p>
            <w:r>
              <w:rPr>
                <w:rFonts w:ascii="Calibri" w:cs="Calibri" w:eastAsia="Calibri" w:hAnsi="Calibri"/>
                <w:b w:val="false"/>
                <w:bCs w:val="false"/>
                <w:color w:val="000000"/>
                <w:sz w:val="18"/>
                <w:szCs w:val="18"/>
              </w:rPr>
              <w:t xml:space="preserve">Anti-CSRF token on every state-changing POST</w:t>
            </w:r>
          </w:p>
        </w:tc>
        <w:tc>
          <w:tcPr>
            <w:tcW w:type="dxa" w:w="1400"/>
            <w:vAlign w:val="center"/>
          </w:tcPr>
          <w:p>
            <w:r>
              <w:rPr>
                <w:rFonts w:ascii="Calibri" w:cs="Calibri" w:eastAsia="Calibri" w:hAnsi="Calibri"/>
                <w:b w:val="false"/>
                <w:bCs w:val="false"/>
                <w:color w:val="000000"/>
                <w:sz w:val="18"/>
                <w:szCs w:val="18"/>
              </w:rPr>
              <w:t xml:space="preserve">2</w:t>
            </w:r>
          </w:p>
        </w:tc>
      </w:tr>
      <w:tr>
        <w:tc>
          <w:tcPr>
            <w:tcW w:type="dxa" w:w="500"/>
            <w:vAlign w:val="center"/>
          </w:tcPr>
          <w:p>
            <w:r>
              <w:rPr>
                <w:rFonts w:ascii="Calibri" w:cs="Calibri" w:eastAsia="Calibri" w:hAnsi="Calibri"/>
                <w:b w:val="false"/>
                <w:bCs w:val="false"/>
                <w:color w:val="000000"/>
                <w:sz w:val="18"/>
                <w:szCs w:val="18"/>
              </w:rPr>
              <w:t xml:space="preserve">T7</w:t>
            </w:r>
          </w:p>
        </w:tc>
        <w:tc>
          <w:tcPr>
            <w:tcW w:type="dxa" w:w="2600"/>
            <w:vAlign w:val="center"/>
          </w:tcPr>
          <w:p>
            <w:r>
              <w:rPr>
                <w:rFonts w:ascii="Calibri" w:cs="Calibri" w:eastAsia="Calibri" w:hAnsi="Calibri"/>
                <w:b w:val="false"/>
                <w:bCs w:val="false"/>
                <w:color w:val="000000"/>
                <w:sz w:val="18"/>
                <w:szCs w:val="18"/>
              </w:rPr>
              <w:t xml:space="preserve">DoS via unrestricted upload</w:t>
            </w:r>
          </w:p>
        </w:tc>
        <w:tc>
          <w:tcPr>
            <w:tcW w:type="dxa" w:w="500"/>
            <w:vAlign w:val="center"/>
          </w:tcPr>
          <w:p>
            <w:r>
              <w:rPr>
                <w:rFonts w:ascii="Calibri" w:cs="Calibri" w:eastAsia="Calibri" w:hAnsi="Calibri"/>
                <w:b w:val="false"/>
                <w:bCs w:val="false"/>
                <w:color w:val="000000"/>
                <w:sz w:val="18"/>
                <w:szCs w:val="18"/>
              </w:rPr>
              <w:t xml:space="preserve">3</w:t>
            </w:r>
          </w:p>
        </w:tc>
        <w:tc>
          <w:tcPr>
            <w:tcW w:type="dxa" w:w="500"/>
            <w:vAlign w:val="center"/>
          </w:tcPr>
          <w:p>
            <w:r>
              <w:rPr>
                <w:rFonts w:ascii="Calibri" w:cs="Calibri" w:eastAsia="Calibri" w:hAnsi="Calibri"/>
                <w:b w:val="false"/>
                <w:bCs w:val="false"/>
                <w:color w:val="000000"/>
                <w:sz w:val="18"/>
                <w:szCs w:val="18"/>
              </w:rPr>
              <w:t xml:space="preserve">3</w:t>
            </w:r>
          </w:p>
        </w:tc>
        <w:tc>
          <w:tcPr>
            <w:tcW w:type="dxa" w:w="700"/>
            <w:vAlign w:val="center"/>
          </w:tcPr>
          <w:p>
            <w:r>
              <w:rPr>
                <w:rFonts w:ascii="Calibri" w:cs="Calibri" w:eastAsia="Calibri" w:hAnsi="Calibri"/>
                <w:b w:val="false"/>
                <w:bCs w:val="false"/>
                <w:color w:val="000000"/>
                <w:sz w:val="18"/>
                <w:szCs w:val="18"/>
              </w:rPr>
              <w:t xml:space="preserve">9</w:t>
            </w:r>
          </w:p>
        </w:tc>
        <w:tc>
          <w:tcPr>
            <w:tcW w:type="dxa" w:w="700"/>
            <w:vAlign w:val="center"/>
          </w:tcPr>
          <w:p>
            <w:r>
              <w:rPr>
                <w:rFonts w:ascii="Calibri" w:cs="Calibri" w:eastAsia="Calibri" w:hAnsi="Calibri"/>
                <w:b w:val="false"/>
                <w:bCs w:val="false"/>
                <w:color w:val="000000"/>
                <w:sz w:val="18"/>
                <w:szCs w:val="18"/>
              </w:rPr>
              <w:t xml:space="preserve">7</w:t>
            </w:r>
          </w:p>
        </w:tc>
        <w:tc>
          <w:tcPr>
            <w:tcW w:type="dxa" w:w="3300"/>
            <w:vAlign w:val="center"/>
          </w:tcPr>
          <w:p>
            <w:r>
              <w:rPr>
                <w:rFonts w:ascii="Calibri" w:cs="Calibri" w:eastAsia="Calibri" w:hAnsi="Calibri"/>
                <w:b w:val="false"/>
                <w:bCs w:val="false"/>
                <w:color w:val="000000"/>
                <w:sz w:val="18"/>
                <w:szCs w:val="18"/>
              </w:rPr>
              <w:t xml:space="preserve">2MB cap + content-type verification</w:t>
            </w:r>
          </w:p>
        </w:tc>
        <w:tc>
          <w:tcPr>
            <w:tcW w:type="dxa" w:w="1400"/>
            <w:vAlign w:val="center"/>
          </w:tcPr>
          <w:p>
            <w:r>
              <w:rPr>
                <w:rFonts w:ascii="Calibri" w:cs="Calibri" w:eastAsia="Calibri" w:hAnsi="Calibri"/>
                <w:b w:val="false"/>
                <w:bCs w:val="false"/>
                <w:color w:val="000000"/>
                <w:sz w:val="18"/>
                <w:szCs w:val="18"/>
              </w:rPr>
              <w:t xml:space="preserve">4</w:t>
            </w:r>
          </w:p>
        </w:tc>
      </w:tr>
      <w:tr>
        <w:tc>
          <w:tcPr>
            <w:tcW w:type="dxa" w:w="500"/>
            <w:vAlign w:val="center"/>
          </w:tcPr>
          <w:p>
            <w:r>
              <w:rPr>
                <w:rFonts w:ascii="Calibri" w:cs="Calibri" w:eastAsia="Calibri" w:hAnsi="Calibri"/>
                <w:b w:val="false"/>
                <w:bCs w:val="false"/>
                <w:color w:val="000000"/>
                <w:sz w:val="18"/>
                <w:szCs w:val="18"/>
              </w:rPr>
              <w:t xml:space="preserve">T2</w:t>
            </w:r>
          </w:p>
        </w:tc>
        <w:tc>
          <w:tcPr>
            <w:tcW w:type="dxa" w:w="2600"/>
            <w:vAlign w:val="center"/>
          </w:tcPr>
          <w:p>
            <w:r>
              <w:rPr>
                <w:rFonts w:ascii="Calibri" w:cs="Calibri" w:eastAsia="Calibri" w:hAnsi="Calibri"/>
                <w:b w:val="false"/>
                <w:bCs w:val="false"/>
                <w:color w:val="000000"/>
                <w:sz w:val="18"/>
                <w:szCs w:val="18"/>
              </w:rPr>
              <w:t xml:space="preserve">Session hijacking</w:t>
            </w:r>
          </w:p>
        </w:tc>
        <w:tc>
          <w:tcPr>
            <w:tcW w:type="dxa" w:w="500"/>
            <w:vAlign w:val="center"/>
          </w:tcPr>
          <w:p>
            <w:r>
              <w:rPr>
                <w:rFonts w:ascii="Calibri" w:cs="Calibri" w:eastAsia="Calibri" w:hAnsi="Calibri"/>
                <w:b w:val="false"/>
                <w:bCs w:val="false"/>
                <w:color w:val="000000"/>
                <w:sz w:val="18"/>
                <w:szCs w:val="18"/>
              </w:rPr>
              <w:t xml:space="preserve">2</w:t>
            </w:r>
          </w:p>
        </w:tc>
        <w:tc>
          <w:tcPr>
            <w:tcW w:type="dxa" w:w="500"/>
            <w:vAlign w:val="center"/>
          </w:tcPr>
          <w:p>
            <w:r>
              <w:rPr>
                <w:rFonts w:ascii="Calibri" w:cs="Calibri" w:eastAsia="Calibri" w:hAnsi="Calibri"/>
                <w:b w:val="false"/>
                <w:bCs w:val="false"/>
                <w:color w:val="000000"/>
                <w:sz w:val="18"/>
                <w:szCs w:val="18"/>
              </w:rPr>
              <w:t xml:space="preserve">4</w:t>
            </w:r>
          </w:p>
        </w:tc>
        <w:tc>
          <w:tcPr>
            <w:tcW w:type="dxa" w:w="700"/>
            <w:vAlign w:val="center"/>
          </w:tcPr>
          <w:p>
            <w:r>
              <w:rPr>
                <w:rFonts w:ascii="Calibri" w:cs="Calibri" w:eastAsia="Calibri" w:hAnsi="Calibri"/>
                <w:b w:val="false"/>
                <w:bCs w:val="false"/>
                <w:color w:val="000000"/>
                <w:sz w:val="18"/>
                <w:szCs w:val="18"/>
              </w:rPr>
              <w:t xml:space="preserve">8</w:t>
            </w:r>
          </w:p>
        </w:tc>
        <w:tc>
          <w:tcPr>
            <w:tcW w:type="dxa" w:w="700"/>
            <w:vAlign w:val="center"/>
          </w:tcPr>
          <w:p>
            <w:r>
              <w:rPr>
                <w:rFonts w:ascii="Calibri" w:cs="Calibri" w:eastAsia="Calibri" w:hAnsi="Calibri"/>
                <w:b w:val="false"/>
                <w:bCs w:val="false"/>
                <w:color w:val="000000"/>
                <w:sz w:val="18"/>
                <w:szCs w:val="18"/>
              </w:rPr>
              <w:t xml:space="preserve">8</w:t>
            </w:r>
          </w:p>
        </w:tc>
        <w:tc>
          <w:tcPr>
            <w:tcW w:type="dxa" w:w="3300"/>
            <w:vAlign w:val="center"/>
          </w:tcPr>
          <w:p>
            <w:r>
              <w:rPr>
                <w:rFonts w:ascii="Calibri" w:cs="Calibri" w:eastAsia="Calibri" w:hAnsi="Calibri"/>
                <w:b w:val="false"/>
                <w:bCs w:val="false"/>
                <w:color w:val="000000"/>
                <w:sz w:val="18"/>
                <w:szCs w:val="18"/>
              </w:rPr>
              <w:t xml:space="preserve">HttpOnly/SameSite cookies + session regeneration</w:t>
            </w:r>
          </w:p>
        </w:tc>
        <w:tc>
          <w:tcPr>
            <w:tcW w:type="dxa" w:w="1400"/>
            <w:vAlign w:val="center"/>
          </w:tcPr>
          <w:p>
            <w:r>
              <w:rPr>
                <w:rFonts w:ascii="Calibri" w:cs="Calibri" w:eastAsia="Calibri" w:hAnsi="Calibri"/>
                <w:b w:val="false"/>
                <w:bCs w:val="false"/>
                <w:color w:val="000000"/>
                <w:sz w:val="18"/>
                <w:szCs w:val="18"/>
              </w:rPr>
              <w:t xml:space="preserve">3</w:t>
            </w:r>
          </w:p>
        </w:tc>
      </w:tr>
      <w:tr>
        <w:tc>
          <w:tcPr>
            <w:tcW w:type="dxa" w:w="500"/>
            <w:vAlign w:val="center"/>
          </w:tcPr>
          <w:p>
            <w:r>
              <w:rPr>
                <w:rFonts w:ascii="Calibri" w:cs="Calibri" w:eastAsia="Calibri" w:hAnsi="Calibri"/>
                <w:b w:val="false"/>
                <w:bCs w:val="false"/>
                <w:color w:val="000000"/>
                <w:sz w:val="18"/>
                <w:szCs w:val="18"/>
              </w:rPr>
              <w:t xml:space="preserve">T4</w:t>
            </w:r>
          </w:p>
        </w:tc>
        <w:tc>
          <w:tcPr>
            <w:tcW w:type="dxa" w:w="2600"/>
            <w:vAlign w:val="center"/>
          </w:tcPr>
          <w:p>
            <w:r>
              <w:rPr>
                <w:rFonts w:ascii="Calibri" w:cs="Calibri" w:eastAsia="Calibri" w:hAnsi="Calibri"/>
                <w:b w:val="false"/>
                <w:bCs w:val="false"/>
                <w:color w:val="000000"/>
                <w:sz w:val="18"/>
                <w:szCs w:val="18"/>
              </w:rPr>
              <w:t xml:space="preserve">Repudiation of actions</w:t>
            </w:r>
          </w:p>
        </w:tc>
        <w:tc>
          <w:tcPr>
            <w:tcW w:type="dxa" w:w="500"/>
            <w:vAlign w:val="center"/>
          </w:tcPr>
          <w:p>
            <w:r>
              <w:rPr>
                <w:rFonts w:ascii="Calibri" w:cs="Calibri" w:eastAsia="Calibri" w:hAnsi="Calibri"/>
                <w:b w:val="false"/>
                <w:bCs w:val="false"/>
                <w:color w:val="000000"/>
                <w:sz w:val="18"/>
                <w:szCs w:val="18"/>
              </w:rPr>
              <w:t xml:space="preserve">2</w:t>
            </w:r>
          </w:p>
        </w:tc>
        <w:tc>
          <w:tcPr>
            <w:tcW w:type="dxa" w:w="500"/>
            <w:vAlign w:val="center"/>
          </w:tcPr>
          <w:p>
            <w:r>
              <w:rPr>
                <w:rFonts w:ascii="Calibri" w:cs="Calibri" w:eastAsia="Calibri" w:hAnsi="Calibri"/>
                <w:b w:val="false"/>
                <w:bCs w:val="false"/>
                <w:color w:val="000000"/>
                <w:sz w:val="18"/>
                <w:szCs w:val="18"/>
              </w:rPr>
              <w:t xml:space="preserve">3</w:t>
            </w:r>
          </w:p>
        </w:tc>
        <w:tc>
          <w:tcPr>
            <w:tcW w:type="dxa" w:w="700"/>
            <w:vAlign w:val="center"/>
          </w:tcPr>
          <w:p>
            <w:r>
              <w:rPr>
                <w:rFonts w:ascii="Calibri" w:cs="Calibri" w:eastAsia="Calibri" w:hAnsi="Calibri"/>
                <w:b w:val="false"/>
                <w:bCs w:val="false"/>
                <w:color w:val="000000"/>
                <w:sz w:val="18"/>
                <w:szCs w:val="18"/>
              </w:rPr>
              <w:t xml:space="preserve">6</w:t>
            </w:r>
          </w:p>
        </w:tc>
        <w:tc>
          <w:tcPr>
            <w:tcW w:type="dxa" w:w="700"/>
            <w:vAlign w:val="center"/>
          </w:tcPr>
          <w:p>
            <w:r>
              <w:rPr>
                <w:rFonts w:ascii="Calibri" w:cs="Calibri" w:eastAsia="Calibri" w:hAnsi="Calibri"/>
                <w:b w:val="false"/>
                <w:bCs w:val="false"/>
                <w:color w:val="000000"/>
                <w:sz w:val="18"/>
                <w:szCs w:val="18"/>
              </w:rPr>
              <w:t xml:space="preserve">9</w:t>
            </w:r>
          </w:p>
        </w:tc>
        <w:tc>
          <w:tcPr>
            <w:tcW w:type="dxa" w:w="3300"/>
            <w:vAlign w:val="center"/>
          </w:tcPr>
          <w:p>
            <w:r>
              <w:rPr>
                <w:rFonts w:ascii="Calibri" w:cs="Calibri" w:eastAsia="Calibri" w:hAnsi="Calibri"/>
                <w:b w:val="false"/>
                <w:bCs w:val="false"/>
                <w:color w:val="000000"/>
                <w:sz w:val="18"/>
                <w:szCs w:val="18"/>
              </w:rPr>
              <w:t xml:space="preserve">audit_log records who/what/when for sensitive actions</w:t>
            </w:r>
          </w:p>
        </w:tc>
        <w:tc>
          <w:tcPr>
            <w:tcW w:type="dxa" w:w="1400"/>
            <w:vAlign w:val="center"/>
          </w:tcPr>
          <w:p>
            <w:r>
              <w:rPr>
                <w:rFonts w:ascii="Calibri" w:cs="Calibri" w:eastAsia="Calibri" w:hAnsi="Calibri"/>
                <w:b w:val="false"/>
                <w:bCs w:val="false"/>
                <w:color w:val="000000"/>
                <w:sz w:val="18"/>
                <w:szCs w:val="18"/>
              </w:rPr>
              <w:t xml:space="preserve">2</w:t>
            </w:r>
          </w:p>
        </w:tc>
      </w:tr>
    </w:tbl>
    <w:p>
      <w:pPr>
        <w:pStyle w:val="Heading2"/>
        <w:spacing w:after="150" w:before="300"/>
      </w:pPr>
      <w:r>
        <w:t xml:space="preserve">1.4 Top Three Priority Risks — Justification</w:t>
      </w:r>
    </w:p>
    <w:p>
      <w:pPr>
        <w:pStyle w:val="Heading3"/>
        <w:spacing w:after="100" w:before="200"/>
      </w:pPr>
      <w:r>
        <w:t xml:space="preserve">1. SQL Injection (T5) — original risk 20, residual 5</w:t>
      </w:r>
    </w:p>
    <w:p>
      <w:pPr>
        <w:spacing w:after="160" w:line="276"/>
      </w:pPr>
      <w:r>
        <w:rPr>
          <w:rFonts w:ascii="Calibri" w:cs="Calibri" w:eastAsia="Calibri" w:hAnsi="Calibri"/>
          <w:sz w:val="22"/>
          <w:szCs w:val="22"/>
        </w:rPr>
        <w:t xml:space="preserve">Highest possible impact (full authentication bypass and disclosure of the entire users table, including password hashes) combined with high likelihood, since SQLi against login forms is one of the most commonly automated web attacks. Fixed with server-side prepared statements so user input can never alter query structure. The residual risk of 5 is accepted: it reflects the small remaining possibility of a future query being added without parameterisation, mitigated by an automated regression test that re-submits the classic ' OR '1'='1 payload on every test run.</w:t>
      </w:r>
    </w:p>
    <w:p>
      <w:pPr>
        <w:pStyle w:val="Heading3"/>
        <w:spacing w:after="100" w:before="200"/>
      </w:pPr>
      <w:r>
        <w:t xml:space="preserve">2. Broken Access Control / Elevation of Privilege (T8) — original risk 15, residual 4</w:t>
      </w:r>
    </w:p>
    <w:p>
      <w:pPr>
        <w:spacing w:after="160" w:line="276"/>
      </w:pPr>
      <w:r>
        <w:rPr>
          <w:rFonts w:ascii="Calibri" w:cs="Calibri" w:eastAsia="Calibri" w:hAnsi="Calibri"/>
          <w:sz w:val="22"/>
          <w:szCs w:val="22"/>
        </w:rPr>
        <w:t xml:space="preserve">Without server-side role checks, any authenticated user could reach admin functionality by guessing a URL. Impact is severe: full control over course data and visibility into the student roster. Fixed with a require_role() guard verified against the database session, not a client-trusted flag. Residual risk of 4 is accepted, offset by the convention of placing the guard as the first line of every admin page.</w:t>
      </w:r>
    </w:p>
    <w:p>
      <w:pPr>
        <w:pStyle w:val="Heading3"/>
        <w:spacing w:after="100" w:before="200"/>
      </w:pPr>
      <w:r>
        <w:t xml:space="preserve">3. SSRF via Resource Preview (T9) — original risk 12, residual 3</w:t>
      </w:r>
    </w:p>
    <w:p>
      <w:pPr>
        <w:spacing w:after="160" w:line="276"/>
      </w:pPr>
      <w:r>
        <w:rPr>
          <w:rFonts w:ascii="Calibri" w:cs="Calibri" w:eastAsia="Calibri" w:hAnsi="Calibri"/>
          <w:sz w:val="22"/>
          <w:szCs w:val="22"/>
        </w:rPr>
        <w:t xml:space="preserve">Selected over the tied Information Disclosure risk because SSRF has a more severe worst case: an unrestricted URL-fetch feature can reach cloud metadata endpoints or internal-only services, turning a minor convenience feature into a network pivot point. Fixed with a scheme allowlist, hostname allowlist, self-resolved DNS with private/loopback/metadata range rejection, and disabled redirects. Residual risk of 3 is accepted for a localhost teaching prototype; a production deployment would add a network-level egress proxy as a further layer.</w:t>
      </w:r>
    </w:p>
    <w:p>
      <w:r>
        <w:br w:type="page"/>
      </w:r>
    </w:p>
    <w:p>
      <w:pPr>
        <w:pStyle w:val="Heading1"/>
        <w:spacing w:after="200" w:before="400"/>
      </w:pPr>
      <w:r>
        <w:t xml:space="preserve">Task 2: Secure Authentication and SQL Injection Remediation</w:t>
      </w:r>
    </w:p>
    <w:p>
      <w:pPr>
        <w:spacing w:after="160" w:line="276"/>
      </w:pPr>
      <w:r>
        <w:rPr>
          <w:rFonts w:ascii="Calibri" w:cs="Calibri" w:eastAsia="Calibri" w:hAnsi="Calibri"/>
          <w:sz w:val="22"/>
          <w:szCs w:val="22"/>
        </w:rPr>
        <w:t xml:space="preserve">This section documents the unsafe query pattern found in the prototype, the fix applied, and the additional authentication controls implemented.</w:t>
      </w:r>
    </w:p>
    <w:p>
      <w:pPr>
        <w:pStyle w:val="Heading2"/>
        <w:spacing w:after="150" w:before="300"/>
      </w:pPr>
      <w:r>
        <w:t xml:space="preserve">2.1 The Unsafe Pattern — Before</w:t>
      </w:r>
    </w:p>
    <w:p>
      <w:pPr>
        <w:spacing w:after="160" w:line="276"/>
      </w:pPr>
      <w:r>
        <w:rPr>
          <w:rFonts w:ascii="Calibri" w:cs="Calibri" w:eastAsia="Calibri" w:hAnsi="Calibri"/>
          <w:sz w:val="22"/>
          <w:szCs w:val="22"/>
        </w:rPr>
        <w:t xml:space="preserve">File: vulnerable-examples/login_vulnerable.php (isolated for demonstration only; never linked into the live application).</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$email    = $_POST['email']    ?? '';</w:t>
      </w:r>
      <w:r>
        <w:rPr>
          <w:rFonts w:ascii="Consolas" w:cs="Consolas" w:eastAsia="Consolas" w:hAnsi="Consolas"/>
          <w:sz w:val="18"/>
          <w:szCs w:val="18"/>
        </w:rPr>
        <w:br/>
        <w:t xml:space="preserve">$password = $_POST['password'] ?? '';</w:t>
      </w:r>
      <w:r>
        <w:rPr>
          <w:rFonts w:ascii="Consolas" w:cs="Consolas" w:eastAsia="Consolas" w:hAnsi="Consolas"/>
          <w:sz w:val="18"/>
          <w:szCs w:val="18"/>
        </w:rPr>
        <w:br/>
        <w:t xml:space="preserve"/>
      </w:r>
      <w:r>
        <w:rPr>
          <w:rFonts w:ascii="Consolas" w:cs="Consolas" w:eastAsia="Consolas" w:hAnsi="Consolas"/>
          <w:sz w:val="18"/>
          <w:szCs w:val="18"/>
        </w:rPr>
        <w:br/>
        <w:t xml:space="preserve">// VULNERABLE: raw user input concatenated directly into SQL text</w:t>
      </w:r>
      <w:r>
        <w:rPr>
          <w:rFonts w:ascii="Consolas" w:cs="Consolas" w:eastAsia="Consolas" w:hAnsi="Consolas"/>
          <w:sz w:val="18"/>
          <w:szCs w:val="18"/>
        </w:rPr>
        <w:br/>
        <w:t xml:space="preserve">$query = "SELECT * FROM users WHERE email = '$email' AND password_hash = '$password'";</w:t>
      </w:r>
      <w:r>
        <w:rPr>
          <w:rFonts w:ascii="Consolas" w:cs="Consolas" w:eastAsia="Consolas" w:hAnsi="Consolas"/>
          <w:sz w:val="18"/>
          <w:szCs w:val="18"/>
        </w:rPr>
        <w:br/>
        <w:t xml:space="preserve">$result = $pdo-&gt;query($query);</w:t>
      </w:r>
    </w:p>
    <w:p>
      <w:pPr>
        <w:spacing w:after="160" w:line="276"/>
      </w:pPr>
      <w:r>
        <w:rPr>
          <w:rFonts w:ascii="Calibri" w:cs="Calibri" w:eastAsia="Calibri" w:hAnsi="Calibri"/>
          <w:sz w:val="22"/>
          <w:szCs w:val="22"/>
        </w:rPr>
        <w:t xml:space="preserve">Why this is unsafe: the attacker-controlled $email and $password values are spliced directly into the SQL string. MySQL cannot distinguish attacker-supplied data from query syntax at that point. A crafted email such as admin.test@example.local' -- comments out the password check entirely, and a payload such as ' OR '1'='1 makes the WHERE clause always true, bypassing authentication for any account.</w:t>
      </w:r>
    </w:p>
    <w:p>
      <w:pPr>
        <w:pStyle w:val="Heading2"/>
        <w:spacing w:after="150" w:before="300"/>
      </w:pPr>
      <w:r>
        <w:t xml:space="preserve">2.2 The Fix — After</w:t>
      </w:r>
    </w:p>
    <w:p>
      <w:pPr>
        <w:spacing w:after="160" w:line="276"/>
      </w:pPr>
      <w:r>
        <w:rPr>
          <w:rFonts w:ascii="Calibri" w:cs="Calibri" w:eastAsia="Calibri" w:hAnsi="Calibri"/>
          <w:sz w:val="22"/>
          <w:szCs w:val="22"/>
        </w:rPr>
        <w:t xml:space="preserve">File: public/login.php</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$stmt = get_db()-&gt;prepare(</w:t>
      </w:r>
      <w:r>
        <w:rPr>
          <w:rFonts w:ascii="Consolas" w:cs="Consolas" w:eastAsia="Consolas" w:hAnsi="Consolas"/>
          <w:sz w:val="18"/>
          <w:szCs w:val="18"/>
        </w:rPr>
        <w:br/>
        <w:t xml:space="preserve">    'SELECT id, full_name, email, password_hash, role, failed_attempts, locked_until</w:t>
      </w:r>
      <w:r>
        <w:rPr>
          <w:rFonts w:ascii="Consolas" w:cs="Consolas" w:eastAsia="Consolas" w:hAnsi="Consolas"/>
          <w:sz w:val="18"/>
          <w:szCs w:val="18"/>
        </w:rPr>
        <w:br/>
        <w:t xml:space="preserve">     FROM users WHERE email = :email LIMIT 1'</w:t>
      </w:r>
      <w:r>
        <w:rPr>
          <w:rFonts w:ascii="Consolas" w:cs="Consolas" w:eastAsia="Consolas" w:hAnsi="Consolas"/>
          <w:sz w:val="18"/>
          <w:szCs w:val="18"/>
        </w:rPr>
        <w:br/>
        <w:t xml:space="preserve">);</w:t>
      </w:r>
      <w:r>
        <w:rPr>
          <w:rFonts w:ascii="Consolas" w:cs="Consolas" w:eastAsia="Consolas" w:hAnsi="Consolas"/>
          <w:sz w:val="18"/>
          <w:szCs w:val="18"/>
        </w:rPr>
        <w:br/>
        <w:t xml:space="preserve">$stmt-&gt;execute([':email' =&gt; $email]);</w:t>
      </w:r>
      <w:r>
        <w:rPr>
          <w:rFonts w:ascii="Consolas" w:cs="Consolas" w:eastAsia="Consolas" w:hAnsi="Consolas"/>
          <w:sz w:val="18"/>
          <w:szCs w:val="18"/>
        </w:rPr>
        <w:br/>
        <w:t xml:space="preserve">$user = $stmt-&gt;fetch();</w:t>
      </w:r>
      <w:r>
        <w:rPr>
          <w:rFonts w:ascii="Consolas" w:cs="Consolas" w:eastAsia="Consolas" w:hAnsi="Consolas"/>
          <w:sz w:val="18"/>
          <w:szCs w:val="18"/>
        </w:rPr>
        <w:br/>
        <w:t xml:space="preserve"/>
      </w:r>
      <w:r>
        <w:rPr>
          <w:rFonts w:ascii="Consolas" w:cs="Consolas" w:eastAsia="Consolas" w:hAnsi="Consolas"/>
          <w:sz w:val="18"/>
          <w:szCs w:val="18"/>
        </w:rPr>
        <w:br/>
        <w:t xml:space="preserve">if ($user &amp;&amp; password_verify($password, $user['password_hash'])) {</w:t>
      </w:r>
      <w:r>
        <w:rPr>
          <w:rFonts w:ascii="Consolas" w:cs="Consolas" w:eastAsia="Consolas" w:hAnsi="Consolas"/>
          <w:sz w:val="18"/>
          <w:szCs w:val="18"/>
        </w:rPr>
        <w:br/>
        <w:t xml:space="preserve">    session_regenerate_id(true);</w:t>
      </w:r>
      <w:r>
        <w:rPr>
          <w:rFonts w:ascii="Consolas" w:cs="Consolas" w:eastAsia="Consolas" w:hAnsi="Consolas"/>
          <w:sz w:val="18"/>
          <w:szCs w:val="18"/>
        </w:rPr>
        <w:br/>
        <w:t xml:space="preserve">    // ... establish session</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config/db.php explicitly disables prepared-statement emulation (PDO::ATTR_EMULATE_PREPARES =&gt; false), so the database driver — not PHP — separates the query plan from the bound data. The :email placeholder can never be interpreted as SQL syntax, regardless of its content, because it is transmitted to MySQL as data in a separate protocol message from the query itself.</w:t>
      </w:r>
    </w:p>
    <w:p>
      <w:pPr>
        <w:pStyle w:val="Heading2"/>
        <w:spacing w:after="150" w:before="300"/>
      </w:pPr>
      <w:r>
        <w:t xml:space="preserve">2.3 Authentication Controls Implemented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vAlign w:val="center"/>
          </w:tcPr>
          <w:p>
            <w:r>
              <w:rPr>
                <w:rFonts w:ascii="Calibri" w:cs="Calibri" w:eastAsia="Calibri" w:hAnsi="Calibri"/>
                <w:b/>
                <w:bCs/>
                <w:color w:val="FFFFFF"/>
                <w:sz w:val="18"/>
                <w:szCs w:val="18"/>
              </w:rPr>
              <w:t xml:space="preserve">Control</w:t>
            </w:r>
          </w:p>
        </w:tc>
        <w:tc>
          <w:tcPr>
            <w:tcW w:type="dxa" w:w="6100"/>
            <w:shd w:fill="1F3864" w:val="clear"/>
            <w:vAlign w:val="center"/>
          </w:tcPr>
          <w:p>
            <w:r>
              <w:rPr>
                <w:rFonts w:ascii="Calibri" w:cs="Calibri" w:eastAsia="Calibri" w:hAnsi="Calibri"/>
                <w:b/>
                <w:bCs/>
                <w:color w:val="FFFFFF"/>
                <w:sz w:val="18"/>
                <w:szCs w:val="18"/>
              </w:rPr>
              <w:t xml:space="preserve">Implementation</w:t>
            </w:r>
          </w:p>
        </w:tc>
      </w:tr>
      <w:tr>
        <w:tc>
          <w:tcPr>
            <w:tcW w:type="dxa" w:w="3200"/>
            <w:vAlign w:val="center"/>
          </w:tcPr>
          <w:p>
            <w:r>
              <w:rPr>
                <w:rFonts w:ascii="Calibri" w:cs="Calibri" w:eastAsia="Calibri" w:hAnsi="Calibri"/>
                <w:b w:val="false"/>
                <w:bCs w:val="false"/>
                <w:color w:val="000000"/>
                <w:sz w:val="18"/>
                <w:szCs w:val="18"/>
              </w:rPr>
              <w:t xml:space="preserve">Input validation</w:t>
            </w:r>
          </w:p>
        </w:tc>
        <w:tc>
          <w:tcPr>
            <w:tcW w:type="dxa" w:w="6100"/>
            <w:vAlign w:val="center"/>
          </w:tcPr>
          <w:p>
            <w:r>
              <w:rPr>
                <w:rFonts w:ascii="Calibri" w:cs="Calibri" w:eastAsia="Calibri" w:hAnsi="Calibri"/>
                <w:b w:val="false"/>
                <w:bCs w:val="false"/>
                <w:color w:val="000000"/>
                <w:sz w:val="18"/>
                <w:szCs w:val="18"/>
              </w:rPr>
              <w:t xml:space="preserve">Email validated with FILTER_VALIDATE_EMAIL and a 150-char length cap before any query is issued; malformed input is rejected with a generic message and logged as VALIDATION_REJECTED.</w:t>
            </w:r>
          </w:p>
        </w:tc>
      </w:tr>
      <w:tr>
        <w:tc>
          <w:tcPr>
            <w:tcW w:type="dxa" w:w="3200"/>
            <w:vAlign w:val="center"/>
          </w:tcPr>
          <w:p>
            <w:r>
              <w:rPr>
                <w:rFonts w:ascii="Calibri" w:cs="Calibri" w:eastAsia="Calibri" w:hAnsi="Calibri"/>
                <w:b w:val="false"/>
                <w:bCs w:val="false"/>
                <w:color w:val="000000"/>
                <w:sz w:val="18"/>
                <w:szCs w:val="18"/>
              </w:rPr>
              <w:t xml:space="preserve">Generic error messages</w:t>
            </w:r>
          </w:p>
        </w:tc>
        <w:tc>
          <w:tcPr>
            <w:tcW w:type="dxa" w:w="6100"/>
            <w:vAlign w:val="center"/>
          </w:tcPr>
          <w:p>
            <w:r>
              <w:rPr>
                <w:rFonts w:ascii="Calibri" w:cs="Calibri" w:eastAsia="Calibri" w:hAnsi="Calibri"/>
                <w:b w:val="false"/>
                <w:bCs w:val="false"/>
                <w:color w:val="000000"/>
                <w:sz w:val="18"/>
                <w:szCs w:val="18"/>
              </w:rPr>
              <w:t xml:space="preserve">Both 'no such account' and 'wrong password' produce the identical message 'Invalid email or password' — the application never reveals which case occurred, preventing user enumeration.</w:t>
            </w:r>
          </w:p>
        </w:tc>
      </w:tr>
      <w:tr>
        <w:tc>
          <w:tcPr>
            <w:tcW w:type="dxa" w:w="3200"/>
            <w:vAlign w:val="center"/>
          </w:tcPr>
          <w:p>
            <w:r>
              <w:rPr>
                <w:rFonts w:ascii="Calibri" w:cs="Calibri" w:eastAsia="Calibri" w:hAnsi="Calibri"/>
                <w:b w:val="false"/>
                <w:bCs w:val="false"/>
                <w:color w:val="000000"/>
                <w:sz w:val="18"/>
                <w:szCs w:val="18"/>
              </w:rPr>
              <w:t xml:space="preserve">Password hashing</w:t>
            </w:r>
          </w:p>
        </w:tc>
        <w:tc>
          <w:tcPr>
            <w:tcW w:type="dxa" w:w="6100"/>
            <w:vAlign w:val="center"/>
          </w:tcPr>
          <w:p>
            <w:r>
              <w:rPr>
                <w:rFonts w:ascii="Calibri" w:cs="Calibri" w:eastAsia="Calibri" w:hAnsi="Calibri"/>
                <w:b w:val="false"/>
                <w:bCs w:val="false"/>
                <w:color w:val="000000"/>
                <w:sz w:val="18"/>
                <w:szCs w:val="18"/>
              </w:rPr>
              <w:t xml:space="preserve">Argon2id via PHP's password_hash(), memory_cost=65536, time_cost=4 — an approved slow, salted, memory-hard function resistant to GPU cracking.</w:t>
            </w:r>
          </w:p>
        </w:tc>
      </w:tr>
      <w:tr>
        <w:tc>
          <w:tcPr>
            <w:tcW w:type="dxa" w:w="3200"/>
            <w:vAlign w:val="center"/>
          </w:tcPr>
          <w:p>
            <w:r>
              <w:rPr>
                <w:rFonts w:ascii="Calibri" w:cs="Calibri" w:eastAsia="Calibri" w:hAnsi="Calibri"/>
                <w:b w:val="false"/>
                <w:bCs w:val="false"/>
                <w:color w:val="000000"/>
                <w:sz w:val="18"/>
                <w:szCs w:val="18"/>
              </w:rPr>
              <w:t xml:space="preserve">Password verification</w:t>
            </w:r>
          </w:p>
        </w:tc>
        <w:tc>
          <w:tcPr>
            <w:tcW w:type="dxa" w:w="6100"/>
            <w:vAlign w:val="center"/>
          </w:tcPr>
          <w:p>
            <w:r>
              <w:rPr>
                <w:rFonts w:ascii="Calibri" w:cs="Calibri" w:eastAsia="Calibri" w:hAnsi="Calibri"/>
                <w:b w:val="false"/>
                <w:bCs w:val="false"/>
                <w:color w:val="000000"/>
                <w:sz w:val="18"/>
                <w:szCs w:val="18"/>
              </w:rPr>
              <w:t xml:space="preserve">password_verify() — a constant-time comparison function, avoiding timing side-channels.</w:t>
            </w:r>
          </w:p>
        </w:tc>
      </w:tr>
      <w:tr>
        <w:tc>
          <w:tcPr>
            <w:tcW w:type="dxa" w:w="3200"/>
            <w:vAlign w:val="center"/>
          </w:tcPr>
          <w:p>
            <w:r>
              <w:rPr>
                <w:rFonts w:ascii="Calibri" w:cs="Calibri" w:eastAsia="Calibri" w:hAnsi="Calibri"/>
                <w:b w:val="false"/>
                <w:bCs w:val="false"/>
                <w:color w:val="000000"/>
                <w:sz w:val="18"/>
                <w:szCs w:val="18"/>
              </w:rPr>
              <w:t xml:space="preserve">Rate limiting / lockout</w:t>
            </w:r>
          </w:p>
        </w:tc>
        <w:tc>
          <w:tcPr>
            <w:tcW w:type="dxa" w:w="6100"/>
            <w:vAlign w:val="center"/>
          </w:tcPr>
          <w:p>
            <w:r>
              <w:rPr>
                <w:rFonts w:ascii="Calibri" w:cs="Calibri" w:eastAsia="Calibri" w:hAnsi="Calibri"/>
                <w:b w:val="false"/>
                <w:bCs w:val="false"/>
                <w:color w:val="000000"/>
                <w:sz w:val="18"/>
                <w:szCs w:val="18"/>
              </w:rPr>
              <w:t xml:space="preserve">5 failed attempts locks the account for 15 minutes (failed_attempts / locked_until columns), checked before password verification even runs.</w:t>
            </w:r>
          </w:p>
        </w:tc>
      </w:tr>
      <w:tr>
        <w:tc>
          <w:tcPr>
            <w:tcW w:type="dxa" w:w="3200"/>
            <w:vAlign w:val="center"/>
          </w:tcPr>
          <w:p>
            <w:r>
              <w:rPr>
                <w:rFonts w:ascii="Calibri" w:cs="Calibri" w:eastAsia="Calibri" w:hAnsi="Calibri"/>
                <w:b w:val="false"/>
                <w:bCs w:val="false"/>
                <w:color w:val="000000"/>
                <w:sz w:val="18"/>
                <w:szCs w:val="18"/>
              </w:rPr>
              <w:t xml:space="preserve">Session-ID regeneration</w:t>
            </w:r>
          </w:p>
        </w:tc>
        <w:tc>
          <w:tcPr>
            <w:tcW w:type="dxa" w:w="6100"/>
            <w:vAlign w:val="center"/>
          </w:tcPr>
          <w:p>
            <w:r>
              <w:rPr>
                <w:rFonts w:ascii="Calibri" w:cs="Calibri" w:eastAsia="Calibri" w:hAnsi="Calibri"/>
                <w:b w:val="false"/>
                <w:bCs w:val="false"/>
                <w:color w:val="000000"/>
                <w:sz w:val="18"/>
                <w:szCs w:val="18"/>
              </w:rPr>
              <w:t xml:space="preserve">session_regenerate_id(true) is called immediately on successful login, preventing session-fixation attacks.</w:t>
            </w:r>
          </w:p>
        </w:tc>
      </w:tr>
    </w:tbl>
    <w:p>
      <w:pPr>
        <w:pStyle w:val="Heading2"/>
        <w:spacing w:after="150" w:before="300"/>
      </w:pPr>
      <w:r>
        <w:t xml:space="preserve">2.4 Test Results</w:t>
      </w:r>
    </w:p>
    <w:p>
      <w:pPr>
        <w:spacing w:after="160" w:line="276"/>
      </w:pPr>
      <w:r>
        <w:rPr>
          <w:rFonts w:ascii="Calibri" w:cs="Calibri" w:eastAsia="Calibri" w:hAnsi="Calibri"/>
          <w:sz w:val="22"/>
          <w:szCs w:val="22"/>
        </w:rPr>
        <w:t xml:space="preserve">Automated tests (tests/run_tests.php) exercise the running application over HTTP exactly as a browser would, using a throwaway fictitious account created via the real registration flow. Results:</w:t>
      </w:r>
    </w:p>
    <w:p>
      <w:pPr>
        <w:pStyle w:val="ListParagraph"/>
        <w:numPr>
          <w:ilvl w:val="0"/>
          <w:numId w:val="1"/>
        </w:numPr>
        <w:spacing w:after="80"/>
        <w:rPr>
          <w:rFonts w:ascii="Calibri" w:cs="Calibri" w:eastAsia="Calibri" w:hAnsi="Calibri"/>
          <w:sz w:val="22"/>
          <w:szCs w:val="22"/>
        </w:rPr>
      </w:pPr>
      <w:r>
        <w:t xml:space="preserve">PASS — Valid login redirects to the dashboard.</w:t>
      </w:r>
    </w:p>
    <w:p>
      <w:pPr>
        <w:pStyle w:val="ListParagraph"/>
        <w:numPr>
          <w:ilvl w:val="0"/>
          <w:numId w:val="1"/>
        </w:numPr>
        <w:spacing w:after="80"/>
        <w:rPr>
          <w:rFonts w:ascii="Calibri" w:cs="Calibri" w:eastAsia="Calibri" w:hAnsi="Calibri"/>
          <w:sz w:val="22"/>
          <w:szCs w:val="22"/>
        </w:rPr>
      </w:pPr>
      <w:r>
        <w:t xml:space="preserve">PASS — Wrong password returns the generic 'Invalid email or password' message.</w:t>
      </w:r>
    </w:p>
    <w:p>
      <w:pPr>
        <w:pStyle w:val="ListParagraph"/>
        <w:numPr>
          <w:ilvl w:val="0"/>
          <w:numId w:val="1"/>
        </w:numPr>
        <w:spacing w:after="80"/>
        <w:rPr>
          <w:rFonts w:ascii="Calibri" w:cs="Calibri" w:eastAsia="Calibri" w:hAnsi="Calibri"/>
          <w:sz w:val="22"/>
          <w:szCs w:val="22"/>
        </w:rPr>
      </w:pPr>
      <w:r>
        <w:t xml:space="preserve">PASS — Non-existent account returns the identical generic message (no enumeration).</w:t>
      </w:r>
    </w:p>
    <w:p>
      <w:pPr>
        <w:pStyle w:val="ListParagraph"/>
        <w:numPr>
          <w:ilvl w:val="0"/>
          <w:numId w:val="1"/>
        </w:numPr>
        <w:spacing w:after="80"/>
        <w:rPr>
          <w:rFonts w:ascii="Calibri" w:cs="Calibri" w:eastAsia="Calibri" w:hAnsi="Calibri"/>
          <w:sz w:val="22"/>
          <w:szCs w:val="22"/>
        </w:rPr>
      </w:pPr>
      <w:r>
        <w:t xml:space="preserve">PASS — The ' OR '1'='1 payload does not bypass login and creates no session.</w:t>
      </w:r>
    </w:p>
    <w:p>
      <w:pPr>
        <w:pStyle w:val="ListParagraph"/>
        <w:numPr>
          <w:ilvl w:val="0"/>
          <w:numId w:val="1"/>
        </w:numPr>
        <w:spacing w:after="80"/>
        <w:rPr>
          <w:rFonts w:ascii="Calibri" w:cs="Calibri" w:eastAsia="Calibri" w:hAnsi="Calibri"/>
          <w:sz w:val="22"/>
          <w:szCs w:val="22"/>
        </w:rPr>
      </w:pPr>
      <w:r>
        <w:t xml:space="preserve">PASS — The stored password hash begins with $argon2id$ and is not equal to the plaintext password.</w:t>
      </w:r>
    </w:p>
    <w:p>
      <w:pPr>
        <w:pStyle w:val="ListParagraph"/>
        <w:numPr>
          <w:ilvl w:val="0"/>
          <w:numId w:val="1"/>
        </w:numPr>
        <w:spacing w:after="80"/>
        <w:rPr>
          <w:rFonts w:ascii="Calibri" w:cs="Calibri" w:eastAsia="Calibri" w:hAnsi="Calibri"/>
          <w:sz w:val="22"/>
          <w:szCs w:val="22"/>
        </w:rPr>
      </w:pPr>
      <w:r>
        <w:t xml:space="preserve">PASS — Course registration submitted without a CSRF token is rejected with HTTP 403.</w:t>
      </w:r>
    </w:p>
    <w:p>
      <w:pPr>
        <w:pStyle w:val="ListParagraph"/>
        <w:numPr>
          <w:ilvl w:val="0"/>
          <w:numId w:val="1"/>
        </w:numPr>
        <w:spacing w:after="80"/>
        <w:rPr>
          <w:rFonts w:ascii="Calibri" w:cs="Calibri" w:eastAsia="Calibri" w:hAnsi="Calibri"/>
          <w:sz w:val="22"/>
          <w:szCs w:val="22"/>
        </w:rPr>
      </w:pPr>
      <w:r>
        <w:t xml:space="preserve">PASS — A student session receives HTTP 403 when requesting an admin-only page.</w:t>
      </w:r>
    </w:p>
    <w:p>
      <w:pPr>
        <w:pStyle w:val="ListParagraph"/>
        <w:numPr>
          <w:ilvl w:val="0"/>
          <w:numId w:val="1"/>
        </w:numPr>
        <w:spacing w:after="80"/>
        <w:rPr>
          <w:rFonts w:ascii="Calibri" w:cs="Calibri" w:eastAsia="Calibri" w:hAnsi="Calibri"/>
          <w:sz w:val="22"/>
          <w:szCs w:val="22"/>
        </w:rPr>
      </w:pPr>
      <w:r>
        <w:t xml:space="preserve">PASS — After 5 failed attempts, even the correct password is rejected with a lockout message.</w:t>
      </w:r>
    </w:p>
    <w:p>
      <w:pPr>
        <w:spacing w:after="160" w:line="276"/>
      </w:pPr>
      <w:r>
        <w:rPr>
          <w:rFonts w:ascii="Calibri" w:cs="Calibri" w:eastAsia="Calibri" w:hAnsi="Calibri"/>
          <w:i/>
          <w:iCs/>
          <w:color w:val="9C0006"/>
          <w:sz w:val="22"/>
          <w:szCs w:val="22"/>
        </w:rPr>
        <w:t xml:space="preserve">[ INSERT test-results.txt OUTPUT / SCREENSHOT HERE ]</w:t>
      </w:r>
    </w:p>
    <w:p>
      <w:r>
        <w:br w:type="page"/>
      </w:r>
    </w:p>
    <w:p>
      <w:pPr>
        <w:pStyle w:val="Heading1"/>
        <w:spacing w:after="200" w:before="400"/>
      </w:pPr>
      <w:r>
        <w:t xml:space="preserve">Task 3: Web Defences, Incident Response and Ethics</w:t>
      </w:r>
    </w:p>
    <w:p>
      <w:pPr>
        <w:pStyle w:val="Heading2"/>
        <w:spacing w:after="150" w:before="300"/>
      </w:pPr>
      <w:r>
        <w:t xml:space="preserve">3.1 Cross-Site Scripting (XSS)</w:t>
      </w:r>
    </w:p>
    <w:p>
      <w:pPr>
        <w:spacing w:after="160" w:line="276"/>
      </w:pPr>
      <w:r>
        <w:rPr>
          <w:rFonts w:ascii="Calibri" w:cs="Calibri" w:eastAsia="Calibri" w:hAnsi="Calibri"/>
          <w:sz w:val="22"/>
          <w:szCs w:val="22"/>
        </w:rPr>
        <w:t xml:space="preserve">All dynamic output passes through a single escaping helper before reaching HTML:</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function e(?string $value): string {</w:t>
      </w:r>
      <w:r>
        <w:rPr>
          <w:rFonts w:ascii="Consolas" w:cs="Consolas" w:eastAsia="Consolas" w:hAnsi="Consolas"/>
          <w:sz w:val="18"/>
          <w:szCs w:val="18"/>
        </w:rPr>
        <w:br/>
        <w:t xml:space="preserve">    return htmlspecialchars($value ?? '', ENT_QUOTES, 'UTF-8');</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This is applied consistently across every page (login.php, register.php, courses.php, upload.php, preview.php, admin/*.php) so user-controlled strings — names, course titles, status messages, fetched preview text — can never be interpreted as HTML or script by the browser. A restrictive Content-Security-Policy header (default-src 'self'; script-src 'self'; object-src 'none') is sent on every response as defence in depth, blocking inline scripts and third-party script sources even if an encoding gap were ever missed.</w:t>
      </w:r>
    </w:p>
    <w:p>
      <w:pPr>
        <w:pStyle w:val="Heading2"/>
        <w:spacing w:after="150" w:before="300"/>
      </w:pPr>
      <w:r>
        <w:t xml:space="preserve">3.2 Cross-Site Request Forgery (CSRF)</w:t>
      </w:r>
    </w:p>
    <w:p>
      <w:pPr>
        <w:spacing w:after="160" w:line="276"/>
      </w:pPr>
      <w:r>
        <w:rPr>
          <w:rFonts w:ascii="Calibri" w:cs="Calibri" w:eastAsia="Calibri" w:hAnsi="Calibri"/>
          <w:sz w:val="22"/>
          <w:szCs w:val="22"/>
        </w:rPr>
        <w:t xml:space="preserve">Course registration (public/courses.php) is the protected state-changing action. Every form embeds a per-session random token (csrf_field()), and every POST handler calls require_csrf() before making any change, comparing the submitted token to the session value with hash_equals() (constant-time). Session cookies are also set with SameSite=Lax, providing a second, independent layer of protection against cross-site submission.</w:t>
      </w:r>
    </w:p>
    <w:p>
      <w:pPr>
        <w:pStyle w:val="Heading2"/>
        <w:spacing w:after="150" w:before="300"/>
      </w:pPr>
      <w:r>
        <w:t xml:space="preserve">3.3 Server-Side Request Forgery (SSRF)</w:t>
      </w:r>
    </w:p>
    <w:p>
      <w:pPr>
        <w:spacing w:after="160" w:line="276"/>
      </w:pPr>
      <w:r>
        <w:rPr>
          <w:rFonts w:ascii="Calibri" w:cs="Calibri" w:eastAsia="Calibri" w:hAnsi="Calibri"/>
          <w:sz w:val="22"/>
          <w:szCs w:val="22"/>
        </w:rPr>
        <w:t xml:space="preserve">The course-resource link preview feature (public/preview.php) is the only process that makes outbound HTTP requests on a user's behalf, making it the natural SSRF target. Defence layers, applied in order: (1) scheme allowlist — only http/https accepted; (2) hostname allowlist — only pre-approved teaching-resource hosts; (3) self-resolved DNS with rejection of private, loopback, link-local and reserved IP ranges via FILTER_FLAG_NO_PRIV_RANGE | FILTER_FLAG_NO_RES_RANGE, blocking targets such as 127.0.0.1 and the 169.254.169.254 cloud-metadata address; (4) redirects disabled (CURLOPT_FOLLOWLOCATION = false) so a 302 cannot bypass the earlier checks; (5) request timeout and response-size cap. Testing was limited to localhost targets (public/local-target/resource.php) per the assignment's authorised-lab restriction.</w:t>
      </w:r>
    </w:p>
    <w:p>
      <w:pPr>
        <w:pStyle w:val="Heading2"/>
        <w:spacing w:after="150" w:before="300"/>
      </w:pPr>
      <w:r>
        <w:t xml:space="preserve">3.4 Security Misconfiguration</w:t>
      </w:r>
    </w:p>
    <w:p>
      <w:pPr>
        <w:pStyle w:val="ListParagraph"/>
        <w:numPr>
          <w:ilvl w:val="0"/>
          <w:numId w:val="1"/>
        </w:numPr>
        <w:spacing w:after="80"/>
        <w:rPr>
          <w:rFonts w:ascii="Calibri" w:cs="Calibri" w:eastAsia="Calibri" w:hAnsi="Calibri"/>
          <w:sz w:val="22"/>
          <w:szCs w:val="22"/>
        </w:rPr>
      </w:pPr>
      <w:r>
        <w:t xml:space="preserve">Debug mode is controlled by an APP_DEBUG environment variable; when off, PHP error display is disabled and database exceptions are logged server-side only, never echoed to the browser.</w:t>
      </w:r>
    </w:p>
    <w:p>
      <w:pPr>
        <w:pStyle w:val="ListParagraph"/>
        <w:numPr>
          <w:ilvl w:val="0"/>
          <w:numId w:val="1"/>
        </w:numPr>
        <w:spacing w:after="80"/>
        <w:rPr>
          <w:rFonts w:ascii="Calibri" w:cs="Calibri" w:eastAsia="Calibri" w:hAnsi="Calibri"/>
          <w:sz w:val="22"/>
          <w:szCs w:val="22"/>
        </w:rPr>
      </w:pPr>
      <w:r>
        <w:t xml:space="preserve">Secrets (DB credentials, an application secret) live in a .env file excluded from version control via .gitignore; .env.example documents the required keys without real values.</w:t>
      </w:r>
    </w:p>
    <w:p>
      <w:pPr>
        <w:pStyle w:val="ListParagraph"/>
        <w:numPr>
          <w:ilvl w:val="0"/>
          <w:numId w:val="1"/>
        </w:numPr>
        <w:spacing w:after="80"/>
        <w:rPr>
          <w:rFonts w:ascii="Calibri" w:cs="Calibri" w:eastAsia="Calibri" w:hAnsi="Calibri"/>
          <w:sz w:val="22"/>
          <w:szCs w:val="22"/>
        </w:rPr>
      </w:pPr>
      <w:r>
        <w:t xml:space="preserve">Security headers sent on every response: Content-Security-Policy, X-Content-Type-Options: nosniff, X-Frame-Options: DENY, Referrer-Policy: strict-origin-when-cross-origin, Permissions-Policy, and the X-Powered-By header is removed to avoid advertising the PHP version.</w:t>
      </w:r>
    </w:p>
    <w:p>
      <w:pPr>
        <w:pStyle w:val="ListParagraph"/>
        <w:numPr>
          <w:ilvl w:val="0"/>
          <w:numId w:val="1"/>
        </w:numPr>
        <w:spacing w:after="80"/>
        <w:rPr>
          <w:rFonts w:ascii="Calibri" w:cs="Calibri" w:eastAsia="Calibri" w:hAnsi="Calibri"/>
          <w:sz w:val="22"/>
          <w:szCs w:val="22"/>
        </w:rPr>
      </w:pPr>
      <w:r>
        <w:t xml:space="preserve">The uploads/ directory carries an .htaccess that disables the PHP engine and denies any .php*-pattern request, so no uploaded file can ever be executed even if content validation were bypassed.</w:t>
      </w:r>
    </w:p>
    <w:p>
      <w:pPr>
        <w:pStyle w:val="ListParagraph"/>
        <w:numPr>
          <w:ilvl w:val="0"/>
          <w:numId w:val="1"/>
        </w:numPr>
        <w:spacing w:after="80"/>
        <w:rPr>
          <w:rFonts w:ascii="Calibri" w:cs="Calibri" w:eastAsia="Calibri" w:hAnsi="Calibri"/>
          <w:sz w:val="22"/>
          <w:szCs w:val="22"/>
        </w:rPr>
      </w:pPr>
      <w:r>
        <w:t xml:space="preserve">Dependency status: the application has zero third-party PHP runtime dependencies (uses only PDO, cURL and finfo from the PHP standard library), minimising supply-chain exposure for this prototype.</w:t>
      </w:r>
    </w:p>
    <w:p>
      <w:pPr>
        <w:pStyle w:val="Heading2"/>
        <w:spacing w:after="150" w:before="300"/>
      </w:pPr>
      <w:r>
        <w:t xml:space="preserve">3.5 Logging</w:t>
      </w:r>
    </w:p>
    <w:p>
      <w:pPr>
        <w:spacing w:after="160" w:line="276"/>
      </w:pPr>
      <w:r>
        <w:rPr>
          <w:rFonts w:ascii="Calibri" w:cs="Calibri" w:eastAsia="Calibri" w:hAnsi="Calibri"/>
          <w:sz w:val="22"/>
          <w:szCs w:val="22"/>
        </w:rPr>
        <w:t xml:space="preserve">A single log_event() function writes every security-relevant event to an audit_log table: LOGIN_SUCCESS, LOGIN_FAIL, LOGOUT, ACCESS_DENIED, CSRF_REJECTED, VALIDATION_REJECTED, SSRF_BLOCKED, UPLOAD_SUCCESS, and ADMIN_COURSE_ADD/DELETE. Each record captures event type, username/email (never a password), source IP, a short detail string, and a timestamp — satisfying the who/what/when requirement without storing secrets or excess personal data. Recent events are visible to admins at /admin/index.php.</w:t>
      </w:r>
    </w:p>
    <w:p>
      <w:pPr>
        <w:spacing w:after="160" w:line="276"/>
      </w:pPr>
      <w:r>
        <w:rPr>
          <w:rFonts w:ascii="Calibri" w:cs="Calibri" w:eastAsia="Calibri" w:hAnsi="Calibri"/>
          <w:i/>
          <w:iCs/>
          <w:color w:val="9C0006"/>
          <w:sz w:val="22"/>
          <w:szCs w:val="22"/>
        </w:rPr>
        <w:t xml:space="preserve">[ INSERT REDACTED LOG SCREENSHOT / EXPORT HERE ]</w:t>
      </w:r>
    </w:p>
    <w:p>
      <w:pPr>
        <w:pStyle w:val="Heading2"/>
        <w:spacing w:after="150" w:before="300"/>
      </w:pPr>
      <w:r>
        <w:t xml:space="preserve">3.6 Incident Response Runbook</w:t>
      </w:r>
    </w:p>
    <w:p>
      <w:pPr>
        <w:spacing w:after="160" w:line="276"/>
      </w:pPr>
      <w:r>
        <w:rPr>
          <w:rFonts w:ascii="Calibri" w:cs="Calibri" w:eastAsia="Calibri" w:hAnsi="Calibri"/>
          <w:sz w:val="22"/>
          <w:szCs w:val="22"/>
        </w:rPr>
        <w:t xml:space="preserve">The full one-page runbook is provided as docs/incident-response-runbook.md and covers all six stages: Preparation (logging always on, DB backups, defined roles), Identification (audit_log queries for anomaly patterns), Containment (account lockout extension, session invalidation via APP_SECRET rotation), Eradication (root-cause fix guided by the audit trail, verified by re-running the automated test suite), Recovery (restore from backup only if integrity is in doubt; re-enable accounts only after the fix is verified), and Lessons Learned (an incident record completed within 48 hours, feeding back into the Task 1 risk register).</w:t>
      </w:r>
    </w:p>
    <w:p>
      <w:pPr>
        <w:spacing w:after="160" w:line="276"/>
      </w:pPr>
      <w:r>
        <w:rPr>
          <w:rFonts w:ascii="Calibri" w:cs="Calibri" w:eastAsia="Calibri" w:hAnsi="Calibri"/>
          <w:i/>
          <w:iCs/>
          <w:color w:val="9C0006"/>
          <w:sz w:val="22"/>
          <w:szCs w:val="22"/>
        </w:rPr>
        <w:t xml:space="preserve">[ INSERT COMPLETED INCIDENT RECORD / RUNBOOK SCREENSHOT HERE ]</w:t>
      </w:r>
    </w:p>
    <w:p>
      <w:pPr>
        <w:pStyle w:val="Heading2"/>
        <w:spacing w:after="150" w:before="300"/>
      </w:pPr>
      <w:r>
        <w:t xml:space="preserve">3.7 Ethics Statement</w:t>
      </w:r>
    </w:p>
    <w:p>
      <w:pPr>
        <w:spacing w:after="160" w:line="276"/>
      </w:pPr>
      <w:r>
        <w:rPr>
          <w:rFonts w:ascii="Calibri" w:cs="Calibri" w:eastAsia="Calibri" w:hAnsi="Calibri"/>
          <w:sz w:val="22"/>
          <w:szCs w:val="22"/>
        </w:rPr>
        <w:t xml:space="preserve">All testing described in this report was performed exclusively against the local prototype running on localhost, using fictitious data only. No FUT Minna production systems, public websites, or third-party services were scanned, probed, or tested at any point. No reusable attack payloads or real credentials are included in this report or its evidence folder; all screenshots and logs have been reviewed to ensure no real personal data or secrets are exposed.</w:t>
      </w:r>
    </w:p>
    <w:p>
      <w:pPr>
        <w:spacing w:before="400"/>
      </w:pPr>
      <w:r>
        <w:rPr>
          <w:rFonts w:ascii="Calibri" w:cs="Calibri" w:eastAsia="Calibri" w:hAnsi="Calibri"/>
          <w:sz w:val="22"/>
          <w:szCs w:val="22"/>
        </w:rPr>
        <w:t xml:space="preserve">Signed: _______________________________     Date: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2026-08-07T11:25:22.069Z</dcterms:created>
  <dcterms:modified xsi:type="dcterms:W3CDTF">2026-08-07T11:25:22.087Z</dcterms:modified>
</cp:coreProperties>
</file>

<file path=docProps/custom.xml><?xml version="1.0" encoding="utf-8"?>
<Properties xmlns="http://schemas.openxmlformats.org/officeDocument/2006/custom-properties" xmlns:vt="http://schemas.openxmlformats.org/officeDocument/2006/docPropsVTypes"/>
</file>