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wmf" ContentType="image/x-wmf"/>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user"/>
        <w:rPr>
          <w:lang w:val="pt-BR" w:eastAsia="pt-BR" w:bidi="ar-SA"/>
        </w:rPr>
      </w:pPr>
      <w:r>
        <w:rPr>
          <w:lang w:val="pt-BR" w:eastAsia="pt-BR" w:bidi="ar-SA"/>
        </w:rPr>
        <w:t xml:space="preserve">Das sete maravilhas do mundo antigo, duas ficavam no Egito, a grande piramide de Gizé e o farol de Alexandria, ambas conhecidas pela sua altura e grandiosidade. Além dessas estruturas, o Egito antigo é conhecido por muitos templos altos e Obeliscos. </w:t>
      </w:r>
    </w:p>
    <w:p>
      <w:pPr>
        <w:pStyle w:val="Textouser"/>
        <w:rPr>
          <w:lang w:val="pt-BR" w:eastAsia="pt-BR" w:bidi="ar-SA"/>
        </w:rPr>
      </w:pPr>
      <w:r>
        <w:rPr>
          <w:lang w:val="pt-BR" w:eastAsia="pt-BR" w:bidi="ar-SA"/>
        </w:rPr>
        <w:t xml:space="preserve">A pirâmide fica localizada a 20km da cidade do Cairo, cidade que tem hoje, um índice pluviométrico anual de 18mm, porém o clima na época da construção, em 2580 AC era bem diferente com rio Nilo mais volumoso, paisagem mais úmida e pelo menos 10 enchentes em um período de 40 a 45 anos e também períodos de seca. </w:t>
      </w:r>
    </w:p>
    <w:p>
      <w:pPr>
        <w:pStyle w:val="Textouser"/>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user"/>
        <w:rPr/>
      </w:pPr>
      <w:r>
        <w:rPr/>
        <w:t>Com todos esses papéis, é necessário que essa máquina de ressurreição não se degrade com os séculos e para isso, supõe-se que se deseje proteger a estrutura dos danos provenientes dos raios.</w:t>
      </w:r>
    </w:p>
    <w:p>
      <w:pPr>
        <w:pStyle w:val="Textouser"/>
        <w:rPr/>
      </w:pPr>
      <w:r>
        <w:rPr/>
      </w:r>
    </w:p>
    <w:p>
      <w:pPr>
        <w:pStyle w:val="Textouser"/>
        <w:rPr/>
      </w:pPr>
      <w:r>
        <w:rPr/>
        <w:t xml:space="preserve">  </w:t>
      </w:r>
    </w:p>
    <w:p>
      <w:pPr>
        <w:pStyle w:val="CEAVITITULODESECAO"/>
        <w:numPr>
          <w:ilvl w:val="0"/>
          <w:numId w:val="1"/>
        </w:numPr>
        <w:ind w:hanging="357" w:left="357"/>
        <w:rPr/>
      </w:pPr>
      <w:r>
        <w:rPr/>
        <w:t>Formatação geral</w:t>
      </w:r>
    </w:p>
    <w:p>
      <w:pPr>
        <w:pStyle w:val="Textouser"/>
        <w:rPr>
          <w:b/>
        </w:rPr>
      </w:pPr>
      <w:r>
        <w:rPr>
          <w:b/>
        </w:rPr>
        <w:t>1.1 Clima na região na época da construção</w:t>
      </w:r>
    </w:p>
    <w:p>
      <w:pPr>
        <w:pStyle w:val="Textouser"/>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 .</w:t>
      </w:r>
    </w:p>
    <w:p>
      <w:pPr>
        <w:pStyle w:val="Textouser"/>
        <w:ind w:hanging="0" w:left="0"/>
        <w:rPr/>
      </w:pPr>
      <w:r>
        <w:rPr/>
        <w:tab/>
        <w:t>O clima do Egito estava em transição do húmido para  mais seco, mas os níveis do Nilo ainda eram altos e ótimos para a agricultura e a civilização do Império Antigo.</w:t>
      </w:r>
    </w:p>
    <w:p>
      <w:pPr>
        <w:pStyle w:val="Textouser"/>
        <w:rPr/>
      </w:pPr>
      <w:r>
        <w:rPr/>
      </w:r>
    </w:p>
    <w:p>
      <w:pPr>
        <w:pStyle w:val="Textouser"/>
        <w:rPr>
          <w:b/>
        </w:rPr>
      </w:pPr>
      <w:r>
        <w:rPr>
          <w:b/>
        </w:rPr>
        <w:t>1.2 P</w:t>
      </w:r>
      <w:r>
        <w:rPr>
          <w:rStyle w:val="Strong"/>
        </w:rPr>
        <w:t>iramidion (ponta da pirâmide em ouro)</w:t>
      </w:r>
    </w:p>
    <w:p>
      <w:pPr>
        <w:pStyle w:val="Textouser"/>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user"/>
        <w:rPr/>
      </w:pPr>
      <w:r>
        <w:rPr/>
        <w:t>A técnica de colocar Piramidion era comum em obeliscos e, por consequência, acredita-se que também era aplicada nas pirâmides, especialmente no Império Antigo.</w:t>
      </w:r>
    </w:p>
    <w:p>
      <w:pPr>
        <w:pStyle w:val="Textouser"/>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user"/>
        <w:rPr/>
      </w:pPr>
      <w:r>
        <w:rPr/>
        <w:t>Popularmente se acredita que o acabamento do Piramidion da grande pirâmide era de ouro. O ouro puro é caro e maleável então provavelmente o material do  Piramidion seria Electrum, uma mistura de prata e ouro e as vezes cobre, mais resistente mecânica</w:t>
      </w:r>
      <w:r>
        <w:rPr/>
        <w:t>mente</w:t>
      </w:r>
      <w:r>
        <w:rPr/>
        <w:t xml:space="preserve"> que o ouro puro </w:t>
      </w:r>
      <w:r>
        <w:rPr/>
        <w:t xml:space="preserve">e </w:t>
      </w:r>
      <w:r>
        <w:rPr/>
        <w:t>resistente a corrosão.</w:t>
      </w:r>
    </w:p>
    <w:p>
      <w:pPr>
        <w:pStyle w:val="Textouser"/>
        <w:rPr/>
      </w:pPr>
      <w:r>
        <w:rPr/>
      </w:r>
    </w:p>
    <w:p>
      <w:pPr>
        <w:pStyle w:val="Textous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00040" cy="35477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400040" cy="3547745"/>
                    </a:xfrm>
                    <a:prstGeom prst="rect">
                      <a:avLst/>
                    </a:prstGeom>
                    <a:noFill/>
                  </pic:spPr>
                </pic:pic>
              </a:graphicData>
            </a:graphic>
          </wp:anchor>
        </w:drawing>
      </w:r>
    </w:p>
    <w:p>
      <w:pPr>
        <w:pStyle w:val="Textouser"/>
        <w:rPr/>
      </w:pPr>
      <w:r>
        <w:rPr/>
      </w:r>
    </w:p>
    <w:p>
      <w:pPr>
        <w:pStyle w:val="Textouser"/>
        <w:rPr>
          <w:b/>
        </w:rPr>
      </w:pPr>
      <w:r>
        <w:rPr>
          <w:b/>
        </w:rPr>
        <w:t xml:space="preserve">1.3 </w:t>
      </w:r>
      <w:r>
        <w:rPr>
          <w:b/>
          <w:lang w:val="pt-BR" w:eastAsia="pt-BR" w:bidi="ar-SA"/>
        </w:rPr>
        <w:t>Dutos</w:t>
      </w:r>
      <w:r>
        <w:rPr>
          <w:b/>
        </w:rPr>
        <w:t xml:space="preserve"> da Câmara da Rei</w:t>
      </w:r>
    </w:p>
    <w:p>
      <w:pPr>
        <w:pStyle w:val="Textouser"/>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pirâmides.</w:t>
      </w:r>
    </w:p>
    <w:p>
      <w:pPr>
        <w:pStyle w:val="Textouser"/>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à câmara do rei.</w:t>
      </w:r>
    </w:p>
    <w:p>
      <w:pPr>
        <w:pStyle w:val="Textouser"/>
        <w:rPr/>
      </w:pPr>
      <w:r>
        <w:rPr/>
      </w:r>
    </w:p>
    <w:p>
      <w:pPr>
        <w:pStyle w:val="Textouser"/>
        <w:rPr>
          <w:b/>
        </w:rPr>
      </w:pPr>
      <w:r>
        <w:rPr>
          <w:b/>
        </w:rPr>
        <w:t>1.4 A grande galeria</w:t>
      </w:r>
    </w:p>
    <w:p>
      <w:pPr>
        <w:pStyle w:val="Textouser"/>
        <w:rPr/>
      </w:pPr>
      <w:r>
        <w:rPr/>
        <w:t xml:space="preserve">A Grande Galeria da Grande Pirâmide é uma passagem ascendente que serve como um corredor monumental para acessar a Câmara do Rei. </w:t>
      </w:r>
    </w:p>
    <w:p>
      <w:pPr>
        <w:pStyle w:val="Textouser"/>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w:t>
      </w:r>
    </w:p>
    <w:p>
      <w:pPr>
        <w:pStyle w:val="Textouser"/>
        <w:rPr/>
      </w:pPr>
      <w:r>
        <w:rPr/>
      </w:r>
    </w:p>
    <w:p>
      <w:pPr>
        <w:pStyle w:val="Textouser"/>
        <w:rPr>
          <w:lang w:val="pt-BR" w:eastAsia="pt-BR" w:bidi="ar-SA"/>
        </w:rPr>
      </w:pPr>
      <w:r>
        <w:rPr>
          <w:b/>
          <w:lang w:val="pt-BR" w:eastAsia="pt-BR" w:bidi="ar-SA"/>
        </w:rPr>
        <w:t>1.5 Dutos da Câmara da Rainha</w:t>
      </w:r>
    </w:p>
    <w:p>
      <w:pPr>
        <w:pStyle w:val="Textouser"/>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user"/>
        <w:rPr>
          <w:b w:val="false"/>
          <w:bCs w:val="false"/>
          <w:lang w:val="pt-BR" w:eastAsia="pt-BR" w:bidi="ar-SA"/>
        </w:rPr>
      </w:pPr>
      <w:r>
        <w:rPr>
          <w:b w:val="false"/>
          <w:bCs w:val="false"/>
          <w:lang w:val="pt-BR" w:eastAsia="pt-BR" w:bidi="ar-SA"/>
        </w:rPr>
      </w:r>
    </w:p>
    <w:p>
      <w:pPr>
        <w:pStyle w:val="Textouser"/>
        <w:rPr>
          <w:b w:val="false"/>
          <w:bCs w:val="false"/>
          <w:lang w:val="pt-BR" w:eastAsia="pt-BR" w:bidi="ar-SA"/>
        </w:rPr>
      </w:pPr>
      <w:r>
        <w:rPr>
          <w:b w:val="false"/>
          <w:bCs w:val="false"/>
          <w:lang w:val="pt-BR" w:eastAsia="pt-BR"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18100" cy="373380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118100" cy="3733800"/>
                    </a:xfrm>
                    <a:prstGeom prst="rect">
                      <a:avLst/>
                    </a:prstGeom>
                    <a:noFill/>
                  </pic:spPr>
                </pic:pic>
              </a:graphicData>
            </a:graphic>
          </wp:anchor>
        </w:drawing>
      </w:r>
    </w:p>
    <w:p>
      <w:pPr>
        <w:pStyle w:val="Textouser"/>
        <w:rPr>
          <w:b w:val="false"/>
          <w:bCs w:val="false"/>
          <w:lang w:val="pt-BR" w:eastAsia="pt-BR" w:bidi="ar-SA"/>
        </w:rPr>
      </w:pPr>
      <w:r>
        <w:rPr>
          <w:b w:val="false"/>
          <w:bCs w:val="false"/>
          <w:lang w:val="pt-BR" w:eastAsia="pt-BR" w:bidi="ar-SA"/>
        </w:rPr>
      </w:r>
    </w:p>
    <w:p>
      <w:pPr>
        <w:pStyle w:val="Textouser"/>
        <w:rPr>
          <w:b/>
        </w:rPr>
      </w:pPr>
      <w:r>
        <w:rPr>
          <w:b/>
        </w:rPr>
        <w:t xml:space="preserve">1.6 O Poço </w:t>
      </w:r>
      <w:r>
        <w:rPr>
          <w:b/>
        </w:rPr>
        <w:t>de serviço</w:t>
      </w:r>
    </w:p>
    <w:p>
      <w:pPr>
        <w:pStyle w:val="Textouser"/>
        <w:rPr>
          <w:b w:val="false"/>
          <w:bCs w:val="false"/>
          <w:lang w:val="pt-BR" w:eastAsia="pt-BR" w:bidi="ar-SA"/>
        </w:rPr>
      </w:pPr>
      <w:r>
        <w:rPr>
          <w:b w:val="false"/>
          <w:bCs w:val="false"/>
          <w:lang w:val="pt-BR" w:eastAsia="pt-BR" w:bidi="ar-SA"/>
        </w:rPr>
        <w:t xml:space="preserve">Passagem quase que vertical com 58 metros de extensão e conectava a grande galeria ao corredor descendente. Pode ter sido utilizado para encurtar caminho a câmara subterrânea, já que não precisa percorrer a passagem descendente inteira e corta parte da passagem descendente. </w:t>
      </w:r>
      <w:r>
        <w:rPr>
          <w:b w:val="false"/>
          <w:bCs w:val="false"/>
          <w:lang w:val="pt-BR" w:eastAsia="pt-BR" w:bidi="ar-SA"/>
        </w:rPr>
        <w:t xml:space="preserve">Parece ter sido construído de cima para baixo pois sua parte superior, tem acesso ao inicio do corredor da câmara da rainha, e a entrada da grande galeria e a parte superior </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w:t>
      </w:r>
      <w:r>
        <w:rPr>
          <w:b/>
          <w:lang w:val="pt-BR" w:eastAsia="pt-BR" w:bidi="ar-SA"/>
        </w:rPr>
        <w:t>7</w:t>
      </w:r>
      <w:r>
        <w:rPr>
          <w:b/>
          <w:lang w:val="pt-BR" w:eastAsia="pt-BR" w:bidi="ar-SA"/>
        </w:rPr>
        <w:t xml:space="preserve"> </w:t>
      </w:r>
      <w:r>
        <w:rPr>
          <w:b/>
          <w:lang w:val="pt-BR" w:eastAsia="pt-BR" w:bidi="ar-SA"/>
        </w:rPr>
        <w:t>Túnel Descendente</w:t>
      </w:r>
    </w:p>
    <w:p>
      <w:pPr>
        <w:pStyle w:val="Textouser"/>
        <w:rPr>
          <w:lang w:val="pt-BR" w:eastAsia="pt-BR" w:bidi="ar-SA"/>
        </w:rPr>
      </w:pPr>
      <w:r>
        <w:rPr>
          <w:lang w:val="pt-BR" w:eastAsia="pt-BR" w:bidi="ar-SA"/>
        </w:rPr>
        <w:t>Com a extensão de 145 metros na inclinação de 26 graus, leva a câmara subterrânea.</w:t>
      </w:r>
    </w:p>
    <w:p>
      <w:pPr>
        <w:pStyle w:val="Textouser"/>
        <w:rPr>
          <w:b w:val="false"/>
          <w:bCs w:val="false"/>
          <w:lang w:val="pt-BR" w:eastAsia="pt-BR" w:bidi="ar-SA"/>
        </w:rPr>
      </w:pPr>
      <w:r>
        <w:rPr/>
      </w:r>
    </w:p>
    <w:p>
      <w:pPr>
        <w:pStyle w:val="Textouser"/>
        <w:rPr>
          <w:lang w:val="pt-BR" w:eastAsia="pt-BR" w:bidi="ar-SA"/>
        </w:rPr>
      </w:pPr>
      <w:r>
        <w:rPr>
          <w:b/>
          <w:lang w:val="pt-BR" w:eastAsia="pt-BR" w:bidi="ar-SA"/>
        </w:rPr>
        <w:t>1.</w:t>
      </w:r>
      <w:r>
        <w:rPr>
          <w:b/>
          <w:lang w:val="pt-BR" w:eastAsia="pt-BR" w:bidi="ar-SA"/>
        </w:rPr>
        <w:t>8</w:t>
      </w:r>
      <w:r>
        <w:rPr>
          <w:b/>
          <w:lang w:val="pt-BR" w:eastAsia="pt-BR" w:bidi="ar-SA"/>
        </w:rPr>
        <w:t xml:space="preserve"> </w:t>
      </w:r>
      <w:r>
        <w:rPr>
          <w:b/>
          <w:lang w:val="pt-BR" w:eastAsia="pt-BR" w:bidi="ar-SA"/>
        </w:rPr>
        <w:t>Câmara subterrânea</w:t>
      </w:r>
    </w:p>
    <w:p>
      <w:pPr>
        <w:pStyle w:val="Textouser"/>
        <w:rPr>
          <w:b w:val="false"/>
          <w:bCs w:val="false"/>
          <w:lang w:val="pt-BR" w:eastAsia="pt-BR" w:bidi="ar-SA"/>
        </w:rPr>
      </w:pPr>
      <w:r>
        <w:rPr/>
        <w:t xml:space="preserve">Abaixo 27 metros do nível do solo, </w:t>
      </w:r>
      <w:r>
        <w:rPr/>
        <w:t>com aparência de bastante inacabada, com uma perfuração ou poço de 3 metros desalinhado com o restante da pirâmide e pontos cardeais,</w:t>
      </w:r>
    </w:p>
    <w:p>
      <w:pPr>
        <w:pStyle w:val="Textouser"/>
        <w:rPr>
          <w:b w:val="false"/>
          <w:bCs w:val="false"/>
          <w:lang w:val="pt-BR" w:eastAsia="pt-BR" w:bidi="ar-SA"/>
        </w:rPr>
      </w:pPr>
      <w:r>
        <w:rPr/>
      </w:r>
    </w:p>
    <w:p>
      <w:pPr>
        <w:pStyle w:val="Textouser"/>
        <w:rPr>
          <w:b/>
        </w:rPr>
      </w:pPr>
      <w:r>
        <w:rPr/>
      </w:r>
    </w:p>
    <w:p>
      <w:pPr>
        <w:pStyle w:val="Textouser"/>
        <w:ind w:hanging="0" w:left="0"/>
        <w:rPr>
          <w:b w:val="false"/>
          <w:bCs w:val="false"/>
          <w:lang w:val="pt-BR" w:eastAsia="pt-BR" w:bidi="ar-SA"/>
        </w:rPr>
      </w:pPr>
      <w:r>
        <w:rPr>
          <w:b w:val="false"/>
          <w:bCs w:val="false"/>
          <w:lang w:val="pt-BR" w:eastAsia="pt-BR" w:bidi="ar-SA"/>
        </w:rPr>
      </w:r>
    </w:p>
    <w:p>
      <w:pPr>
        <w:pStyle w:val="Textouser"/>
        <w:rPr>
          <w:b/>
        </w:rPr>
      </w:pPr>
      <w:r>
        <w:rPr>
          <w:b/>
        </w:rPr>
        <w:t>1.</w:t>
      </w:r>
      <w:r>
        <w:rPr>
          <w:b/>
        </w:rPr>
        <w:t>9</w:t>
      </w:r>
      <w:r>
        <w:rPr>
          <w:b/>
        </w:rPr>
        <w:t xml:space="preserve"> Materiais utilizados para conexão elétrica</w:t>
      </w:r>
    </w:p>
    <w:p>
      <w:pPr>
        <w:pStyle w:val="Textouser"/>
        <w:rPr>
          <w:b w:val="false"/>
          <w:bCs w:val="false"/>
          <w:lang w:val="pt-BR" w:eastAsia="pt-BR" w:bidi="ar-SA"/>
        </w:rPr>
      </w:pPr>
      <w:r>
        <w:rPr>
          <w:b w:val="false"/>
          <w:bCs w:val="false"/>
          <w:lang w:val="pt-BR" w:eastAsia="pt-BR" w:bidi="ar-SA"/>
        </w:rPr>
        <w:t xml:space="preserve">Dos metais disponíveis daquela época para a construção de uma conexão elétrica entre o Piramidion e o subsolo, cobre se degradaria </w:t>
      </w:r>
      <w:r>
        <w:rPr>
          <w:b w:val="false"/>
          <w:bCs w:val="false"/>
          <w:lang w:val="pt-BR" w:eastAsia="pt-BR" w:bidi="ar-SA"/>
        </w:rPr>
        <w:t>porém é o melhor pra</w:t>
      </w:r>
      <w:r>
        <w:rPr>
          <w:b w:val="false"/>
          <w:bCs w:val="false"/>
          <w:lang w:val="pt-BR" w:eastAsia="pt-BR" w:bidi="ar-SA"/>
        </w:rPr>
        <w:t>, ferro de meteoritos também, além de ser bem raro, prata também se degradaria, no entanto o bronze que já se conhecia na época mas ainda não tinha se popularizado seria o material ideal.</w:t>
      </w:r>
    </w:p>
    <w:p>
      <w:pPr>
        <w:pStyle w:val="Textouser"/>
        <w:rPr>
          <w:b w:val="false"/>
          <w:bCs w:val="false"/>
          <w:lang w:val="pt-BR" w:eastAsia="pt-BR" w:bidi="ar-SA"/>
        </w:rPr>
      </w:pPr>
      <w:r>
        <w:rPr>
          <w:b w:val="false"/>
          <w:bCs w:val="false"/>
          <w:lang w:val="pt-BR" w:eastAsia="pt-BR" w:bidi="ar-SA"/>
        </w:rPr>
      </w:r>
    </w:p>
    <w:p>
      <w:pPr>
        <w:pStyle w:val="Textouser"/>
        <w:rPr>
          <w:b/>
        </w:rPr>
      </w:pPr>
      <w:r>
        <w:rPr>
          <w:b/>
        </w:rPr>
        <w:t>1.</w:t>
      </w:r>
      <w:r>
        <w:rPr>
          <w:b/>
        </w:rPr>
        <w:t>10</w:t>
      </w:r>
      <w:r>
        <w:rPr>
          <w:b/>
        </w:rPr>
        <w:t xml:space="preserve"> </w:t>
      </w:r>
      <w:r>
        <w:rPr>
          <w:b/>
        </w:rPr>
        <w:t>Como podem ter desenvolvido o conhecimento</w:t>
      </w:r>
    </w:p>
    <w:p>
      <w:pPr>
        <w:pStyle w:val="Textouser"/>
        <w:rPr>
          <w:b w:val="false"/>
          <w:bCs w:val="false"/>
          <w:lang w:val="pt-BR" w:eastAsia="pt-BR" w:bidi="ar-SA"/>
        </w:rPr>
      </w:pPr>
      <w:r>
        <w:rPr/>
        <w:t>Nessa época no Egito, começou a se erguer obeliscos, provavelmente eles por serem altos, eram alvos de raios. Por observação, perceberam que um raio ao atingir objetos metálicos, este não destruía o respetivo objeto, ao cair em solo seco ou pedra, havia danos ao material do objeto. Os metais que menos se danificavam com o raio era o ouro, cobre e o Electrum (Ouro+prata e as vezes cobre e outros metais) então resolveu colocar no topo dos Obeliscos.</w:t>
      </w:r>
    </w:p>
    <w:p>
      <w:pPr>
        <w:pStyle w:val="Textouser"/>
        <w:rPr>
          <w:lang w:val="pt-BR" w:eastAsia="pt-BR" w:bidi="ar-SA"/>
        </w:rPr>
      </w:pPr>
      <w:r>
        <w:rPr>
          <w:lang w:val="pt-BR" w:eastAsia="pt-BR" w:bidi="ar-SA"/>
        </w:rPr>
        <w:t>Para os Obeliscos da época, essa técnica funcionava, talvez uma camada de água da chuva escorrendo pela superfície dos lados da estrutura serviam como cabo de aterramento primitivo e a natureza resistente do granito impediam danos graves pelos raios, assim a técnica do Piramidium foi usada também para as pirâmides.</w:t>
      </w:r>
    </w:p>
    <w:p>
      <w:pPr>
        <w:pStyle w:val="Textouser"/>
        <w:rPr>
          <w:b w:val="false"/>
          <w:bCs w:val="false"/>
          <w:lang w:val="pt-BR" w:eastAsia="pt-BR" w:bidi="ar-SA"/>
        </w:rPr>
      </w:pPr>
      <w:r>
        <w:rPr/>
        <w:t>Ao utilizar nas pirâmides, percebeu que a técnica não funcionava, um raio acertando a estrutura causava danos significativos, então precisavam guiar o raio para um solo húmido. Preciso lembrar que a grande pirâmide utiliza material diferente em seu exterior que os obeliscos, calcário branco ao invés de granito, calcário é menos resistente mecanicamente e possui menor resistência elétrica.</w:t>
      </w:r>
    </w:p>
    <w:p>
      <w:pPr>
        <w:pStyle w:val="Textouser"/>
        <w:rPr>
          <w:b w:val="false"/>
          <w:bCs w:val="false"/>
          <w:lang w:val="pt-BR" w:eastAsia="pt-BR" w:bidi="ar-SA"/>
        </w:rPr>
      </w:pPr>
      <w:r>
        <w:rPr/>
        <w:t xml:space="preserve"> </w:t>
      </w:r>
    </w:p>
    <w:p>
      <w:pPr>
        <w:pStyle w:val="Textouser"/>
        <w:rPr>
          <w:b w:val="false"/>
          <w:bCs w:val="false"/>
          <w:lang w:val="pt-BR" w:eastAsia="pt-BR" w:bidi="ar-SA"/>
        </w:rPr>
      </w:pPr>
      <w:r>
        <w:rPr>
          <w:b w:val="false"/>
          <w:bCs w:val="false"/>
          <w:lang w:val="pt-BR" w:eastAsia="pt-BR" w:bidi="ar-SA"/>
        </w:rPr>
      </w:r>
    </w:p>
    <w:p>
      <w:pPr>
        <w:pStyle w:val="CEAVITITULODESECAO"/>
        <w:numPr>
          <w:ilvl w:val="0"/>
          <w:numId w:val="1"/>
        </w:numPr>
        <w:ind w:hanging="357" w:left="357"/>
        <w:rPr/>
      </w:pPr>
      <w:r>
        <w:rPr/>
        <w:t>Formatação de tabelas, quadros e figuras</w:t>
      </w:r>
    </w:p>
    <w:p>
      <w:pPr>
        <w:pStyle w:val="Textouser"/>
        <w:rPr/>
      </w:pPr>
      <w:r>
        <w:rPr/>
      </w:r>
    </w:p>
    <w:p>
      <w:pPr>
        <w:pStyle w:val="CEAVILEGENDA"/>
        <w:keepNext w:val="true"/>
        <w:rPr>
          <w:rFonts w:cs="Arial"/>
        </w:rPr>
      </w:pPr>
      <w:r>
        <w:rPr>
          <w:rFonts w:cs="Arial"/>
        </w:rPr>
        <w:t>Figura 1: Exemplo de figura</w:t>
      </w:r>
    </w:p>
    <w:p>
      <w:pPr>
        <w:pStyle w:val="CEAVIFIGURA"/>
        <w:rPr>
          <w:rFonts w:cs="Arial"/>
        </w:rPr>
      </w:pPr>
      <w:r>
        <w:rPr/>
        <w:drawing>
          <wp:inline distT="0" distB="0" distL="0" distR="0">
            <wp:extent cx="3197225" cy="1219200"/>
            <wp:effectExtent l="0" t="0" r="0" b="0"/>
            <wp:docPr id="3"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
                    <pic:cNvPicPr>
                      <a:picLocks noChangeAspect="1" noChangeArrowheads="1"/>
                    </pic:cNvPicPr>
                  </pic:nvPicPr>
                  <pic:blipFill>
                    <a:blip r:embed="rId4"/>
                    <a:stretch>
                      <a:fillRect/>
                    </a:stretch>
                  </pic:blipFill>
                  <pic:spPr bwMode="auto">
                    <a:xfrm>
                      <a:off x="0" y="0"/>
                      <a:ext cx="3197225" cy="1219200"/>
                    </a:xfrm>
                    <a:prstGeom prst="rect">
                      <a:avLst/>
                    </a:prstGeom>
                    <a:noFill/>
                  </pic:spPr>
                </pic:pic>
              </a:graphicData>
            </a:graphic>
          </wp:inline>
        </w:drawing>
      </w:r>
    </w:p>
    <w:p>
      <w:pPr>
        <w:pStyle w:val="CEAVILEGENDA"/>
        <w:rPr>
          <w:rFonts w:cs="Arial"/>
          <w:b w:val="false"/>
        </w:rPr>
      </w:pPr>
      <w:r>
        <w:rPr>
          <w:rFonts w:cs="Arial"/>
          <w:b w:val="false"/>
        </w:rPr>
        <w:t>Fonte: ENEGEP, 2005</w:t>
      </w:r>
    </w:p>
    <w:p>
      <w:pPr>
        <w:pStyle w:val="Normal"/>
        <w:jc w:val="both"/>
        <w:rPr>
          <w:rFonts w:cs="Arial"/>
          <w:b/>
          <w:sz w:val="22"/>
          <w:szCs w:val="22"/>
        </w:rPr>
      </w:pPr>
      <w:r>
        <w:rPr>
          <w:rFonts w:cs="Arial"/>
          <w:b/>
          <w:sz w:val="22"/>
          <w:szCs w:val="22"/>
        </w:rPr>
      </w:r>
    </w:p>
    <w:p>
      <w:pPr>
        <w:pStyle w:val="Textouser"/>
        <w:rPr/>
      </w:pPr>
      <w:r>
        <w:rPr/>
      </w:r>
    </w:p>
    <w:p>
      <w:pPr>
        <w:pStyle w:val="CEAVILEGENDA"/>
        <w:spacing w:lineRule="auto" w:line="360"/>
        <w:rPr>
          <w:rFonts w:cs="Arial"/>
          <w:lang w:val="pt-BR"/>
        </w:rPr>
      </w:pPr>
      <w:r>
        <w:rPr>
          <w:rFonts w:cs="Arial"/>
          <w:lang w:val="pt-BR"/>
        </w:rPr>
      </w:r>
    </w:p>
    <w:p>
      <w:pPr>
        <w:pStyle w:val="CEAVILEGENDA"/>
        <w:spacing w:lineRule="auto" w:line="360"/>
        <w:rPr>
          <w:rFonts w:cs="Arial"/>
        </w:rPr>
      </w:pPr>
      <w:r>
        <w:rPr>
          <w:rFonts w:cs="Arial"/>
          <w:lang w:val="pt-BR"/>
        </w:rPr>
        <w:t xml:space="preserve">Tabela 1: Pesquisa qualitativa </w:t>
      </w:r>
      <w:r>
        <w:rPr>
          <w:rFonts w:cs="Arial"/>
          <w:i/>
          <w:lang w:val="pt-BR"/>
        </w:rPr>
        <w:t>versus</w:t>
      </w:r>
      <w:r>
        <w:rPr>
          <w:rFonts w:cs="Arial"/>
          <w:lang w:val="pt-BR"/>
        </w:rPr>
        <w:t xml:space="preserve"> pesquisa quantitativa </w:t>
      </w:r>
    </w:p>
    <w:tbl>
      <w:tblPr>
        <w:tblW w:w="4789" w:type="dxa"/>
        <w:jc w:val="center"/>
        <w:tblInd w:w="0" w:type="dxa"/>
        <w:tblLayout w:type="fixed"/>
        <w:tblCellMar>
          <w:top w:w="0" w:type="dxa"/>
          <w:left w:w="108" w:type="dxa"/>
          <w:bottom w:w="0" w:type="dxa"/>
          <w:right w:w="108" w:type="dxa"/>
        </w:tblCellMar>
      </w:tblPr>
      <w:tblGrid>
        <w:gridCol w:w="2429"/>
        <w:gridCol w:w="850"/>
        <w:gridCol w:w="1510"/>
      </w:tblGrid>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Item</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Quant.</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Percentual</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Teoria social</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22</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7,9%</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12,3%</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Questão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54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19,5%</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Raciocínio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44,8%</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 de amostragem</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33</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11,9%</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Força</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10</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3,6%</w:t>
            </w:r>
          </w:p>
        </w:tc>
      </w:tr>
    </w:tbl>
    <w:p>
      <w:pPr>
        <w:pStyle w:val="CEAVILEGENDA"/>
        <w:spacing w:lineRule="auto" w:line="360"/>
        <w:rPr>
          <w:rFonts w:cs="Arial"/>
          <w:b w:val="false"/>
        </w:rPr>
      </w:pPr>
      <w:r>
        <w:rPr>
          <w:rFonts w:cs="Arial"/>
          <w:b w:val="false"/>
        </w:rPr>
        <w:t xml:space="preserve">Fonte: Adaptado de MAYS </w:t>
      </w:r>
      <w:r>
        <w:rPr>
          <w:rFonts w:cs="Arial"/>
          <w:b w:val="false"/>
          <w:i/>
        </w:rPr>
        <w:t xml:space="preserve">apud </w:t>
      </w:r>
      <w:r>
        <w:rPr>
          <w:rFonts w:cs="Arial"/>
          <w:b w:val="false"/>
        </w:rPr>
        <w:t>GREENHALG, 1997</w:t>
      </w:r>
    </w:p>
    <w:p>
      <w:pPr>
        <w:pStyle w:val="CEAVIPARAGRAFO"/>
        <w:spacing w:lineRule="auto" w:line="360"/>
        <w:rPr>
          <w:rFonts w:cs="Arial"/>
        </w:rPr>
      </w:pPr>
      <w:r>
        <w:rPr>
          <w:rFonts w:cs="Arial"/>
        </w:rPr>
      </w:r>
    </w:p>
    <w:p>
      <w:pPr>
        <w:pStyle w:val="Textouser"/>
        <w:rPr/>
      </w:pPr>
      <w:r>
        <w:rPr/>
      </w:r>
    </w:p>
    <w:p>
      <w:pPr>
        <w:pStyle w:val="Normal"/>
        <w:rPr/>
      </w:pPr>
      <w:r>
        <w:rPr/>
      </w:r>
    </w:p>
    <w:p>
      <w:pPr>
        <w:pStyle w:val="CEAVILEGENDA"/>
        <w:keepNext w:val="true"/>
        <w:spacing w:lineRule="auto" w:line="360" w:before="120" w:after="0"/>
        <w:rPr>
          <w:rFonts w:cs="Arial"/>
        </w:rPr>
      </w:pPr>
      <w:r>
        <w:rPr>
          <w:rFonts w:cs="Arial"/>
          <w:lang w:val="pt-BR"/>
        </w:rPr>
        <w:t>Quadro 1:</w:t>
      </w:r>
      <w:r>
        <w:rPr>
          <w:rFonts w:cs="Arial"/>
        </w:rPr>
        <w:t xml:space="preserve"> Exemplo de quadro para artigo</w:t>
      </w:r>
    </w:p>
    <w:tbl>
      <w:tblPr>
        <w:tblW w:w="8721" w:type="dxa"/>
        <w:jc w:val="center"/>
        <w:tblInd w:w="0" w:type="dxa"/>
        <w:tblLayout w:type="fixed"/>
        <w:tblCellMar>
          <w:top w:w="0" w:type="dxa"/>
          <w:left w:w="108" w:type="dxa"/>
          <w:bottom w:w="0" w:type="dxa"/>
          <w:right w:w="108" w:type="dxa"/>
        </w:tblCellMar>
      </w:tblPr>
      <w:tblGrid>
        <w:gridCol w:w="1984"/>
        <w:gridCol w:w="2094"/>
        <w:gridCol w:w="2237"/>
        <w:gridCol w:w="2405"/>
      </w:tblGrid>
      <w:tr>
        <w:trPr>
          <w:trHeight w:val="319"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Resumo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Introdução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color w:themeColor="dark1" w:val="000000"/>
                <w:sz w:val="20"/>
                <w:szCs w:val="20"/>
              </w:rPr>
            </w:pPr>
            <w:r>
              <w:rPr>
                <w:rFonts w:eastAsia="Times New Roman" w:cs="Arial"/>
                <w:b/>
                <w:color w:themeColor="dark1" w:val="000000"/>
                <w:kern w:val="0"/>
                <w:sz w:val="20"/>
                <w:szCs w:val="20"/>
                <w:lang w:eastAsia="pt-BR" w:bidi="ar-SA"/>
              </w:rPr>
              <w:t>Metodologia ou matérias e métodos</w:t>
            </w:r>
          </w:p>
        </w:tc>
        <w:tc>
          <w:tcPr>
            <w:tcW w:w="2405"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color w:themeColor="dark1" w:val="000000"/>
                <w:kern w:val="0"/>
                <w:sz w:val="20"/>
                <w:szCs w:val="20"/>
                <w:lang w:eastAsia="pt-BR" w:bidi="ar-SA"/>
              </w:rPr>
              <w:t>Resultados e discussão</w:t>
            </w:r>
          </w:p>
        </w:tc>
      </w:tr>
      <w:tr>
        <w:trPr>
          <w:trHeight w:val="787"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sz w:val="20"/>
                <w:szCs w:val="20"/>
              </w:rPr>
            </w:pPr>
            <w:r>
              <w:rPr>
                <w:rFonts w:eastAsia="Times New Roman" w:cs="Arial"/>
                <w:kern w:val="0"/>
                <w:sz w:val="20"/>
                <w:szCs w:val="20"/>
                <w:lang w:eastAsia="pt-BR" w:bidi="ar-SA"/>
              </w:rPr>
              <w:t>- Objetivo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Resumo do material e método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Principais resultados</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Conclusão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Revisão de literatura</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Objetivos do trabalho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Apresentação completa das técnicas originais empregadas ou com referencias de trabalhos anteriores que as descrevam.</w:t>
            </w:r>
          </w:p>
        </w:tc>
        <w:tc>
          <w:tcPr>
            <w:tcW w:w="2405" w:type="dxa"/>
            <w:tcBorders>
              <w:top w:val="single" w:sz="4" w:space="0" w:color="000000"/>
              <w:left w:val="single" w:sz="4" w:space="0" w:color="000000"/>
              <w:bottom w:val="single" w:sz="4" w:space="0" w:color="000000"/>
              <w:right w:val="single" w:sz="4" w:space="0" w:color="000000"/>
            </w:tcBorders>
          </w:tcPr>
          <w:p>
            <w:pPr>
              <w:pStyle w:val="referncias"/>
              <w:keepNext w:val="true"/>
              <w:widowControl/>
              <w:shd w:val="clear" w:fill="FFFFFF"/>
              <w:suppressAutoHyphens w:val="true"/>
              <w:spacing w:before="0" w:after="240"/>
              <w:jc w:val="left"/>
              <w:rPr>
                <w:rFonts w:cs="Arial"/>
                <w:color w:val="000000"/>
                <w:sz w:val="20"/>
                <w:szCs w:val="20"/>
              </w:rPr>
            </w:pPr>
            <w:r>
              <w:rPr>
                <w:rFonts w:eastAsia="Times New Roman" w:cs="Arial"/>
                <w:kern w:val="0"/>
                <w:sz w:val="20"/>
                <w:szCs w:val="20"/>
                <w:lang w:eastAsia="pt-BR" w:bidi="ar-SA"/>
              </w:rPr>
              <w:t xml:space="preserve">- </w:t>
            </w:r>
            <w:r>
              <w:rPr>
                <w:rFonts w:eastAsia="Times New Roman" w:cs="Arial"/>
                <w:color w:themeColor="dark1" w:val="000000"/>
                <w:kern w:val="0"/>
                <w:sz w:val="20"/>
                <w:szCs w:val="20"/>
                <w:lang w:eastAsia="pt-BR" w:bidi="ar-SA"/>
              </w:rPr>
              <w:t>P</w:t>
            </w:r>
            <w:r>
              <w:rPr>
                <w:rFonts w:eastAsia="Times New Roman" w:cs="Arial"/>
                <w:color w:val="000000"/>
                <w:kern w:val="0"/>
                <w:sz w:val="20"/>
                <w:szCs w:val="20"/>
                <w:lang w:eastAsia="pt-BR" w:bidi="ar-SA"/>
              </w:rPr>
              <w:t>oderão ser apresentados separados ou como um só capítulo, podendo conter no final conclusão sumarizada.</w:t>
            </w:r>
          </w:p>
          <w:p>
            <w:pPr>
              <w:pStyle w:val="CEAVIPARAGRAFO"/>
              <w:keepNext w:val="true"/>
              <w:widowControl/>
              <w:suppressAutoHyphens w:val="true"/>
              <w:spacing w:before="0" w:after="0"/>
              <w:ind w:hanging="0"/>
              <w:jc w:val="left"/>
              <w:rPr>
                <w:rFonts w:cs="Arial"/>
                <w:sz w:val="20"/>
                <w:szCs w:val="20"/>
                <w:lang w:val="pt-BR"/>
              </w:rPr>
            </w:pPr>
            <w:r>
              <w:rPr>
                <w:rFonts w:cs="Arial"/>
                <w:sz w:val="20"/>
                <w:szCs w:val="20"/>
                <w:lang w:val="pt-BR"/>
              </w:rPr>
            </w:r>
          </w:p>
        </w:tc>
      </w:tr>
    </w:tbl>
    <w:p>
      <w:pPr>
        <w:pStyle w:val="CEAVILEGENDA"/>
        <w:rPr>
          <w:rFonts w:cs="Arial"/>
          <w:b w:val="false"/>
        </w:rPr>
      </w:pPr>
      <w:r>
        <w:rPr>
          <w:rFonts w:cs="Arial"/>
          <w:b w:val="false"/>
        </w:rPr>
        <w:t>Fonte: elaborado pelo próprio autor</w:t>
      </w:r>
    </w:p>
    <w:p>
      <w:pPr>
        <w:pStyle w:val="CEAVITITULODESECAO"/>
        <w:numPr>
          <w:ilvl w:val="0"/>
          <w:numId w:val="1"/>
        </w:numPr>
        <w:ind w:hanging="357" w:left="357"/>
        <w:rPr/>
      </w:pPr>
      <w:r>
        <w:rPr/>
        <w:t>Citações</w:t>
      </w:r>
    </w:p>
    <w:p>
      <w:pPr>
        <w:pStyle w:val="Textouser"/>
        <w:rPr>
          <w:b/>
        </w:rPr>
      </w:pPr>
      <w:r>
        <w:rPr/>
        <w:t>As citações também devem seguir a ABNT, a qual determina que:</w:t>
      </w:r>
    </w:p>
    <w:p>
      <w:pPr>
        <w:pStyle w:val="Textouser"/>
        <w:numPr>
          <w:ilvl w:val="0"/>
          <w:numId w:val="2"/>
        </w:numPr>
        <w:rPr>
          <w:b/>
        </w:rPr>
      </w:pPr>
      <w:r>
        <w:rPr/>
        <w:t>citações diretas com menos de três linhas devem vir inseridas no texto e colocadas entre aspas duplas. Deve constar a indicação do autor da citação.</w:t>
      </w:r>
    </w:p>
    <w:p>
      <w:pPr>
        <w:pStyle w:val="Textouser"/>
        <w:ind w:hanging="0" w:left="1428"/>
        <w:rPr>
          <w:b/>
        </w:rPr>
      </w:pPr>
      <w:r>
        <w:rPr/>
        <w:t>Exemplos:</w:t>
      </w:r>
    </w:p>
    <w:p>
      <w:pPr>
        <w:pStyle w:val="Textouser"/>
        <w:numPr>
          <w:ilvl w:val="1"/>
          <w:numId w:val="2"/>
        </w:numPr>
        <w:rPr>
          <w:b/>
        </w:rPr>
      </w:pPr>
      <w:r>
        <w:rPr/>
        <w:t>No final da citação: “Citação” (SANTOS, ano, p. 159)</w:t>
      </w:r>
    </w:p>
    <w:p>
      <w:pPr>
        <w:pStyle w:val="Textouser"/>
        <w:numPr>
          <w:ilvl w:val="1"/>
          <w:numId w:val="2"/>
        </w:numPr>
        <w:rPr>
          <w:b/>
        </w:rPr>
      </w:pPr>
      <w:r>
        <w:rPr/>
        <w:t>No início ou inserida no texto: Segundo Santos (ano, p. 159) “Citação”, ou ainda, Santos (ano, p. 159) diz que: “[...] citação”.</w:t>
      </w:r>
    </w:p>
    <w:p>
      <w:pPr>
        <w:pStyle w:val="Textouser"/>
        <w:numPr>
          <w:ilvl w:val="0"/>
          <w:numId w:val="2"/>
        </w:numPr>
        <w:rPr>
          <w:b/>
        </w:rPr>
      </w:pPr>
      <w:r>
        <w:rPr/>
        <w:t>citações diretas com mais de três linhas devem ser destacadas com recuo de 4 cm da margem esquerda, sem aspas e com letra menor que a do texto (fonte Arial, tamanho 10). Ao final, deve constar: (SOBRENOME DO AUTOR CITADO, ano, p. 123).</w:t>
      </w:r>
    </w:p>
    <w:p>
      <w:pPr>
        <w:pStyle w:val="Textouser"/>
        <w:numPr>
          <w:ilvl w:val="0"/>
          <w:numId w:val="2"/>
        </w:numPr>
        <w:rPr>
          <w:b/>
        </w:rPr>
      </w:pPr>
      <w:r>
        <w:rPr/>
        <w:t>citações indiretas, ou seja, texto baseado na obra do autor consultado deve ser adotado o mesmo critério anterior para a referência do autor; se fora dos parênteses, o sobrenome começa com maiúscula e depois letras minúsculas; se entre parênteses, o sobrenome aparece em letras maiúsculas.</w:t>
      </w:r>
    </w:p>
    <w:p>
      <w:pPr>
        <w:pStyle w:val="CEAVITITULODESECAO"/>
        <w:numPr>
          <w:ilvl w:val="0"/>
          <w:numId w:val="1"/>
        </w:numPr>
        <w:ind w:hanging="357" w:left="357"/>
        <w:rPr/>
      </w:pPr>
      <w:r>
        <w:rPr/>
        <w:t>Referencial Teórico</w:t>
      </w:r>
    </w:p>
    <w:p>
      <w:pPr>
        <w:pStyle w:val="Textouser"/>
        <w:rPr/>
      </w:pPr>
      <w:r>
        <w:rPr/>
        <w:t xml:space="preserve">Explicitação dos subsídios teóricos que fundamentam a construção do trabalho. </w:t>
      </w:r>
    </w:p>
    <w:p>
      <w:pPr>
        <w:pStyle w:val="CEAVITITULODESECAO"/>
        <w:numPr>
          <w:ilvl w:val="0"/>
          <w:numId w:val="1"/>
        </w:numPr>
        <w:ind w:hanging="357" w:left="357"/>
        <w:rPr/>
      </w:pPr>
      <w:r>
        <w:rPr/>
        <w:t>Metodologia ou matérias e métodos</w:t>
      </w:r>
    </w:p>
    <w:p>
      <w:pPr>
        <w:pStyle w:val="Textouser"/>
        <w:keepNext w:val="true"/>
        <w:ind w:hanging="0"/>
        <w:rPr/>
      </w:pPr>
      <w:r>
        <w:rPr/>
        <w:t xml:space="preserve">Na metodologia deverá ser explicito minimamente: </w:t>
      </w:r>
    </w:p>
    <w:p>
      <w:pPr>
        <w:pStyle w:val="Textouser"/>
        <w:numPr>
          <w:ilvl w:val="0"/>
          <w:numId w:val="3"/>
        </w:numPr>
        <w:rPr/>
      </w:pPr>
      <w:r>
        <w:rPr/>
        <w:t xml:space="preserve">Tipo de Pesquisa </w:t>
      </w:r>
    </w:p>
    <w:p>
      <w:pPr>
        <w:pStyle w:val="Textouser"/>
        <w:numPr>
          <w:ilvl w:val="0"/>
          <w:numId w:val="3"/>
        </w:numPr>
        <w:rPr/>
      </w:pPr>
      <w:r>
        <w:rPr/>
        <w:t xml:space="preserve">Critérios para composição populacional ou amostral </w:t>
      </w:r>
    </w:p>
    <w:p>
      <w:pPr>
        <w:pStyle w:val="Textouser"/>
        <w:numPr>
          <w:ilvl w:val="0"/>
          <w:numId w:val="3"/>
        </w:numPr>
        <w:rPr/>
      </w:pPr>
      <w:r>
        <w:rPr/>
        <w:t xml:space="preserve">Forma de coleta de dados </w:t>
      </w:r>
    </w:p>
    <w:p>
      <w:pPr>
        <w:pStyle w:val="Textouser"/>
        <w:numPr>
          <w:ilvl w:val="0"/>
          <w:numId w:val="3"/>
        </w:numPr>
        <w:rPr/>
      </w:pPr>
      <w:r>
        <w:rPr/>
        <w:t>Forma de Análise dos Dados</w:t>
      </w:r>
    </w:p>
    <w:p>
      <w:pPr>
        <w:pStyle w:val="CEAVITITULODESECAO"/>
        <w:numPr>
          <w:ilvl w:val="0"/>
          <w:numId w:val="1"/>
        </w:numPr>
        <w:ind w:hanging="357" w:left="357"/>
        <w:rPr/>
      </w:pPr>
      <w:r>
        <w:rPr/>
        <w:t>Resultados e discussão</w:t>
      </w:r>
    </w:p>
    <w:p>
      <w:pPr>
        <w:pStyle w:val="Textouser"/>
        <w:rPr/>
      </w:pPr>
      <w:r>
        <w:rPr/>
        <w:t>Poderão ser apresentados separados ou como um só capítulo, podendo constar no final conclusão sumarizada.</w:t>
      </w:r>
    </w:p>
    <w:p>
      <w:pPr>
        <w:pStyle w:val="Normal"/>
        <w:spacing w:lineRule="auto" w:line="360"/>
        <w:jc w:val="both"/>
        <w:rPr>
          <w:rFonts w:cs="Arial"/>
        </w:rPr>
      </w:pPr>
      <w:r>
        <w:rPr>
          <w:rFonts w:cs="Arial"/>
        </w:rPr>
      </w:r>
    </w:p>
    <w:p>
      <w:pPr>
        <w:pStyle w:val="CEAVITITULODESECAO"/>
        <w:numPr>
          <w:ilvl w:val="0"/>
          <w:numId w:val="0"/>
        </w:numPr>
        <w:ind w:hanging="357" w:left="357"/>
        <w:rPr/>
      </w:pPr>
      <w:r>
        <w:rPr/>
        <w:t xml:space="preserve">Referências </w:t>
      </w:r>
    </w:p>
    <w:p>
      <w:pPr>
        <w:pStyle w:val="Textouser"/>
        <w:rPr/>
      </w:pPr>
      <w:r>
        <w:rPr/>
        <w:t>Deverão ser redigidas segundo as normas da ABNT. Incluir as referências de obras mencionadas no texto.</w:t>
      </w:r>
    </w:p>
    <w:p>
      <w:pPr>
        <w:pStyle w:val="referncias"/>
        <w:shd w:val="clear" w:fill="FFFFFF"/>
        <w:spacing w:lineRule="auto" w:line="360" w:before="240" w:after="240"/>
        <w:jc w:val="both"/>
        <w:rPr>
          <w:rFonts w:cs="Arial"/>
          <w:color w:themeColor="dark1" w:val="000000"/>
        </w:rPr>
      </w:pPr>
      <w:r>
        <w:rPr>
          <w:rFonts w:cs="Arial"/>
          <w:b/>
          <w:color w:themeColor="dark1" w:val="000000"/>
        </w:rPr>
        <w:t>Exemplos (</w:t>
      </w:r>
      <w:r>
        <w:rPr>
          <w:rFonts w:cs="Arial"/>
          <w:color w:themeColor="dark1" w:val="000000"/>
        </w:rPr>
        <w:t>todos os exemplos aqui apresentados são fictícios</w:t>
      </w:r>
      <w:r>
        <w:rPr>
          <w:rFonts w:cs="Arial"/>
          <w:b/>
          <w:color w:themeColor="dark1" w:val="000000"/>
        </w:rPr>
        <w:t>):</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pessoal</w:t>
      </w:r>
    </w:p>
    <w:p>
      <w:pPr>
        <w:pStyle w:val="referncias"/>
        <w:shd w:val="clear" w:fill="FFFFFF"/>
        <w:spacing w:before="240" w:after="240"/>
        <w:rPr>
          <w:rFonts w:cs="Arial"/>
          <w:color w:themeColor="dark1" w:val="000000"/>
        </w:rPr>
      </w:pPr>
      <w:r>
        <w:rPr>
          <w:rFonts w:cs="Arial"/>
          <w:color w:themeColor="dark1" w:val="000000"/>
        </w:rPr>
        <w:t>ÚLTIMO SOBRENOME (Caixa alta), D. T. (Primeiras letras do nome e sobrenomes)</w:t>
      </w:r>
      <w:r>
        <w:rPr>
          <w:rStyle w:val="apple-converted-space"/>
          <w:rFonts w:cs="Arial"/>
          <w:color w:themeColor="dark1" w:val="000000"/>
        </w:rPr>
        <w:t> </w:t>
      </w:r>
      <w:r>
        <w:rPr>
          <w:rStyle w:val="Strong"/>
          <w:rFonts w:cs="Arial"/>
          <w:color w:themeColor="dark1" w:val="000000"/>
        </w:rPr>
        <w:t>Título</w:t>
      </w:r>
      <w:r>
        <w:rPr>
          <w:rFonts w:cs="Arial"/>
          <w:color w:themeColor="dark1" w:val="000000"/>
        </w:rPr>
        <w:t>. 3. ed. (Número da edição) Local: Editora, ano. 159p.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Até 3 autores</w:t>
      </w:r>
    </w:p>
    <w:p>
      <w:pPr>
        <w:pStyle w:val="referncias"/>
        <w:shd w:val="clear" w:fill="FFFFFF"/>
        <w:spacing w:before="240" w:after="240"/>
        <w:rPr>
          <w:rFonts w:cs="Arial"/>
          <w:color w:themeColor="dark1" w:val="000000"/>
        </w:rPr>
      </w:pPr>
      <w:r>
        <w:rPr>
          <w:rFonts w:cs="Arial"/>
          <w:color w:themeColor="dark1" w:val="000000"/>
        </w:rPr>
        <w:t>FONTES,  M. P.; LIMA, D. A.; SANTOS, R. P.</w:t>
      </w:r>
      <w:r>
        <w:rPr>
          <w:rStyle w:val="apple-converted-space"/>
          <w:rFonts w:cs="Arial"/>
          <w:color w:themeColor="dark1" w:val="000000"/>
        </w:rPr>
        <w:t> </w:t>
      </w:r>
      <w:r>
        <w:rPr>
          <w:rStyle w:val="Strong"/>
          <w:rFonts w:cs="Arial"/>
          <w:color w:themeColor="dark1" w:val="000000"/>
        </w:rPr>
        <w:t>Título</w:t>
      </w:r>
      <w:r>
        <w:rPr>
          <w:rFonts w:cs="Arial"/>
          <w:color w:themeColor="dark1" w:val="000000"/>
        </w:rPr>
        <w:t>. 4. ed. rev. e aum.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Mais de 3 autores</w:t>
      </w:r>
    </w:p>
    <w:p>
      <w:pPr>
        <w:pStyle w:val="referncias"/>
        <w:shd w:val="clear" w:fill="FFFFFF"/>
        <w:spacing w:lineRule="auto" w:line="360" w:before="240" w:after="240"/>
        <w:rPr>
          <w:rFonts w:cs="Arial"/>
          <w:color w:themeColor="dark1" w:val="000000"/>
        </w:rPr>
      </w:pPr>
      <w:r>
        <w:rPr>
          <w:rFonts w:cs="Arial"/>
          <w:color w:themeColor="dark1" w:val="000000"/>
        </w:rPr>
        <w:t>GONÇALVES, G. O. et al. </w:t>
      </w:r>
      <w:r>
        <w:rPr>
          <w:rStyle w:val="Strong"/>
          <w:rFonts w:cs="Arial"/>
          <w:color w:themeColor="dark1" w:val="000000"/>
        </w:rPr>
        <w:t>Título</w:t>
      </w:r>
      <w:r>
        <w:rPr>
          <w:rFonts w:cs="Arial"/>
          <w:color w:themeColor="dark1" w:val="000000"/>
        </w:rPr>
        <w:t>: subtítulo. Local: Editora, ano.</w:t>
      </w:r>
    </w:p>
    <w:p>
      <w:pPr>
        <w:pStyle w:val="referncias"/>
        <w:shd w:val="clear" w:fill="FFFFFF"/>
        <w:spacing w:lineRule="auto" w:line="360" w:before="240" w:after="240"/>
        <w:jc w:val="both"/>
        <w:rPr>
          <w:rFonts w:cs="Arial"/>
          <w:color w:themeColor="dark1" w:val="000000"/>
          <w:lang w:val="es-ES"/>
        </w:rPr>
      </w:pPr>
      <w:r>
        <w:rPr>
          <w:rFonts w:cs="Arial"/>
          <w:color w:themeColor="dark1" w:val="000000"/>
          <w:lang w:val="es-ES"/>
        </w:rPr>
        <w:t xml:space="preserve">– </w:t>
      </w:r>
      <w:r>
        <w:rPr>
          <w:rFonts w:cs="Arial"/>
          <w:color w:themeColor="dark1" w:val="000000"/>
          <w:lang w:val="es-ES"/>
        </w:rPr>
        <w:t>Organizador (es), coordenador(es), tradutor(es)</w:t>
      </w:r>
    </w:p>
    <w:p>
      <w:pPr>
        <w:pStyle w:val="referncias"/>
        <w:shd w:val="clear" w:fill="FFFFFF"/>
        <w:spacing w:before="240" w:after="240"/>
        <w:rPr>
          <w:rFonts w:cs="Arial"/>
          <w:color w:themeColor="dark1" w:val="000000"/>
        </w:rPr>
      </w:pPr>
      <w:r>
        <w:rPr>
          <w:rFonts w:cs="Arial"/>
          <w:color w:themeColor="dark1" w:val="000000"/>
        </w:rPr>
        <w:t>TEIXEIRA, M. V. (Org.). </w:t>
      </w:r>
      <w:r>
        <w:rPr>
          <w:rStyle w:val="Strong"/>
          <w:rFonts w:cs="Arial"/>
          <w:color w:themeColor="dark1" w:val="000000"/>
        </w:rPr>
        <w:t>Título</w:t>
      </w:r>
      <w:r>
        <w:rPr>
          <w:rFonts w:cs="Arial"/>
          <w:color w:themeColor="dark1" w:val="000000"/>
        </w:rPr>
        <w:t>. Tradução de (Nome e Sobrenome do tradutor). [S.l.: s.n.] (Caso não contenha  local  e editora na obra referenciada),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entidade</w:t>
      </w:r>
    </w:p>
    <w:p>
      <w:pPr>
        <w:pStyle w:val="referncias"/>
        <w:shd w:val="clear" w:fill="FFFFFF"/>
        <w:spacing w:lineRule="auto" w:line="360" w:before="240" w:after="240"/>
        <w:rPr>
          <w:rFonts w:cs="Arial"/>
          <w:color w:themeColor="dark1" w:val="000000"/>
        </w:rPr>
      </w:pPr>
      <w:r>
        <w:rPr>
          <w:rFonts w:cs="Arial"/>
          <w:color w:themeColor="dark1" w:val="000000"/>
        </w:rPr>
        <w:t>BRASIL. Ministério da Educação. </w:t>
      </w:r>
      <w:r>
        <w:rPr>
          <w:rStyle w:val="Strong"/>
          <w:rFonts w:cs="Arial"/>
          <w:color w:themeColor="dark1" w:val="000000"/>
        </w:rPr>
        <w:t>Título</w:t>
      </w:r>
      <w:r>
        <w:rPr>
          <w:rFonts w:cs="Arial"/>
          <w:color w:themeColor="dark1" w:val="000000"/>
        </w:rPr>
        <w:t>. Brasília, DF, ano. 96p.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Autoria desconhecida</w:t>
      </w:r>
    </w:p>
    <w:p>
      <w:pPr>
        <w:pStyle w:val="referncias"/>
        <w:shd w:val="clear" w:fill="FFFFFF"/>
        <w:spacing w:lineRule="auto" w:line="360" w:before="240" w:after="240"/>
        <w:rPr>
          <w:rFonts w:cs="Arial"/>
          <w:color w:themeColor="dark1" w:val="000000"/>
        </w:rPr>
      </w:pPr>
      <w:r>
        <w:rPr>
          <w:rFonts w:cs="Arial"/>
          <w:color w:themeColor="dark1" w:val="000000"/>
        </w:rPr>
        <w:t>PRIMEIRA palavra do título.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Partes de monografia</w:t>
      </w:r>
    </w:p>
    <w:p>
      <w:pPr>
        <w:pStyle w:val="referncias"/>
        <w:shd w:val="clear" w:fill="FFFFFF"/>
        <w:spacing w:before="240" w:after="240"/>
        <w:rPr>
          <w:rFonts w:cs="Arial"/>
          <w:color w:themeColor="dark1" w:val="000000"/>
        </w:rPr>
      </w:pPr>
      <w:r>
        <w:rPr>
          <w:rFonts w:cs="Arial"/>
          <w:color w:themeColor="dark1" w:val="000000"/>
        </w:rPr>
        <w:t>SANTOS, M. T. Título da parte. In: SOBRENOME, F. S. (Org.). </w:t>
      </w:r>
      <w:r>
        <w:rPr>
          <w:rStyle w:val="Strong"/>
          <w:rFonts w:cs="Arial"/>
          <w:color w:themeColor="dark1" w:val="000000"/>
        </w:rPr>
        <w:t>Título da publicação</w:t>
      </w:r>
      <w:r>
        <w:rPr>
          <w:rFonts w:cs="Arial"/>
          <w:color w:themeColor="dark1" w:val="000000"/>
        </w:rPr>
        <w:t>. Local: Editora, ano. cap. 3, p. 6-9.</w:t>
      </w:r>
    </w:p>
    <w:p>
      <w:pPr>
        <w:pStyle w:val="referncias"/>
        <w:shd w:val="clear" w:fill="FFFFFF"/>
        <w:spacing w:before="240" w:after="240"/>
        <w:rPr>
          <w:rFonts w:cs="Arial"/>
          <w:color w:themeColor="dark1" w:val="000000"/>
        </w:rPr>
      </w:pPr>
      <w:r>
        <w:rPr>
          <w:rFonts w:cs="Arial"/>
          <w:color w:themeColor="dark1" w:val="000000"/>
        </w:rPr>
        <w:t>SANTOS, D. T. Título da parte. In: ______. (caso autor da parte seja igual ao da publicação no todo). </w:t>
      </w:r>
      <w:r>
        <w:rPr>
          <w:rStyle w:val="Strong"/>
          <w:rFonts w:cs="Arial"/>
          <w:color w:themeColor="dark1" w:val="000000"/>
        </w:rPr>
        <w:t>Título da publicação</w:t>
      </w:r>
      <w:r>
        <w:rPr>
          <w:rFonts w:cs="Arial"/>
          <w:color w:themeColor="dark1" w:val="000000"/>
        </w:rPr>
        <w:t>. Local: Editora, ano. cap. 4, p. 3-7.</w:t>
      </w:r>
    </w:p>
    <w:p>
      <w:pPr>
        <w:pStyle w:val="referncias"/>
        <w:shd w:val="clear" w:fill="FFFFFF"/>
        <w:spacing w:lineRule="auto" w:line="360" w:before="240" w:after="240"/>
        <w:jc w:val="both"/>
        <w:rPr>
          <w:rFonts w:cs="Arial"/>
          <w:color w:themeColor="dark1" w:val="000000"/>
        </w:rPr>
      </w:pPr>
      <w:r>
        <w:rPr>
          <w:rFonts w:cs="Arial"/>
          <w:color w:themeColor="dark1" w:val="000000"/>
        </w:rPr>
        <w:t>–</w:t>
      </w:r>
      <w:r>
        <w:rPr>
          <w:rStyle w:val="Strong"/>
          <w:rFonts w:cs="Arial"/>
          <w:color w:themeColor="dark1" w:val="000000"/>
        </w:rPr>
        <w:t xml:space="preserve"> </w:t>
      </w:r>
      <w:r>
        <w:rPr>
          <w:rStyle w:val="Strong"/>
          <w:rFonts w:cs="Arial"/>
          <w:color w:themeColor="dark1" w:val="000000"/>
        </w:rPr>
        <w:t xml:space="preserve">Monografias e partes de monografias em meio eletrônico e on-line </w:t>
      </w:r>
    </w:p>
    <w:p>
      <w:pPr>
        <w:pStyle w:val="referncias"/>
        <w:shd w:val="clear" w:fill="FFFFFF"/>
        <w:spacing w:lineRule="auto" w:line="360" w:before="240" w:after="240"/>
        <w:rPr>
          <w:rFonts w:cs="Arial"/>
          <w:color w:themeColor="dark1" w:val="000000"/>
        </w:rPr>
      </w:pPr>
      <w:r>
        <w:rPr>
          <w:rFonts w:cs="Arial"/>
          <w:color w:themeColor="dark1" w:val="000000"/>
        </w:rPr>
        <w:t>GONÇALVES, F. M. </w:t>
      </w:r>
      <w:r>
        <w:rPr>
          <w:rStyle w:val="Strong"/>
          <w:rFonts w:cs="Arial"/>
          <w:color w:themeColor="dark1" w:val="000000"/>
        </w:rPr>
        <w:t>Título</w:t>
      </w:r>
      <w:r>
        <w:rPr>
          <w:rFonts w:cs="Arial"/>
          <w:color w:themeColor="dark1" w:val="000000"/>
        </w:rPr>
        <w:t>. Local: Editora, ano. 1 CD-ROM.</w:t>
      </w:r>
    </w:p>
    <w:p>
      <w:pPr>
        <w:pStyle w:val="referncias"/>
        <w:shd w:val="clear" w:fill="FFFFFF"/>
        <w:spacing w:before="240" w:after="240"/>
        <w:rPr>
          <w:rFonts w:cs="Arial"/>
          <w:color w:themeColor="dark1" w:val="000000"/>
        </w:rPr>
      </w:pPr>
      <w:r>
        <w:rPr>
          <w:rFonts w:cs="Arial"/>
          <w:color w:themeColor="dark1" w:val="000000"/>
        </w:rPr>
        <w:t>SANTA MARIA. In: ENCICLOPÉDIA virtual dos municípios do RS. Local: Editora, ano. CD-ROM 1.</w:t>
      </w:r>
    </w:p>
    <w:p>
      <w:pPr>
        <w:pStyle w:val="referncias"/>
        <w:shd w:val="clear" w:fill="FFFFFF"/>
        <w:spacing w:before="240" w:after="240"/>
        <w:rPr>
          <w:rFonts w:cs="Arial"/>
          <w:color w:themeColor="dark1" w:val="000000"/>
        </w:rPr>
      </w:pPr>
      <w:r>
        <w:rPr>
          <w:rFonts w:cs="Arial"/>
          <w:color w:themeColor="dark1" w:val="000000"/>
        </w:rPr>
        <w:t>SANTOS, N. B. </w:t>
      </w:r>
      <w:r>
        <w:rPr>
          <w:rStyle w:val="Strong"/>
          <w:rFonts w:cs="Arial"/>
          <w:color w:themeColor="dark1" w:val="000000"/>
        </w:rPr>
        <w:t>Título</w:t>
      </w:r>
      <w:r>
        <w:rPr>
          <w:rFonts w:cs="Arial"/>
          <w:color w:themeColor="dark1" w:val="000000"/>
        </w:rPr>
        <w:t>. [S.l]: Editora, ano. Disponível em: &lt;http://www.iffarroupilha.edu.br &gt;. Acesso em: 7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w:t>
      </w:r>
      <w:r>
        <w:rPr>
          <w:rFonts w:cs="Arial"/>
          <w:color w:themeColor="dark1" w:val="000000"/>
        </w:rPr>
        <w:t>... (mesmo caso para </w:t>
      </w:r>
      <w:r>
        <w:rPr>
          <w:rStyle w:val="Strong"/>
          <w:rFonts w:cs="Arial"/>
          <w:color w:themeColor="dark1" w:val="000000"/>
        </w:rPr>
        <w:t>Resumos</w:t>
      </w:r>
      <w:r>
        <w:rPr>
          <w:rFonts w:cs="Arial"/>
          <w:color w:themeColor="dark1" w:val="000000"/>
        </w:rPr>
        <w:t>...) Local (da publicação): Editora, ano. p. 4-8. (Quando em meio eletrônico, adicione a descrição física do recurso utilizado após a paginação. Ex.: ... p. 4-8. 1 CD-ROM.)</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 on-line</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 eletrônicos</w:t>
      </w:r>
      <w:r>
        <w:rPr>
          <w:rFonts w:cs="Arial"/>
          <w:color w:themeColor="dark1" w:val="000000"/>
        </w:rPr>
        <w:t>... Local: Editora, ano. Disponível em: &lt;http://www.url completa&gt;. Acesso em: 5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e/ou matéria de revista</w:t>
      </w:r>
    </w:p>
    <w:p>
      <w:pPr>
        <w:pStyle w:val="referncias"/>
        <w:shd w:val="clear" w:fill="FFFFFF"/>
        <w:spacing w:before="240" w:after="240"/>
        <w:rPr>
          <w:rFonts w:cs="Arial"/>
          <w:color w:themeColor="dark1" w:val="000000"/>
        </w:rPr>
      </w:pPr>
      <w:r>
        <w:rPr>
          <w:rFonts w:cs="Arial"/>
          <w:color w:themeColor="dark1" w:val="000000"/>
        </w:rPr>
        <w:t>FONTES, M. P. Título do artigo. </w:t>
      </w:r>
      <w:r>
        <w:rPr>
          <w:rStyle w:val="Strong"/>
          <w:rFonts w:cs="Arial"/>
          <w:color w:themeColor="dark1" w:val="000000"/>
        </w:rPr>
        <w:t>Título da publicação</w:t>
      </w:r>
      <w:r>
        <w:rPr>
          <w:rFonts w:cs="Arial"/>
          <w:color w:themeColor="dark1" w:val="000000"/>
        </w:rPr>
        <w:t>, local, n. 1 (número da publicação), p. 4-8 (paginação inicial e final), jan. 2000 (data da publicação).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on-line</w:t>
      </w:r>
    </w:p>
    <w:p>
      <w:pPr>
        <w:pStyle w:val="referncias"/>
        <w:shd w:val="clear" w:fill="FFFFFF"/>
        <w:spacing w:before="240" w:after="240"/>
        <w:rPr>
          <w:color w:themeColor="dark1" w:val="000000"/>
        </w:rPr>
      </w:pPr>
      <w:r>
        <w:rPr>
          <w:rFonts w:cs="Arial"/>
          <w:color w:themeColor="dark1" w:val="000000"/>
        </w:rPr>
        <w:t>LIMA, D. A. Título do artigo. </w:t>
      </w:r>
      <w:r>
        <w:rPr>
          <w:rStyle w:val="Strong"/>
          <w:rFonts w:cs="Arial"/>
          <w:color w:themeColor="dark1" w:val="000000"/>
        </w:rPr>
        <w:t>Título da revista</w:t>
      </w:r>
      <w:r>
        <w:rPr>
          <w:rFonts w:cs="Arial"/>
          <w:color w:themeColor="dark1" w:val="000000"/>
        </w:rPr>
        <w:t>. Local, numeração, ago. 2014 (data da publicação). Disponível em: &lt;http://www.url completa&gt;. Acesso em: 6 ju</w:t>
      </w:r>
      <w:r>
        <w:rPr>
          <w:color w:themeColor="dark1" w:val="000000"/>
        </w:rPr>
        <w:t>l. 2015.</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10</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10</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Times New Roman" w:cs="Times New Roman"/>
      <w:color w:val="auto"/>
      <w:kern w:val="0"/>
      <w:sz w:val="24"/>
      <w:szCs w:val="24"/>
      <w:lang w:val="pt-PT" w:eastAsia="pt-BR"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paragraph" w:styleId="Ttulo">
    <w:name w:val="Título"/>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Figurauser">
    <w:name w:val="Figura (user)"/>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user">
    <w:name w:val="Texto (user)"/>
    <w:basedOn w:val="CEAVIPRIMEIROPARAGRAFO"/>
    <w:link w:val="TextoChar"/>
    <w:qFormat/>
    <w:pPr>
      <w:spacing w:lineRule="auto" w:line="360"/>
      <w:ind w:firstLine="708"/>
    </w:pPr>
    <w:rPr>
      <w:rFonts w:cs="Arial"/>
      <w:color w:themeColor="dark1" w:val="000000"/>
    </w:rPr>
  </w:style>
  <w:style w:type="paragraph" w:styleId="Contedodatabela">
    <w:name w:val="Conteúdo da tabela"/>
    <w:basedOn w:val="Normal"/>
    <w:qFormat/>
    <w:pPr>
      <w:widowControl w:val="false"/>
      <w:suppressLineNumbers/>
    </w:pPr>
    <w:rPr/>
  </w:style>
  <w:style w:type="paragraph" w:styleId="Texto">
    <w:name w:val="Texto"/>
    <w:basedOn w:val="Caption"/>
    <w:qFormat/>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wmf"/><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835</TotalTime>
  <Application>LibreOffice/25.2.7.2$Windows_X86_64 LibreOffice_project/5cbfd1ab6520636bb5f7b99185aa69bd7456825d</Application>
  <AppVersion>15.0000</AppVersion>
  <Pages>10</Pages>
  <Words>2249</Words>
  <Characters>11558</Characters>
  <CharactersWithSpaces>13704</CharactersWithSpaces>
  <Paragraphs>139</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2026-08-23T00:02:53Z</cp:lastPrinted>
  <dcterms:modified xsi:type="dcterms:W3CDTF">2026-08-23T02:11:54Z</dcterms:modified>
  <cp:revision>78</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