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ДОГОВОР КОММЕРЧЕСКОЙ КОНЦЕССИИ</w:t>
        <w:br/>
        <w:t>И ДОВЕРИТЕЛЬНОГО УПРАВЛЕНИЯ IT-АКТИВОМ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i/>
          <w:sz w:val="22"/>
        </w:rPr>
        <w:t>(Управленческая франшиза программного комплекса «OmniSMM 1.0» / витрины SMMplan)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none"/>
          <w:right w:val="none"/>
          <w:insideH w:val="single" w:sz="0" w:space="0" w:color="FFFFFF"/>
          <w:insideV w:val="none"/>
        </w:tblBorders>
      </w:tblPr>
      <w:tblGrid>
        <w:gridCol w:w="4608"/>
        <w:gridCol w:w="4752"/>
      </w:tblGrid>
      <w:tr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г. Москва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«21» сентября 2026 г.</w:t>
            </w:r>
          </w:p>
        </w:tc>
      </w:tr>
    </w:tbl>
    <w:p>
      <w:pPr>
        <w:spacing w:before="80" w:after="80"/>
        <w:ind w:firstLine="0"/>
      </w:pP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Индивидуальный предприниматель / Самозанятый гражданин РФ _____________________________, действующий на основании свидетельства / справки о постановке на учет плательщика налога на профессиональный доход (ИНН _________________), именуемый в дальнейшем «Правообладатель» (или «Управляющая Компания»), с одной стороны, и</w:t>
        <w:br/>
        <w:t>Гражданин РФ / Индивидуальный предприниматель / Юридическое лицо _____________________________, действующий на основании _____________________________, именуемый в дальнейшем «Пользователь» (или «Инвестор»), с другой стороны, совместно именуемые в дальнейшем «Стороны», а по отдельности — «Сторона»,</w:t>
        <w:br/>
        <w:t>руководствуясь положениями Главы 54 Гражданского кодекса Российской Федерации («Коммерческая концессия»), Части IV Гражданского кодекса Российской Федерации («Права на результаты интеллектуальной деятельности и средства индивидуализации»), заключили настоящий Договор коммерческой концессии и доверительного управления IT-активом (далее — «Договор») о нижеследующем: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1. ТЕРМИНЫ И ОПРЕДЕЛЕНИЯ</w:t>
      </w:r>
    </w:p>
    <w:p>
      <w:pPr>
        <w:spacing w:before="0" w:after="120" w:line="30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1.1. Для целей настоящего Договора нижеприведенные термины имеют следующее значение: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«Комплекс исключительных прав» </w:t>
      </w:r>
      <w:r>
        <w:rPr>
          <w:rFonts w:ascii="Times New Roman" w:hAnsi="Times New Roman"/>
          <w:color w:val="000000"/>
          <w:sz w:val="24"/>
        </w:rPr>
        <w:t>— совокупность исключительных прав и секретов производства (ноу-хау), включающая программу для электронных вычислительных машин «OmniSMM 1.0», архитектурную модель базы данных PostgreSQL, неизменяемый финансовый двойной леджер AEARH, нейросетевой модуль клиентской поддержки Laya ONNX, коммерческие алгоритмы авто-арбитража поставщиков и дизайн-систему пользовательского интерфейса.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«Розничная витрина» </w:t>
      </w:r>
      <w:r>
        <w:rPr>
          <w:rFonts w:ascii="Times New Roman" w:hAnsi="Times New Roman"/>
          <w:color w:val="000000"/>
          <w:sz w:val="24"/>
        </w:rPr>
        <w:t>— изолированное пользовательское пространство и клиентский интернет-сайт (доменное имя), функционирующий на ядре Программного комплекса Правообладателя, предназначенный для продажи услуг конечному потребителю под согласованным коммерческим обозначением.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«Паушальный платеж» </w:t>
      </w:r>
      <w:r>
        <w:rPr>
          <w:rFonts w:ascii="Times New Roman" w:hAnsi="Times New Roman"/>
          <w:color w:val="000000"/>
          <w:sz w:val="24"/>
        </w:rPr>
        <w:t>— единовременный фиксированный невозвратный лицензионный платеж, уплачиваемый Пользователем Правообладателю за предоставление права использования Комплекса исключительных прав и первичную конфигурацию Розничной витрины.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«Вознаграждение за управление (Management Fee)» </w:t>
      </w:r>
      <w:r>
        <w:rPr>
          <w:rFonts w:ascii="Times New Roman" w:hAnsi="Times New Roman"/>
          <w:color w:val="000000"/>
          <w:sz w:val="24"/>
        </w:rPr>
        <w:t>— ежемесячное вознаграждение Правообладателя за комплексное круглосуточное операционное, техническое, сервисно-клиентское и маркетинговое управление Розничной витриной Пользователя под ключ.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«Безопасный вывод капитала (Safe Owner Draw)» </w:t>
      </w:r>
      <w:r>
        <w:rPr>
          <w:rFonts w:ascii="Times New Roman" w:hAnsi="Times New Roman"/>
          <w:color w:val="000000"/>
          <w:sz w:val="24"/>
        </w:rPr>
        <w:t>— финансовый алгоритм, рассчитывающий доступную к распределению прибыль исключительно после гарантированного покрытия кредиторской задолженности перед балансами клиентов, обязательных налоговых резервов и неснижаемого операционного буфера.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2. ПРЕДМЕТ ДОГОВОРА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2.1. Правообладатель обязуется предоставить Пользователю за вознаграждение право использовать в предпринимательской деятельности Пользователя комплекс принадлежащих Правообладателю исключительных прав (коммерческую концессию), включая право использования Программного комплекса «OmniSMM 1.0», деловой репутации и коммерческого опыта Правообладателя, для организации работы Розничной витрины автоматизированных цифровых услуг, а также принять на себя обязательства по ее полному доверительному операционному управлению под ключ.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2.2. ИНВАРИАНТ ИСКЛЮЧИТЕЛЬНЫХ ПРАВ (IP LOCK): Исходный программный код, архитектура базы данных, микросервисы ИИ-поддержки и серверное ядро платформы «OmniSMM 1.0» являются неделимой и неотчуждаемой интеллектуальной собственностью Правообладателя. Пользователю предоставляется исключительно неисключительное право использования Розничной витрины. Пользователь не вправе требовать передачи исходных текстов, декомпиляции или передачи прав на базовое программное обеспечение третьим лицам.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2.3. Предоставление права использования подлежит государственной регистрации в Федеральной службе по интеллектуальной собственности (Роспатент) в соответствии со статьей 1028 Гражданского кодекса Российской Федерации.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3. СРОК ДЕЙСТВИЯ ДОГОВОРА И ТЕРРИТОРИЯ ИСПОЛЬЗОВАНИЯ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3.1. Настоящий Договор заключается сроком на 5 (пять) лет с даты подписания и вступает в силу с момента его подписания (предоставление права использования вступает в силу с момента государственной регистрации в Роспатенте).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3.2. ОБЯЗАТЕЛЬНЫЙ ПЕРИОД НЕРАСТОРЖИМОСТИ (LOCK-IN): Стороны устанавливают мораторий на односторонний немотивированный выход из Договора сроком на 24 (двадцать четыре) календарных месяца с даты подписания. Досрочный выход Пользователя возможен исключительно в порядке переуступки прав новому инвестору с письменного согласия Правообладателя.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3.3. Территория использования прав: территория Российской Федерации и стран Евразийского экономического союза (ЕАЭС).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4. ЦЕНА ДОГОВОРА, ВОЗНАГРАЖДЕНИЕ И ПОРЯДОК РАСЧЕТОВ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4.1. Совокупный размер инвестиционного фонда, финансируемого Пользователем для запуска и вывода Розничной витрины на самоокупаемость, составляет 1 900 000 (один миллион девятьсот тысяч) рублей 00 копеек.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4032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Статья финансирования</w:t>
            </w:r>
          </w:p>
        </w:tc>
        <w:tc>
          <w:tcPr>
            <w:tcW w:type="dxa" w:w="216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Сумма (руб.)</w:t>
            </w:r>
          </w:p>
        </w:tc>
        <w:tc>
          <w:tcPr>
            <w:tcW w:type="dxa" w:w="3168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Порядок и срок уплаты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Паушальный платеж (Initial Franchise Fee)</w:t>
              <w:br/>
              <w:t>— Лицензия на ядро и развертывание витрины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700 000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 предоплата в течение 3 банковских дней. Полностью невозвратный.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Маркетинговый бюджет (Ad Spend)</w:t>
              <w:br/>
              <w:t>— Яндекс.Директ, Telegram Ads, SEO (5 мес.)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400 000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Траншами по 80 000 ₽/мес. под детальные отчеты агента об оказании услуг.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Покрытие дефицита Management Fee (мес. 1–4)</w:t>
              <w:br/>
              <w:t>— Компенсация ФОТ команды до окупаемости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400 000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Траншами по 100 000 ₽/мес. на обеспечение круглосуточного обслуживания.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Инфраструктура и серверы (6 мес.)</w:t>
              <w:br/>
              <w:t>— Выделенные серверы Hetzner, Redis, AI API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150 000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Целевой транш на оплату хостинга и вычислительных мощностей.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Оборотный депозит поставщиков (Escrow)</w:t>
              <w:br/>
              <w:t>— Обеспечение мгновенного исполнения заказов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150 000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Пополнение API-балансов оптовых шлюзов (неснижаемый остаток).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Страховой буфер ликвидности</w:t>
              <w:br/>
              <w:t>— Резерв эквайринга и кассовых лагов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100 000 ₽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Неприкосновенный резерв на специальном счете.</w:t>
            </w:r>
          </w:p>
        </w:tc>
      </w:tr>
    </w:tbl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4.2. НЕВОЗВРАТНОСТЬ ПАУШАЛЬНОГО ПЛАТЕЖА: Паушальный платеж в размере 700 000 (семьсот тысяч) рублей признается Сторонами полностью освоенным Правообладателем в момент подписания Акта приема-передачи неисключительных прав и предоставления доступа Пользователю с правами «Owner» к административной панели витрины. В случае досрочного расторжения Договора по инициативе Пользователя Паушальный платеж возврату не подлежит (ст. 310, 450.1 ГК РФ).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4.3. ВОЗНАГРАЖДЕНИЕ ЗА УПРАВЛЕНИЕ (MANAGEMENT FEE): За полное доверительное ведение витрины Правообладатель получает ежемесячное фиксированное вознаграждение в размере 200 000 (двести тысяч) рублей 00 копеек. Вознаграждение за управление является приоритетным операционным расходом и подлежит выплате ежемесячно до 5 (пятого) числа следующего месяца. В месяцы 1–4 вознаграждение финансируется из Операционного фонда, начиная с месяца 5 — строго из выручки Розничной витрины.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5. ПОРЯДОК РАСПРЕДЕЛЕНИЯ ПРИБЫЛИ (ДВУХФАЗНЫЙ ВОДОПАД)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5.1. Чистой прибылью для целей распределения признается операционная выручка Розничной витрины за вычетом прямых затрат на исполнение заказов (оптовый COGS ~16.7%), комиссий платежных шлюзов (7%), серверных расходов, согласованного рекламного бюджета, налоговых резервов и Management Fee Правообладателя (200 000 ₽).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5.2. ФАЗА 1 (ПРИОРИТЕТНЫЙ ВОЗВРАТ ТЕЛА КАПИТАЛА): С момента достижения положительной чистой прибыли и до момента, пока Пользователю суммарно не будет выплачено 1 900 000 (один миллион девятьсот тысяч) рублей в счет возврата инвестиций, чистая прибыль распределяется в пропорции:</w:t>
        <w:br/>
        <w:t>— Пользователь (Инвестор): 60% (шестьдесят процентов) чистой прибыли;</w:t>
        <w:br/>
        <w:t>— Правообладатель (Управляющая Компания): 40% (сорок процентов) чистой прибыли.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5.3. ФАЗА 2 (БЕССРОЧНЫЙ ПАССИВНЫЙ ДОХОД): Начиная со следующего календарного месяца после достижения совокупных выплат Пользователю в размере 1 900 000 рублей, чистая прибыль бессрочно распределяется в постоянной пропорции:</w:t>
        <w:br/>
        <w:t>— Пользователь (Инвестор): 30% (тридцать процентов) чистой прибыли (чистый пассивный доход);</w:t>
        <w:br/>
        <w:t>— Правообладатель (Управляющая Компания): 70% (семьдесят процентов) чистой прибыли.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5.4. ИНВАРИАНТ КАЗНАЧЕЙСКОГО КОНТРОЛЯ (SAFE OWNER DRAW): Выплата прибыли осуществляется ежемесячно до 10 числа при условии подтверждения Solvency-статуса ядром платформы. Если расчетная величина Safe Owner Draw Capacity составляет менее 0 рублей, выплата дивидендов приостанавливается до устранения дефицита без начисления штрафных санкций.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6. ПРАВА И ОБЯЗАННОСТИ СТОРОН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6.1. Правообладатель обязан:</w:t>
        <w:br/>
        <w:t>6.1.1. Обеспечить круглосуточную работоспособность Программного комплекса витрины с доступностью не менее 99.0% времени в месяц.</w:t>
        <w:br/>
        <w:t>6.1.2. Осуществлять техническое обслуживание, интеграцию провайдеров API, обработку претензий и клиентскую поддержку L1/L2.</w:t>
        <w:br/>
        <w:t>6.1.3. Вести рекламные кампании в пределах утвержденного бюджета и предоставлять еженедельный P&amp;L-отчет каждую пятницу.</w:t>
        <w:br/>
        <w:t>6.1.4. Обеспечивать соблюдение требований 54-ФЗ (фискализация чеков), 152-ФЗ (защита персональных данных) и антифрод-мониторинг.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6.2. Пользователь обязан:</w:t>
        <w:br/>
        <w:t>6.2.1. Своевременно и в полном объеме профинансировать инвестиционные транши согласно смете Раздела 4 Договора.</w:t>
        <w:br/>
        <w:t>6.2.2. Соблюдать принцип невмешательства в операционную деятельность, не давать указаний разработчикам и контрагентам.</w:t>
        <w:br/>
        <w:t>6.2.3. Рассматривать отчеты Правообладателя и согласовывать нестандартные бюджеты свыше 50 000 рублей в течение 3 рабочих дней.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6.3. Пользователь имеет право (Права Наблюдательного Совета):</w:t>
        <w:br/>
        <w:t>6.3.1. Иметь непрерывный круглосуточный доступ к дашборду финансовой аналитики и реестру совершенных заказов.</w:t>
        <w:br/>
        <w:t>6.3.2. Реализовывать право вето в отношении сделок и расходов витрины, превышающих 50 000 рублей сверх сметы.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7. ПОРЯДОК ПРЕКРАЩЕНИЯ ДОГОВОРА И СЦЕНАРИИ ВЫХОДА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7.1. СЦЕНАРИЙ А (СТРАТЕГИЧЕСКАЯ ПРОДАЖА ВИТРИНЫ ТРЕТЬЕМУ ЛИЦУ): В случае поступления взаимосогласованного предложения о покупке бизнеса Розничной витрины, оценка актива производится по мультипликатору: Среднемесячная прибыль за последние 6 месяцев × 24. В период Фазы 1 выручка от продажи направляется в первую очередь на возврат непогашенного остатка инвестиций Пользователя (до 1.9 млн ₽), а превышение делится в пропорции 60/40. В период Фазы 2 вся сумма продажи делится строго 30% Пользователю / 70% Правообладателю.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7.2. СЦЕНАРИЙ Б (ВЫКУП ДОЛИ ПОЛЬЗОВАТЕЛЯ КОМАНДОЙ — BUYOUT): По истечении 24 месяцев Пользователь вправе инициировать выход путем предложения выкупа своей экономической доли Правообладателю по формуле: Среднемесячная прибыль за 6 месяцев × 24 × 30%. Правообладатель имеет преимущественное право выкупа (ROFR) в течение 90 дней с возможностью рассрочки до 12 месяцев под 10% годовых.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7.3. СЦЕНАРИЙ В (СМЕНА УПРАВЛЯЮЩЕЙ КОМАНДЫ — EXIT TRIGGER): Пользователь вправе в одностороннем порядке потребовать замены Управляющей Команды исключительно при наличии виновного саботажа: невыплата причитающейся прибыли 3 месяца подряд при ее наличии в учете, нецелевая растрата средств или отсутствие отчетности более 30 календарных дней.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7.4. СЦЕНАРИЙ Г (КРИЗИСНЫЙ ПРОТОКОЛ — DISTRESS PROTOCOL): Если выручка витрины составляет менее 80 000 рублей в месяц на протяжении 4 месяцев подряд (начиная с месяца 5), запускается трехэтапный регламент: 1) 30 дней антикризисного плана; 2) 60 дней попытки продажи витрины по любой рыночной цене с направлением 100% выручки Пользователю; 3) Ликвидация активов витрины с закрытием расчетов.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8. ОХРАНА НОУ-ХАУ И ЗАПРЕТ КОНКУРЕНЦИИ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8.1. КОММЕРЧЕСКАЯ ТАЙНА (ФЗ № 98-ФЗ): Стороны обязуются сохранять строгую конфиденциальность в отношении программного кода, структуры оптовых поставщиков, конверсий и условий Договора в течение 5 (пяти) лет с даты подписания. Штраф за разглашение — 500 000 рублей.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8.2. ЗАПРЕТ КОНКУРЕНЦИИ (NON-COMPETE): Пользователь обязуется лично или через аффилированных лиц не открывать, не финансировать и не консультировать конкурирующие платформы накрутки в социальных сетях на территории РФ в период действия Договора и в течение 36 (тридцати шести) месяцев после его прекращения. В случае нарушения Пользователь уплачивает штрафную неустойку в размере 2 100 000 (два миллиона сто тысяч) рублей в течение 30 календарных дней.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9. ГОСУДАРСТВЕННАЯ РЕГИСТРАЦИЯ В РОСПАТЕНТЕ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9.1. В соответствии с пунктом 2 статьи 1028 Гражданского кодекса Российской Федерации предоставление права использования Комплекса исключительных прав по настоящему Договору подлежит обязательной государственной регистрации в Федеральной службе по интеллектуальной собственности (Роспатент).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9.2. Обязанности по подготовке комплекта документов, оформлению заявления по форме Роспатента и подаче материалов в ведомство возлагаются на Правообладателя в срок не позднее 30 (тридцати) календарных дней с момента уплаты Паушального платежа.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9.3. Расходы по оплате государственной пошлины за государственную регистрацию предоставления права использования в Роспатенте возлагаются на Пользователя (или распределяются Сторонами в равных долях по 50%).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10. ПОРЯДОК РАЗРЕШЕНИЯ СПОРОВ И ЗАКЛЮЧИТЕЛЬНЫЕ ПОЛОЖЕНИЯ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10.1. Все споры разрешаются в обязательном досудебном претензионном порядке. Срок ответа на претензию — 14 (четырнадцать) дней. При недостижении согласия спор передается на рассмотрение в Арбитражный суд города Москвы.</w:t>
      </w:r>
    </w:p>
    <w:p>
      <w:pPr>
        <w:spacing w:before="0" w:after="120" w:line="300" w:lineRule="auto"/>
        <w:ind w:firstLine="708"/>
        <w:jc w:val="both"/>
      </w:pPr>
      <w:r>
        <w:rPr>
          <w:rFonts w:ascii="Times New Roman" w:hAnsi="Times New Roman"/>
          <w:color w:val="000000"/>
          <w:sz w:val="24"/>
        </w:rPr>
        <w:t>10.2. Настоящий Договор составлен в 3 (трех) подлинных экземплярах, имеющих равную юридическую силу: по одному экземпляру для каждой из Сторон и один экземпляр для регистрирующего органа — Федеральной службы по интеллектуальной собственности (Роспатент).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5"/>
        </w:rPr>
        <w:t>11. АДРЕСА, БАНКОВСКИЕ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ПРАВООБЛАДАТЕЛЬ (УК):</w:t>
              <w:br/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ПОЛЬЗОВАТЕЛЬ (ИНВЕСТОР):</w:t>
              <w:br/>
            </w:r>
          </w:p>
        </w:tc>
      </w:tr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ИП / Самозанятый _____________________________</w:t>
              <w:br/>
              <w:t>ИНН: _________________________________________</w:t>
              <w:br/>
              <w:t>Адрес регистрации: 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ФИО / Наименование: _________________________</w:t>
              <w:br/>
              <w:t>ИНН / ОГРН: __________________________________</w:t>
              <w:br/>
              <w:t>Адрес регистрации: 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>Стр. 1 из 1 — Проект партнерского договора коммерческой концессии и доверительного управления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6"/>
      </w:rPr>
      <w:t>Форма для предоставления в Федеральную службу по интеллектуальной собственности (Роспатент) | ГК РФ гл. 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