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0F172A"/>
          <w:sz w:val="34"/>
        </w:rPr>
        <w:t>ИНВЕСТИЦИОННЫЙ МЕМОРАНДУМ И ПРАВОВОЙ РЕГЛАМЕНТ</w:t>
      </w:r>
    </w:p>
    <w:p>
      <w:pPr>
        <w:spacing w:before="0" w:after="240"/>
      </w:pPr>
      <w:r>
        <w:rPr>
          <w:b/>
          <w:color w:val="2563EB"/>
          <w:sz w:val="23"/>
        </w:rPr>
        <w:t>Управленческая франшиза готовой розничной витрины «SMMflux» под ключ</w:t>
        <w:br/>
      </w:r>
      <w:r>
        <w:rPr>
          <w:i/>
          <w:color w:val="64748B"/>
          <w:sz w:val="19"/>
        </w:rPr>
        <w:t>Документ к очным переговорам: финансовые параметры, аудит правовых рисков и все сценарии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СУММА РАУНДА</w:t>
              <w:br/>
            </w:r>
            <w:r>
              <w:rPr>
                <w:b/>
                <w:color w:val="1D4ED8"/>
                <w:sz w:val="22"/>
              </w:rPr>
              <w:t>2 100 000 ₽</w:t>
              <w:br/>
            </w:r>
            <w:r>
              <w:rPr>
                <w:color w:val="475569"/>
                <w:sz w:val="14"/>
              </w:rPr>
              <w:t>1.0M взнос + 1.1M фонд</w:t>
            </w:r>
          </w:p>
        </w:tc>
        <w:tc>
          <w:tcPr>
            <w:tcW w:type="dxa" w:w="24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СРОК ЗАПУСКА</w:t>
              <w:br/>
            </w:r>
            <w:r>
              <w:rPr>
                <w:b/>
                <w:color w:val="1D4ED8"/>
                <w:sz w:val="22"/>
              </w:rPr>
              <w:t>48 часов</w:t>
              <w:br/>
            </w:r>
            <w:r>
              <w:rPr>
                <w:color w:val="475569"/>
                <w:sz w:val="14"/>
              </w:rPr>
              <w:t>Готовая витрина SMMflux</w:t>
            </w:r>
          </w:p>
        </w:tc>
        <w:tc>
          <w:tcPr>
            <w:tcW w:type="dxa" w:w="24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ВОЗВРАТ ТЕЛА</w:t>
              <w:br/>
            </w:r>
            <w:r>
              <w:rPr>
                <w:b/>
                <w:color w:val="1D4ED8"/>
                <w:sz w:val="22"/>
              </w:rPr>
              <w:t>60% прибыли</w:t>
              <w:br/>
            </w:r>
            <w:r>
              <w:rPr>
                <w:color w:val="475569"/>
                <w:sz w:val="14"/>
              </w:rPr>
              <w:t>До возврата 2.1M (~22 мес.)</w:t>
            </w:r>
          </w:p>
        </w:tc>
        <w:tc>
          <w:tcPr>
            <w:tcW w:type="dxa" w:w="24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ПАССИВ ФАЗЫ 2</w:t>
              <w:br/>
            </w:r>
            <w:r>
              <w:rPr>
                <w:b/>
                <w:color w:val="1D4ED8"/>
                <w:sz w:val="22"/>
              </w:rPr>
              <w:t>30% прибыли</w:t>
              <w:br/>
            </w:r>
            <w:r>
              <w:rPr>
                <w:color w:val="475569"/>
                <w:sz w:val="14"/>
              </w:rPr>
              <w:t>Бессрочно (70–120к/мес)</w:t>
            </w:r>
          </w:p>
        </w:tc>
      </w:tr>
    </w:tbl>
    <w:p>
      <w:pPr>
        <w:spacing w:before="240" w:after="80"/>
        <w:ind w:firstLine="0"/>
        <w:jc w:val="left"/>
      </w:pPr>
      <w:r>
        <w:rPr>
          <w:rFonts w:ascii="Calibri" w:hAnsi="Calibri"/>
          <w:b/>
          <w:color w:val="0F172A"/>
          <w:sz w:val="26"/>
        </w:rPr>
        <w:t>1. СТРУКТУРА ПРЕДЛОЖЕНИЯ И ЦИФРЫ НА СТОЛЕ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color w:val="334155"/>
          <w:sz w:val="20"/>
        </w:rPr>
        <w:t>Инвестору передается в управление готовая, протестированная розничная витрина цифровых услуг «SMMflux» (smmflux.ru), полностью подключенная к ядру OmniSMM 1.0 (двойной леджер AEARH, нейросетевая поддержка Laya ONNX, авто-арбитраж поставщиков, 54-ФЗ). Срок вывода на прием заказов и рекламу — не более 48 часов с даты подписания.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F172A"/>
          <w:bottom w:val="single" w:sz="4" w:space="0" w:color="0F172A"/>
          <w:left w:val="none"/>
          <w:right w:val="none"/>
          <w:insideH w:val="single" w:sz="4" w:space="0" w:color="0F172A"/>
          <w:insideV w:val="none"/>
        </w:tblBorders>
      </w:tblPr>
      <w:tblGrid>
        <w:gridCol w:w="3250"/>
        <w:gridCol w:w="3250"/>
        <w:gridCol w:w="3250"/>
      </w:tblGrid>
      <w:tr>
        <w:tc>
          <w:tcPr>
            <w:tcW w:type="dxa" w:w="43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Статья финансирования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Сумма (₽)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Экономическое назначение</w:t>
            </w:r>
          </w:p>
        </w:tc>
      </w:tr>
      <w:tr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1. Паушальный взнос (Initial Franchise Fee)</w:t>
              <w:br/>
              <w:t>— Лицензия на витрину SMMflux и подключение под ключ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1 000 000 ₽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Вам на руки сразу. 100% невозвратный. За передачу готового софта за 6.2M ₽.</w:t>
            </w:r>
          </w:p>
        </w:tc>
      </w:tr>
      <w:tr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2. Маркетинговый бюджет запуска (Ad Spend)</w:t>
              <w:br/>
              <w:t>— Яндекс.Директ и Telegram Ads (5 месяцев)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400 000 ₽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Траншами по 80 000 ₽/мес. Закупка горячего трафика по CAC ~280 ₽.</w:t>
            </w:r>
          </w:p>
        </w:tc>
      </w:tr>
      <w:tr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3. Покрытие дефицита Management Fee (мес. 1–4)</w:t>
              <w:br/>
              <w:t>— Компенсация ФОТ команды 24/7 до окупаемости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400 000 ₽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Гарантированная зарплата двух специалистов (по 100к/чел), пока сайт разгоняется.</w:t>
            </w:r>
          </w:p>
        </w:tc>
      </w:tr>
      <w:tr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4. Сервера, прокси, софт, ИИ (на 6 месяцев)</w:t>
              <w:br/>
              <w:t>— Hetzner Dedicated, Selectel, Redis, AI API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150 000 ₽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Выделенные серверные мощности и резидентские прокси для обхода блокировок.</w:t>
            </w:r>
          </w:p>
        </w:tc>
      </w:tr>
      <w:tr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5. Оборотный депозит оптовых шлюзов</w:t>
              <w:br/>
              <w:t>— Баланс у поставщиков для мгновенных заказов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150 000 ₽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Неснижаемый остаток на API-шлюзах (Jap, Peakerr) для исключения задержек.</w:t>
            </w:r>
          </w:p>
        </w:tc>
      </w:tr>
      <w:tr>
        <w:tc>
          <w:tcPr>
            <w:tcW w:type="dxa" w:w="43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ИТОГО СОВОКУПНЫЙ РАУНД ЗАПУСКА: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2 100 000 ₽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Полный бюджет под ключ (Крайний торг при встрече: 1 800 000 – 1 900 000 ₽)</w:t>
            </w:r>
          </w:p>
        </w:tc>
      </w:tr>
    </w:tbl>
    <w:p>
      <w:pPr>
        <w:spacing w:before="240" w:after="80"/>
        <w:ind w:firstLine="0"/>
        <w:jc w:val="left"/>
      </w:pPr>
      <w:r>
        <w:rPr>
          <w:rFonts w:ascii="Calibri" w:hAnsi="Calibri"/>
          <w:b/>
          <w:color w:val="0F172A"/>
          <w:sz w:val="26"/>
        </w:rPr>
        <w:t>2. ЮРИДИЧЕСКИЙ АУДИТ СДЕЛКИ: ДВА ВАРИАНТА СТРУКТУРИРОВАНИЯ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color w:val="334155"/>
          <w:sz w:val="20"/>
        </w:rPr>
        <w:t>В зависимости от предпочтений Инвестора сделка имеет две полностью законные, юридически выверенные конструкции: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F172A"/>
          <w:bottom w:val="single" w:sz="4" w:space="0" w:color="0F172A"/>
          <w:left w:val="none"/>
          <w:right w:val="none"/>
          <w:insideH w:val="single" w:sz="4" w:space="0" w:color="0F172A"/>
          <w:insideV w:val="none"/>
        </w:tblBorders>
      </w:tblPr>
      <w:tblGrid>
        <w:gridCol w:w="3250"/>
        <w:gridCol w:w="3250"/>
        <w:gridCol w:w="3250"/>
      </w:tblGrid>
      <w:tr>
        <w:tc>
          <w:tcPr>
            <w:tcW w:type="dxa" w:w="288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Параметр проверки</w:t>
            </w:r>
          </w:p>
        </w:tc>
        <w:tc>
          <w:tcPr>
            <w:tcW w:type="dxa" w:w="345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ВАРИАНТ 1: Касса на ИП Фаундеров</w:t>
            </w:r>
          </w:p>
        </w:tc>
        <w:tc>
          <w:tcPr>
            <w:tcW w:type="dxa" w:w="345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ВАРИАНТ 2: Касса на ИП Инвестора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Налоговый режим и касса (54-ФЗ)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Все платежи клиентов принимает ИП Фаундеров. Налог на рекламу защищен ст. 251 НК РФ (Агентский договор).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Инвестор открывает свой ИП. Все платежи идут к нему на р/с. Инвестор сам держит кассу и 54-ФЗ.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Порядок расчетов с командой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Команда забирает 200к ЗП из кассы и выплачивает инвестору 60% чистой прибыли на карту/счет.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Инвестор оплачивает взнос 1.0M ₽ по Лицензии, а в конце месяца платит команде 200к ЗП + роялти с прибыли.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FEF2F2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left w:val="single" w:sz="24" w:space="0" w:color="DC2626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172A"/>
                <w:sz w:val="20"/>
              </w:rPr>
              <w:t>■ ЗАЩИТА ОТ НЕВЫПЛАТ СО СТОРОНЫ ИНВЕСТОРА</w:t>
              <w:br/>
            </w:r>
            <w:r>
              <w:rPr>
                <w:rFonts w:ascii="Calibri" w:hAnsi="Calibri"/>
                <w:color w:val="1E293B"/>
                <w:sz w:val="19"/>
              </w:rPr>
              <w:t>ГЛАВНЫЙ ЮРИДИЧЕСКИЙ РЫЧАГ (KILL-SWITCH): Если инвестор выбирает Вариант 2 (деньги приходят на его ИП), база данных, софт и связь с поставщиками остаются на серверах команды. При задержке выплаты вознаграждения более чем на 5 банковских дней API-доступ витрины временно блокируется. Команда защищена от невыплат на 100%.</w:t>
            </w:r>
          </w:p>
        </w:tc>
      </w:tr>
    </w:tbl>
    <w:p>
      <w:pPr>
        <w:spacing w:before="0" w:after="80"/>
      </w:pPr>
    </w:p>
    <w:p>
      <w:pPr>
        <w:spacing w:before="240" w:after="80"/>
        <w:ind w:firstLine="0"/>
        <w:jc w:val="left"/>
      </w:pPr>
      <w:r>
        <w:rPr>
          <w:rFonts w:ascii="Calibri" w:hAnsi="Calibri"/>
          <w:b/>
          <w:color w:val="0F172A"/>
          <w:sz w:val="26"/>
        </w:rPr>
        <w:t>3. РЕГЛАМЕНТ ВЫХОДА ИЗ БИЗНЕСА: ДЕТАЛЬНЫЙ РАЗБОР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color w:val="334155"/>
          <w:sz w:val="20"/>
        </w:rPr>
        <w:t>В договоре зафиксированы прозрачные правила для всех сценариев завершения сотрудничества, исключающие взаимный шантаж: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b/>
          <w:color w:val="0F172A"/>
          <w:sz w:val="21"/>
        </w:rPr>
        <w:t xml:space="preserve">1. Если Инвестор хочет уйти рано (до 24 месяцев): </w:t>
      </w:r>
      <w:r>
        <w:rPr>
          <w:rFonts w:ascii="Calibri" w:hAnsi="Calibri"/>
          <w:color w:val="334155"/>
          <w:sz w:val="20"/>
        </w:rPr>
        <w:t>Паушальный взнос (1 000 000 ₽) не возвращается ни при каких условиях (услуга оказана). Неизрасходованный остаток рекламы возвращается инвестору. Домен и витрина SMMflux остаются у команды. Вступает в силу запрет конкуренции (Non-Compete на 3 года со штрафом 2 100 000 ₽).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b/>
          <w:color w:val="0F172A"/>
          <w:sz w:val="21"/>
        </w:rPr>
        <w:t xml:space="preserve">2. Если Инвестор выходит планово (после 24 месяцев): </w:t>
      </w:r>
      <w:r>
        <w:rPr>
          <w:rFonts w:ascii="Calibri" w:hAnsi="Calibri"/>
          <w:color w:val="334155"/>
          <w:sz w:val="20"/>
        </w:rPr>
        <w:t>Команда имеет преимущественное право выкупа доли инвестора (Buyout Call-Option) по формуле: Среднемесячная чистая прибыль за 6 месяцев × 24 × 30% с рассрочкой до 12 месяцев. Инвестор забирает крупную сумму наличных и выходит с прибылью.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b/>
          <w:color w:val="0F172A"/>
          <w:sz w:val="21"/>
        </w:rPr>
        <w:t xml:space="preserve">3. Если выйти хочет Команда (Фаундеры): </w:t>
      </w:r>
      <w:r>
        <w:rPr>
          <w:rFonts w:ascii="Calibri" w:hAnsi="Calibri"/>
          <w:color w:val="334155"/>
          <w:sz w:val="20"/>
        </w:rPr>
        <w:t>Команда обязана уведомить инвестора за 60 дней. Вариант А: витрина SMMflux выставляется на продажу с разделом выручки 70/30. Вариант Б: команда передает ведение обученному техническому администратору, сохраняя API-подключение.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b/>
          <w:color w:val="0F172A"/>
          <w:sz w:val="21"/>
        </w:rPr>
        <w:t xml:space="preserve">4. Кризисный протокол («Не пошло» / Distress Protocol): </w:t>
      </w:r>
      <w:r>
        <w:rPr>
          <w:rFonts w:ascii="Calibri" w:hAnsi="Calibri"/>
          <w:color w:val="334155"/>
          <w:sz w:val="20"/>
        </w:rPr>
        <w:t>Если 4 месяца подряд (с месяца 5) выручка витрины ниже 80 000 ₽/мес: признается предпринимательский риск (ст. 2 ГК РФ). Остатки рекламы возвращаются инвестору, балансы клиентов закрываются, проект ликвидируется без долгов и претензий.</w:t>
      </w:r>
    </w:p>
    <w:p>
      <w:pPr>
        <w:spacing w:before="240" w:after="80"/>
        <w:ind w:firstLine="0"/>
        <w:jc w:val="left"/>
      </w:pPr>
      <w:r>
        <w:rPr>
          <w:rFonts w:ascii="Calibri" w:hAnsi="Calibri"/>
          <w:b/>
          <w:color w:val="0F172A"/>
          <w:sz w:val="26"/>
        </w:rPr>
        <w:t>4. РАЗРЕШЕНИЕ КОНФЛИКТА ИНТЕРЕСОВ: SMMPLAN ПРОТИВ SMMFLUX</w:t>
      </w:r>
    </w:p>
    <w:p>
      <w:pPr>
        <w:spacing w:before="0" w:after="100" w:line="288" w:lineRule="auto"/>
        <w:ind w:firstLine="0"/>
        <w:jc w:val="both"/>
      </w:pPr>
      <w:r>
        <w:rPr>
          <w:rFonts w:ascii="Calibri" w:hAnsi="Calibri"/>
          <w:color w:val="334155"/>
          <w:sz w:val="20"/>
        </w:rPr>
        <w:t>Наличие у команды собственного бренда SMMplan является для инвестора гарантией, а не угрозой, на основании трех факторов:</w:t>
        <w:br/>
        <w:t>1. Захват выдачи (SERP Domination): SMMplan и SMMflux забирают 2 места в ТОП-10 Яндекса одновременно. Клиент, не купивший на SMMplan, переходит на SMMflux. Мы душим чужих конкурентов (BestSMM, Спецнакрутка).</w:t>
        <w:br/>
        <w:t>2. Сегментация аудитории: SMMplan работает в премиум B2C-рознице (блогеры, эксперты), а SMMflux позиционируется как оптовый дискаунтер для админов каналов и SMM-агентств.</w:t>
        <w:br/>
        <w:t>3. Финансовая мотивация: В витрине SMMflux команда получает 70% прибыли. Команде финансово выгодно качать витрину инвестора на максимум.</w:t>
      </w:r>
    </w:p>
    <w:p>
      <w:pPr>
        <w:spacing w:before="240" w:after="80"/>
        <w:ind w:firstLine="0"/>
        <w:jc w:val="left"/>
      </w:pPr>
      <w:r>
        <w:rPr>
          <w:rFonts w:ascii="Calibri" w:hAnsi="Calibri"/>
          <w:b/>
          <w:color w:val="0F172A"/>
          <w:sz w:val="26"/>
        </w:rPr>
        <w:t>5. ПРОТОКОЛ СОГЛАСОВАНИЯ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4874"/>
        <w:gridCol w:w="4874"/>
      </w:tblGrid>
      <w:tr>
        <w:tc>
          <w:tcPr>
            <w:tcW w:type="dxa" w:w="4896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ОТ УПРАВЛЯЮЩЕЙ КОМАНДЫ (ИП):</w:t>
              <w:br/>
            </w:r>
          </w:p>
        </w:tc>
        <w:tc>
          <w:tcPr>
            <w:tcW w:type="dxa" w:w="4896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ОТ ИНВЕСТОРА:</w:t>
              <w:br/>
            </w:r>
          </w:p>
        </w:tc>
      </w:tr>
      <w:tr>
        <w:tc>
          <w:tcPr>
            <w:tcW w:type="dxa" w:w="4896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ИП _____________________________________</w:t>
              <w:br/>
              <w:t>ОГРНИП: ________________________________</w:t>
              <w:br/>
              <w:t>ИНН: ___________________________________</w:t>
              <w:br/>
              <w:br/>
              <w:t>Подпись: _______________ / ____________ /</w:t>
              <w:br/>
              <w:t>Дата: «___» _____________ 2026 г.</w:t>
            </w:r>
          </w:p>
        </w:tc>
        <w:tc>
          <w:tcPr>
            <w:tcW w:type="dxa" w:w="4896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ФИО: ___________________________________</w:t>
              <w:br/>
              <w:t>Паспорт: _______________________________</w:t>
              <w:br/>
              <w:t>ИНН: ___________________________________</w:t>
              <w:br/>
              <w:br/>
              <w:t>Подпись: _______________ / ____________ /</w:t>
              <w:br/>
              <w:t>Дата: «___» _____________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Стр. 1 из 1 — Документ подготовлен по стандартам институционального венчурного структурирования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МЕМОРАНДУМ ДЛЯ ВСТРЕЧИ С ИНВЕСТОРОМ | ВИКТРИНА «SMMFLUX» | КОНФИДЕНЦИАЛЬНО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