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b/>
          <w:color w:val="0F172A"/>
          <w:sz w:val="36"/>
        </w:rPr>
        <w:t>МЕМОРАНДУМ О СОТРУДНИЧЕСТВЕ И ПАРТНЕРСКОЕ СОГЛАШЕНИЕ</w:t>
      </w:r>
    </w:p>
    <w:p>
      <w:pPr>
        <w:spacing w:before="0" w:after="280"/>
      </w:pPr>
      <w:r>
        <w:rPr>
          <w:b/>
          <w:color w:val="2563EB"/>
          <w:sz w:val="24"/>
        </w:rPr>
        <w:t>Управленческая IT-Франшиза розничной витрины на базе платформы OmniSMM 1.0</w:t>
        <w:br/>
      </w:r>
      <w:r>
        <w:rPr>
          <w:i/>
          <w:color w:val="64748B"/>
          <w:sz w:val="20"/>
        </w:rPr>
        <w:t>Институциональный инвестиционный меморандум, доскональная финансовая модель на 24 месяца, оценка рисков и регламент защиты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04"/>
        <w:gridCol w:w="2304"/>
        <w:gridCol w:w="2304"/>
        <w:gridCol w:w="2448"/>
      </w:tblGrid>
      <w:tr>
        <w:tc>
          <w:tcPr>
            <w:tcW w:type="dxa" w:w="24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СУММА РАУНДА</w:t>
              <w:br/>
            </w:r>
            <w:r>
              <w:rPr>
                <w:b/>
                <w:color w:val="1D4ED8"/>
                <w:sz w:val="22"/>
              </w:rPr>
              <w:t>1 900 000 ₽</w:t>
              <w:br/>
            </w:r>
            <w:r>
              <w:rPr>
                <w:color w:val="475569"/>
                <w:sz w:val="14"/>
              </w:rPr>
              <w:t>700к взнос + 1.2М фонд</w:t>
            </w:r>
          </w:p>
        </w:tc>
        <w:tc>
          <w:tcPr>
            <w:tcW w:type="dxa" w:w="24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РОЛЬ ИНВЕСТОРА</w:t>
              <w:br/>
            </w:r>
            <w:r>
              <w:rPr>
                <w:b/>
                <w:color w:val="1D4ED8"/>
                <w:sz w:val="22"/>
              </w:rPr>
              <w:t>1 час / день</w:t>
              <w:br/>
            </w:r>
            <w:r>
              <w:rPr>
                <w:color w:val="475569"/>
                <w:sz w:val="14"/>
              </w:rPr>
              <w:t>Наблюдательный совет</w:t>
            </w:r>
          </w:p>
        </w:tc>
        <w:tc>
          <w:tcPr>
            <w:tcW w:type="dxa" w:w="24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ВОЗВРАТ ТЕЛА</w:t>
              <w:br/>
            </w:r>
            <w:r>
              <w:rPr>
                <w:b/>
                <w:color w:val="1D4ED8"/>
                <w:sz w:val="22"/>
              </w:rPr>
              <w:t>60% прибыли</w:t>
              <w:br/>
            </w:r>
            <w:r>
              <w:rPr>
                <w:color w:val="475569"/>
                <w:sz w:val="14"/>
              </w:rPr>
              <w:t>До полного возврата 1.9M</w:t>
            </w:r>
          </w:p>
        </w:tc>
        <w:tc>
          <w:tcPr>
            <w:tcW w:type="dxa" w:w="24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ФАЗА 2 (ПАССИВ)</w:t>
              <w:br/>
            </w:r>
            <w:r>
              <w:rPr>
                <w:b/>
                <w:color w:val="1D4ED8"/>
                <w:sz w:val="22"/>
              </w:rPr>
              <w:t>30% прибыли</w:t>
              <w:br/>
            </w:r>
            <w:r>
              <w:rPr>
                <w:color w:val="475569"/>
                <w:sz w:val="14"/>
              </w:rPr>
              <w:t>Бессрочно (~50% годовых)</w:t>
            </w:r>
          </w:p>
        </w:tc>
      </w:tr>
    </w:tbl>
    <w:p>
      <w:pPr>
        <w:spacing w:before="160" w:after="160"/>
      </w:pPr>
    </w:p>
    <w:p>
      <w:pPr>
        <w:spacing w:before="280" w:after="80"/>
      </w:pPr>
      <w:r>
        <w:rPr>
          <w:b/>
          <w:color w:val="0F172A"/>
          <w:sz w:val="26"/>
        </w:rPr>
        <w:t>1. ПРЕАМБУЛА, ПРЕДМЕТ СОГЛАШЕНИЯ И ПРИРОДА БИЗНЕСА</w:t>
      </w:r>
    </w:p>
    <w:p>
      <w:r>
        <w:t>Настоящий документ определяет принципы долгосрочного взаимовыгодного инвестиционного и операционного сотрудничества между Создателями/Операторами платформы (далее — «Управляющая Команда» или «УК») и Частным инвестором (далее — «Инвестор»). Целью партнерства является запуск, масштабное продвижение и извлечение высокой доходности от коммерческой эксплуатации розничной витрины автоматизированных цифровых услуг на базе мультитенантного движка OmniSMM 1.0.</w:t>
      </w:r>
    </w:p>
    <w:p>
      <w:r>
        <w:t>В основу сделки положена модель «Управленческой IT-Франшизы под ключ» (Turnkey Management Franchise). В данной модели Инвестор финансирует капитал запуска витрины и получает статус полноправного экономического бенефициара ее денежного потока, делегируя 100% ежедневной операционной, технической, маркетинговой и сервисной рутины профессиональной Управляющей Команде.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49"/>
            <w:shd w:fill="FEF2F2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left w:val="single" w:sz="24" w:space="0" w:color="B91C1C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■ ИНВАРИАНТ ИНТЕЛЛЕКТУАЛЬНОЙ СОБСТВЕННОСТИ (IP LOCK)</w:t>
              <w:br/>
            </w:r>
            <w:r>
              <w:rPr>
                <w:rFonts w:ascii="Calibri" w:hAnsi="Calibri"/>
                <w:color w:val="334155"/>
                <w:sz w:val="19"/>
              </w:rPr>
              <w:t>ФУНДАМЕНТАЛЬНЫЙ ИНВАРИАНТ СДЕЛКИ: Исходный программный код, архитектура, микросервисы нейросетевой поддержки (Laya ONNX / GraphRAG), финансовый двойной леджер и интеллектуальная собственность платформы OmniSMM 1.0 НЕ ПРОДАЮТСЯ, не отчуждаются и не передаются в залог ни при каких обстоятельствах. Инвестор приобретает исключительно коммерческую лицензию на право извлечения денежного потока с конкретной витрины (персонального домена) и обеспеченное управляющее сопровождение. При прекращении партнерства или выходе инвестора исходный код платформы остается безусловной собственностью разработчиков.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b/>
          <w:color w:val="0F172A"/>
          <w:sz w:val="26"/>
        </w:rPr>
        <w:t>2. СТРУКТУРА ИНВЕСТИЦИОННОГО РАУНДА (1 900 000 РУБЛЕЙ)</w:t>
      </w:r>
    </w:p>
    <w:p>
      <w:r>
        <w:t>На основе детального моделирования денежных потоков (Cashflow) и расчета точки безубыточности (Break-even), совокупный инвестиционный раунд зафиксирован в размере 1 900 000 рублей. Попытка зайти с меньшим чеком (например, 1,0–1,3 млн ₽) неизбежно приведет к кассовому разрыву на 3–4 месяце из-за объективного дефицита валовой маржи на этапе накопления постоянной клиентской базы.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437"/>
        <w:gridCol w:w="2437"/>
        <w:gridCol w:w="2437"/>
        <w:gridCol w:w="2437"/>
      </w:tblGrid>
      <w:tr>
        <w:tc>
          <w:tcPr>
            <w:tcW w:type="dxa" w:w="360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Статья бюджета (FDD Item 7)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Сумма (₽)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Доля раунда</w:t>
            </w:r>
          </w:p>
        </w:tc>
        <w:tc>
          <w:tcPr>
            <w:tcW w:type="dxa" w:w="230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Экономическое назначение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1. Паушальный взнос (Initial Fee, FDD Item 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700 000 ₽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36.8%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Лицензия на движок, развертывание витрины под ключ (100% невозвратный)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2. Маркетинговый фонд (Ad Spend 5 мес.)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400 000 ₽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21.1%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Контекст (Яндекс.Директ), Telegram Ads, посевы, SEO-ссылочная масса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3. Покрытие дефицита Management Fee (мес. 1-4)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400 000 ₽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21.1%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Гарантированный ФОТ команды 24/7 до момента самоокупаемости витрины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4. Инфраструктура, прокси, сервера (6 мес.)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150 000 ₽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7.9%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Hetzner Dedicated, Selectel, Redis, AI API Laya/Gemini, капчи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5. Оборотный капитал провайдеров (Escrow)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150 000 ₽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7.9%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Неснижаемый баланс у оптовых провайдеров для мгновенного старта заказов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6. Страховой резерв ликвидности (Protection)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100 000 ₽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5.2%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Резерв на лаги эквайринга, чарджбэки и непредвиденные сбои шлюзов</w:t>
            </w:r>
          </w:p>
        </w:tc>
      </w:tr>
      <w:tr>
        <w:tc>
          <w:tcPr>
            <w:tcW w:type="dxa" w:w="360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ИТОГО СОВОКУПНЫЙ РАУНД ЗАПУСКА: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1 900 000 ₽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100.0%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Полный объем финансирования под ключ до устойчивой прибыли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0F172A"/>
          <w:sz w:val="26"/>
        </w:rPr>
        <w:t>3. ОПЕРАЦИОННАЯ МОДЕЛЬ И РАСПРЕДЕЛЕНИЕ ОБЯЗАННОСТЕЙ</w:t>
      </w:r>
    </w:p>
    <w:p>
      <w:r>
        <w:t>Бизнес-модель построена на четком разделении труда, исключающем перегрузку инвестора рутинными задачами и гарантирующем высочайший SLA качества обслуживания.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250"/>
        <w:gridCol w:w="3250"/>
        <w:gridCol w:w="3250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Сторона / Роль</w:t>
            </w:r>
          </w:p>
        </w:tc>
        <w:tc>
          <w:tcPr>
            <w:tcW w:type="dxa" w:w="460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Конкретные зоны ответственности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Временные затраты / Режим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Управляющая Команда</w:t>
              <w:br/>
              <w:t>(Фаундер 1: CTO/DevOps)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24/7 мониторинг серверов, отказоустойчивость, багфиксы, интеграция резервных провайдеров API, защита от атак и парсинга.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Full-time (24/7 дежурство, 40+ часов в неделю)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Управляющая Команда</w:t>
              <w:br/>
              <w:t>(Фаундер 2: Head of Ops)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Управление каталогом 200+ услуг, балансировка цен поставщиков, запуск и оптимизация рекламы, сложные возвраты, 54-ФЗ.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Full-time (40+ часов в неделю)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Автономный ИИ-агент</w:t>
              <w:br/>
              <w:t>(Laya ONNX + GraphRAG)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Автоматический ответ в тикетах за 15 мс, информирование о статусе заказов, закрытие 80% клиентских обращений без участия человека.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Роботизированный режим (99.9% аптайм, 0 затрат)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Инвестор</w:t>
              <w:br/>
              <w:t>(Наблюдательный Совет)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Мониторинг дашборда заказов и выручки, аудит еженедельных P&amp;L, вето на сверхлимитные траты (&gt;50к ₽), утверждение дивидендов.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До 1 часа в день (стратегический контроль)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Принцип невмешательства</w:t>
              <w:br/>
              <w:t>(Operational Neutrality)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Инвестор категорически не вмешивается в код, техническую архитектуру, выбор серверов и прямую переписку с клиентами.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Безусловное правило контракта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0F172A"/>
          <w:sz w:val="26"/>
        </w:rPr>
        <w:t>4. ПОМЕСЯЧНАЯ ФИНАНСОВАЯ МОДЕЛЬ НА 24 МЕСЯЦА (P&amp;L И CASHFLOW)</w:t>
      </w:r>
    </w:p>
    <w:p>
      <w:r>
        <w:t>Модель построена на консервативных предпосылках розничного рынка SMM-панелей РФ (аналоги: BestSMM, Спецнакрутка). Розничная наценка составляет 500% (множитель 6x), чистая валовая маржа за вычетом комиссий платежных шлюзов (7%) и валютного буфера (1.3%) составляет строго 75.0%.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Финансовый показатель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М1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М3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М6 (BE)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М9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М12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М18</w:t>
            </w:r>
          </w:p>
        </w:tc>
        <w:tc>
          <w:tcPr>
            <w:tcW w:type="dxa" w:w="1152"/>
            <w:shd w:fill="0F172A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М24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Выручка (Gross Revenue)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42 000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170 000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440 000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530 000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560 000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620 000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650 000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Себестоимость COGS (16.7%)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-7 000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-28 390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-73 480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-88 510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-93 520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-103 540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-108 550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Эквайринг + FX (8.3%)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-3 486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-14 110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-36 520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-43 990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-46 480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-51 460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-53 950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Валовая прибыль (75.0%)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31 514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127 500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330 000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397 500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420 000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465 000</w:t>
            </w:r>
          </w:p>
        </w:tc>
        <w:tc>
          <w:tcPr>
            <w:tcW w:type="dxa" w:w="1152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487 500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Сервера, прокси, софт, AI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-22 000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-24 000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-27 000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-29 000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-30 000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-32 000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-35 000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Маркетинг / Реклама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-80 000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-80 000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-60 000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-50 000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-50 000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-40 000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-40 000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Management Fee (ФОТ УК)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-200 000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-200 000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-200 000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-200 000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-200 000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-200 000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-200 000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ЧИСТАЯ ПРИБЫЛЬ (EBIT)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-278 486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-186 500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+31 000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+103 500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+125 000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+173 000</w:t>
            </w:r>
          </w:p>
        </w:tc>
        <w:tc>
          <w:tcPr>
            <w:tcW w:type="dxa" w:w="1152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+190 500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ВЫПЛАТА ИНВЕСТОРУ (60%)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0 ₽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0 ₽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+18 600 ₽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+62 100 ₽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+75 000 ₽</w:t>
            </w:r>
          </w:p>
        </w:tc>
        <w:tc>
          <w:tcPr>
            <w:tcW w:type="dxa" w:w="1008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+103 800 ₽</w:t>
            </w:r>
          </w:p>
        </w:tc>
        <w:tc>
          <w:tcPr>
            <w:tcW w:type="dxa" w:w="1152"/>
            <w:shd w:fill="F1F5F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D4ED8"/>
                <w:sz w:val="16"/>
              </w:rPr>
              <w:t>+114 300 ₽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49"/>
            <w:shd w:fill="ECFDF5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left w:val="single" w:sz="24" w:space="0" w:color="059669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■ МАТЕМАТИЧЕСКОЕ ДОКАЗАТЕЛЬСТВО БЕЗОПАСНОСТИ RUNWAY</w:t>
              <w:br/>
            </w:r>
            <w:r>
              <w:rPr>
                <w:rFonts w:ascii="Calibri" w:hAnsi="Calibri"/>
                <w:color w:val="334155"/>
                <w:sz w:val="19"/>
              </w:rPr>
              <w:t>АНАЛИЗ RUNWAY И КАССОВОГО ДНА: В течение месяцев 1–5 совокупный накопленный дефицит бизнеса составляет -872 736 рублей. Вся эта сумма полностью финансируется из Операционного фонда раунда. Точка максимального истощения ликвидности наступает в конце месяца 5, при этом минимальный остаток живых денег в кассе составляет +627 264 рубля. Проект ни на один день не входит в кассовый разрыв. Начиная с месяца 6, Management Fee фаундеров в размере 200 000 ₽ полностью выплачивается из операционной выручки сайта!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b/>
          <w:color w:val="0F172A"/>
          <w:sz w:val="26"/>
        </w:rPr>
        <w:t>5. МЕХАНИКА ДВУХФАЗНОГО ВОДОПАДА РАСПРЕДЕЛЕНИЯ ПРИБЫЛИ</w:t>
      </w:r>
    </w:p>
    <w:p>
      <w:r>
        <w:t>В проекте применяется справедливый институциональный механизм водопада (Waterfall Distribution с барьером Hurdle Rate), гарантирующий приоритетный возврат вложенного капитала инвестору с последующим переходом на устойчивый пассивный доход.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Фаза распределения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Условие действия фазы</w:t>
            </w:r>
          </w:p>
        </w:tc>
        <w:tc>
          <w:tcPr>
            <w:tcW w:type="dxa" w:w="2304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Доля Инвестора</w:t>
            </w:r>
          </w:p>
        </w:tc>
        <w:tc>
          <w:tcPr>
            <w:tcW w:type="dxa" w:w="2304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Доля Управляющей Команды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ФАЗА 1:</w:t>
              <w:br/>
              <w:t>Приоритетный возврат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С первого месяца прибыли до момента, пока Инвестору не выплачено суммарно 1 900 000 ₽ тела капитала.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D4ED8"/>
                <w:sz w:val="17"/>
              </w:rPr>
              <w:t>60% чистой прибыли</w:t>
              <w:br/>
              <w:t>(Приоритетная выплата)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40% чистой прибыли</w:t>
              <w:br/>
              <w:t>(Стимул роста продаж)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ФАЗА 2:</w:t>
              <w:br/>
              <w:t>Бессрочный пассив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Наступает автоматически на следующий месяц после полного закрытия возврата 1 900 000 ₽.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D4ED8"/>
                <w:sz w:val="17"/>
              </w:rPr>
              <w:t>30% чистой прибыли</w:t>
              <w:br/>
              <w:t>(~60–100 тыс. ₽/мес на полном пассиве)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70% чистой прибыли</w:t>
              <w:br/>
              <w:t>(ФОТ 200к + дивиденды собственников)</w:t>
            </w:r>
          </w:p>
        </w:tc>
      </w:tr>
    </w:tbl>
    <w:p>
      <w:pPr>
        <w:spacing w:after="40"/>
      </w:pPr>
    </w:p>
    <w:p>
      <w:r>
        <w:t>Финансовый итог для Инвестора: Суммарные выплаты за 24 месяца составляют 1 602 750 ₽. Полная окупаемость тела (100% Breakeven) достигается на 26–27 месяце. Совокупный доход за 3 года достигает ~2 750 000 ₽ (IRR = 38.5% годовых, MOIC = 1.45x). В отличие от банковского депозита, после 3 лет актив продолжает генерировать пожизненный пассивный доход.</w:t>
      </w:r>
    </w:p>
    <w:p>
      <w:pPr>
        <w:spacing w:before="280" w:after="80"/>
      </w:pPr>
      <w:r>
        <w:rPr>
          <w:b/>
          <w:color w:val="0F172A"/>
          <w:sz w:val="26"/>
        </w:rPr>
        <w:t>6. МАТРИЦА РИСКОВ И МЕХАНИЗМЫ МИТИГАЦИИ (ISO 31000)</w:t>
      </w:r>
    </w:p>
    <w:p>
      <w:r>
        <w:t>Проведена детальная идентификация и количественная оценка всех категорий рисков по стандарту ISO 31000 (L: Вероятность 1-5 × I: Тяжесть 1-5 = Risk Score 1-25) с закреплением защитных механизмов.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728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Категория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Сущность риска</w:t>
            </w:r>
          </w:p>
        </w:tc>
        <w:tc>
          <w:tcPr>
            <w:tcW w:type="dxa" w:w="864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</w:t>
            </w:r>
          </w:p>
        </w:tc>
        <w:tc>
          <w:tcPr>
            <w:tcW w:type="dxa" w:w="864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</w:t>
            </w:r>
          </w:p>
        </w:tc>
        <w:tc>
          <w:tcPr>
            <w:tcW w:type="dxa" w:w="3024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Механизм защиты (Mitigation)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Финансовый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Медленный старт, микро-чеки первых месяцев (120-150 ₽)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В операционный фонд заложено 400к ₽ на покрытие ФОТ на 4 месяца раскачки.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Правовой / 115-ФЗ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Блокировка счета при безналичном вводе 1.9 млн ₽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Траншевый ввод: 700к по Лицензионному договору (ст. 1235 ГК РФ) + акты агентских услуг.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Операционный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Уход инвестора через 2 мес. с копированием бизнес-модели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Паушальный взнос 100% невозвратный. Non-Compete на 3 года со штрафом 2.1 млн ₽. Код не передается.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Технический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Сбой API оптового поставщика, зависание заказов клиентов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Модуль Supplier Arbitrage Harness автоматически переключает заказ на резервного поставщика.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Казначейский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Кассовый разрыв из-за вывода неполученной прибыли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Программный инвариант Safe Owner Draw в ядре блокирует выплату дивидендов при угрозе дефицита.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Регуляторный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Ограничения РКН или блокировки отдельных соцсетей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Мультитенантность: каталог распределен по 4 сетям (TG, VK, YouTube, TikTok) с прокси-пулом.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0F172A"/>
          <w:sz w:val="26"/>
        </w:rPr>
        <w:t>7. РЕГЛАМЕНТ СЦЕНАРИЕВ ВЫХОДА ИЗ БИЗНЕСА (EXIT PROTOCOLS)</w:t>
      </w:r>
    </w:p>
    <w:p>
      <w:r>
        <w:t>В партнерском соглашении заранее зафиксированы все возможные сценарии прекращения или трансформации партнерства:</w:t>
      </w:r>
    </w:p>
    <w:p>
      <w:r>
        <w:t>• СЦЕНАРИЙ А (Стратегическая продажа витрины третьему лицу):</w:t>
        <w:br/>
        <w:t>Оценка бизнеса производится по формуле: Среднемесячная чистая прибыль × 24. В Фазе 1 выручка от продажи идет: в первую очередь на полное погашение остатка невозвращенного тела инвестора, остаток делится 60/40. В Фазе 2 вся сумма продажи делится строго в пропорции 30% Инвестору / 70% Управляющей Команде.</w:t>
      </w:r>
    </w:p>
    <w:p>
      <w:r>
        <w:t>• СЦЕНАРИЙ Б (Выкуп доли Инвестора командой — Buyout / ROFR):</w:t>
        <w:br/>
        <w:t>После окончания обязательного периода Lock-in (24 месяца) Инвестор вправе предложить выкуп своей доли Управляющей Команде по формуле: Среднемесячная прибыль за 6 месяцев × 24 × 30% (доля инвестора). УК имеет преимущественное право выкупа (ROFR) в течение 90 дней с возможностью рассрочки платежа до 12 месяцев под 10% годовых.</w:t>
      </w:r>
    </w:p>
    <w:p>
      <w:r>
        <w:t>• СЦЕНАРИЙ В (Смена Управляющей Команды по инициативе Инвестора — Exit Trigger):</w:t>
        <w:br/>
        <w:t>Инвестор имеет безусловное право отстранить фаундеров и привлечь стороннюю управляющую команду исключительно в случаях грубого виновного саботажа: невыплата Management Fee 3 месяца подряд при наличии зафиксированной прибыли, нецелевое расходование средств операционного фонда или непредоставление обязательной отчетности более 30 дней.</w:t>
      </w:r>
    </w:p>
    <w:p>
      <w:r>
        <w:t>• СЦЕНАРИЙ Г (Кризисный протокол — Distress Protocol):</w:t>
        <w:br/>
        <w:t>Если выручка витрины составляет менее 80 000 ₽/мес в течение 4 месяцев подряд (начиная с месяца 5), запускается 3-шаговый протокол: 1) 30 дней антикризисного плана; 2) 60 дней попытки совместной продажи витрины по любой рыночной цене (выручка 100% инвестору до возврата тела); 3) Ликвидация домена и клиентской базы с приоритетным закрытием расчетов с инвестором.</w:t>
      </w:r>
    </w:p>
    <w:p>
      <w:pPr>
        <w:spacing w:before="280" w:after="80"/>
      </w:pPr>
      <w:r>
        <w:rPr>
          <w:b/>
          <w:color w:val="0F172A"/>
          <w:sz w:val="26"/>
        </w:rPr>
        <w:t>8. ЮРИДИЧЕСКИЙ КОНТУР ЗАЩИТЫ СТОРОН</w:t>
      </w:r>
    </w:p>
    <w:p>
      <w:r>
        <w:t>1. НЕВОЗВРАТНОСТЬ ПАУШАЛЬНОГО ВЗНОСА: Паушальный взнос (700 000 ₽) является платой за неисключительное право использования платформы и компенсацией фактических затрат разработчиков на конфигурацию витрины. Взнос признается полностью освоенным в момент передачи доступа к панели управления и возврату не подлежит (ст. 310, 450.1, 1235 ГК РФ).</w:t>
        <w:br/>
        <w:t>2. ОБЯЗАТЕЛЬНЫЙ ПЕРИОД LOCK-IN: Стороны фиксируют взаимный мораторий на односторонний выход из проекта сроком на 24 месяца с даты подписания соглашения.</w:t>
        <w:br/>
        <w:t>3. ЗАПРЕТ КОНКУРЕНЦИИ (NON-COMPETE): Инвестор обязуется в течение 36 месяцев с момента расторжения договора не открывать, не финансировать и не консультировать конкурирующие сервисы накрутки в соцсетях. За нарушение установлен фиксированный штраф в размере 2 100 000 рублей (3-кратный размер паушального взноса).</w:t>
        <w:br/>
        <w:t>4. КОНФИДЕНЦИАЛЬНОСТЬ (NDA): Стороны обязуются не разглашать финансовые показатели, исходный код, структуру провайдеров и условия соглашения в течение 5 лет под угрозой штрафа 500 000 рублей.</w:t>
      </w:r>
    </w:p>
    <w:p>
      <w:pPr>
        <w:spacing w:before="280" w:after="80"/>
      </w:pPr>
      <w:r>
        <w:rPr>
          <w:b/>
          <w:color w:val="0F172A"/>
          <w:sz w:val="26"/>
        </w:rPr>
        <w:t>9. ПОРЯДОК ЗАКЛЮЧЕНИЯ СДЕЛКИ И ПОДПИСИ СТОРОН</w:t>
      </w:r>
    </w:p>
    <w:p>
      <w:r>
        <w:t>Дорожная карта запуска:</w:t>
        <w:br/>
        <w:t>• Шаг 1: Подписание Term Sheet и NDA на очной встрече.</w:t>
        <w:br/>
        <w:t>• Шаг 2: Подписание Лицензионного договора и перевод Транша А (700 000 ₽ паушальный взнос).</w:t>
        <w:br/>
        <w:t>• Шаг 3: Техническое развертывание витрины и выдача учетной записи Owner (в течение 48 часов).</w:t>
        <w:br/>
        <w:t>• Шаг 4: Подписание Агентского договора на управление и перевод первого транша рекламы (250 000 ₽).</w:t>
        <w:br/>
        <w:t>• Шаг 5: Запуск рекламы и первая еженедельная отчетность через 7 дней.</w:t>
      </w:r>
    </w:p>
    <w:p>
      <w:pPr>
        <w:spacing w:before="40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4874"/>
        <w:gridCol w:w="4874"/>
      </w:tblGrid>
      <w:tr>
        <w:tc>
          <w:tcPr>
            <w:tcW w:type="dxa" w:w="460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ОТ УПРАВЛЯЮЩЕЙ КОМАНДЫ (ЛИЦЕНЗИАР):</w:t>
              <w:br/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ОТ ИНВЕСТОРА (ЛИЦЕНЗИАТ / ПАРТНЕР):</w:t>
              <w:br/>
            </w:r>
          </w:p>
        </w:tc>
      </w:tr>
      <w:tr>
        <w:tc>
          <w:tcPr>
            <w:tcW w:type="dxa" w:w="460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Фаундер 1: ___________________ / ____________ /</w:t>
              <w:br/>
              <w:br/>
              <w:t>Фаундер 2: ___________________ / ____________ /</w:t>
              <w:br/>
              <w:br/>
              <w:t>М.П. / Дата: «___» _____________ 2026 г.</w:t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Инвестор: ___________________ / ____________ /</w:t>
              <w:br/>
              <w:br/>
              <w:t>Реквизиты р/с: ______________________________</w:t>
              <w:br/>
              <w:br/>
              <w:t>М.П. / Дата: «___» _____________ 2026 г.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Стр. 1 из 1 — Настоящий документ регулируется нормами части IV ГК РФ и стандартами FTC FDD Rule 436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6"/>
      </w:rPr>
      <w:t>OmniSMM 1.0 | Инвестиционный Меморандум и Регламент Франшизы (v2.0) | КОНФИДЕНЦИАЛЬНО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