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76" w:lineRule="auto"/>
        <w:jc w:val="right"/>
      </w:pPr>
      <w:r>
        <w:rPr>
          <w:rFonts w:ascii="Times New Roman" w:hAnsi="Times New Roman"/>
          <w:b/>
          <w:sz w:val="22"/>
        </w:rPr>
        <w:t>г. Москва                                                                           «21» сентября 2026 г.</w:t>
      </w:r>
    </w:p>
    <w:p>
      <w:pPr>
        <w:spacing w:before="120" w:after="40"/>
        <w:jc w:val="center"/>
      </w:pPr>
      <w:r>
        <w:rPr>
          <w:rFonts w:ascii="Times New Roman" w:hAnsi="Times New Roman"/>
          <w:b/>
          <w:color w:val="000000"/>
          <w:sz w:val="28"/>
        </w:rPr>
        <w:t>ИНВЕСТИЦИОННОЕ СОГЛАШЕНИЕ</w:t>
        <w:br/>
        <w:t>И ПЛАН КОММЕРЧЕСКОГО ЗАПУСКА</w:t>
      </w:r>
    </w:p>
    <w:p>
      <w:pPr>
        <w:spacing w:before="0" w:after="240"/>
        <w:jc w:val="center"/>
      </w:pPr>
      <w:r>
        <w:rPr>
          <w:rFonts w:ascii="Times New Roman" w:hAnsi="Times New Roman"/>
          <w:i/>
          <w:sz w:val="21"/>
        </w:rPr>
        <w:t>Запуск и управление розничной витриной цифровых услуг на базе IT-платформы OmniSMM 1.0</w:t>
      </w:r>
    </w:p>
    <w:p>
      <w:pPr>
        <w:spacing w:before="0" w:after="100" w:line="288" w:lineRule="auto"/>
        <w:ind w:firstLine="0"/>
        <w:jc w:val="both"/>
      </w:pPr>
      <w:r>
        <w:rPr>
          <w:rFonts w:ascii="Times New Roman" w:hAnsi="Times New Roman"/>
          <w:color w:val="000000"/>
          <w:sz w:val="22"/>
        </w:rPr>
        <w:t>Настоящее соглашение определяет финансовые, операционные и правовые условия сотрудничества Сторон по развертыванию, запуску и совместному управлению коммерческой онлайн-витриной автоматизированных цифровых услуг (продвижение в социальных сетях с розничной наценкой +500%):</w:t>
      </w:r>
    </w:p>
    <w:p>
      <w:pPr>
        <w:spacing w:before="0" w:after="100" w:line="288" w:lineRule="auto"/>
        <w:ind w:firstLine="708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1. </w:t>
      </w:r>
      <w:r>
        <w:rPr>
          <w:rFonts w:ascii="Times New Roman" w:hAnsi="Times New Roman"/>
          <w:color w:val="000000"/>
          <w:sz w:val="22"/>
        </w:rPr>
        <w:t>Создатель платформы (Управляющий партнер), являющийся разработчиком и единоличным правообладателем программного комплекса OmniSMM 1.0, с одной стороны; и</w:t>
      </w:r>
    </w:p>
    <w:p>
      <w:pPr>
        <w:spacing w:before="0" w:after="100" w:line="288" w:lineRule="auto"/>
        <w:ind w:firstLine="708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2. </w:t>
      </w:r>
      <w:r>
        <w:rPr>
          <w:rFonts w:ascii="Times New Roman" w:hAnsi="Times New Roman"/>
          <w:color w:val="000000"/>
          <w:sz w:val="22"/>
        </w:rPr>
        <w:t>Инвестор (Финансовый партнер), финансирующий запуск витрины, рекламную кампанию и операционные расходы проекта, с другой стороны.</w:t>
      </w:r>
    </w:p>
    <w:p>
      <w:pPr>
        <w:spacing w:before="240" w:after="80"/>
        <w:ind w:firstLine="0"/>
        <w:jc w:val="left"/>
      </w:pPr>
      <w:r>
        <w:rPr>
          <w:rFonts w:ascii="Times New Roman" w:hAnsi="Times New Roman"/>
          <w:b/>
          <w:color w:val="000000"/>
          <w:sz w:val="24"/>
        </w:rPr>
        <w:t>1. ПРЕДМЕТ СОГЛАШЕНИЯ И РАСПРЕДЕЛЕНИЕ ОБЯЗАННОСТЕЙ</w:t>
      </w:r>
    </w:p>
    <w:p>
      <w:pPr>
        <w:spacing w:before="0" w:after="100" w:line="288" w:lineRule="auto"/>
        <w:ind w:firstLine="708"/>
        <w:jc w:val="both"/>
      </w:pPr>
      <w:r>
        <w:rPr>
          <w:rFonts w:ascii="Times New Roman" w:hAnsi="Times New Roman"/>
          <w:color w:val="000000"/>
          <w:sz w:val="22"/>
        </w:rPr>
        <w:t>1.1. Создатель платформы передает Инвестору в коммерческое использование готовую розничную онлайн-витрину цифровых услуг под брендом SMMflux (smmflux.ru) либо под любым альтернативным названием и доменным именем по выбору Инвестора (модель White-Label).</w:t>
      </w:r>
    </w:p>
    <w:p>
      <w:pPr>
        <w:spacing w:before="0" w:after="100" w:line="288" w:lineRule="auto"/>
        <w:ind w:firstLine="708"/>
        <w:jc w:val="both"/>
      </w:pPr>
      <w:r>
        <w:rPr>
          <w:rFonts w:ascii="Times New Roman" w:hAnsi="Times New Roman"/>
          <w:color w:val="000000"/>
          <w:sz w:val="22"/>
        </w:rPr>
        <w:t>1.2. Срок полного ввода проекта в эксплуатацию составляет ровно 7 (семь) календарных дней с момента подписания соглашения и внесения первого транша финансирования.</w:t>
      </w:r>
    </w:p>
    <w:p>
      <w:pPr>
        <w:spacing w:before="0" w:after="100" w:line="288" w:lineRule="auto"/>
        <w:ind w:firstLine="708"/>
        <w:jc w:val="both"/>
      </w:pPr>
      <w:r>
        <w:rPr>
          <w:rFonts w:ascii="Times New Roman" w:hAnsi="Times New Roman"/>
          <w:color w:val="000000"/>
          <w:sz w:val="22"/>
        </w:rPr>
        <w:t>1.3. Инвестор финансирует бюджет запуска, наделяется правом на получение согласованной доли чистой прибыли и осуществляет стратегический надзор (до 1 часа в день посредством онлайн-дашборда и еженедельной финансовой отчетности). В текущую техническую и операционную рутину Инвестор не вмешивается.</w:t>
      </w:r>
    </w:p>
    <w:p>
      <w:pPr>
        <w:spacing w:before="0" w:after="100" w:line="288" w:lineRule="auto"/>
        <w:ind w:firstLine="708"/>
        <w:jc w:val="both"/>
      </w:pPr>
      <w:r>
        <w:rPr>
          <w:rFonts w:ascii="Times New Roman" w:hAnsi="Times New Roman"/>
          <w:color w:val="000000"/>
          <w:sz w:val="22"/>
        </w:rPr>
        <w:t>1.4. Создатель платформы обеспечивает 100% инженерного сопровождения: настройка и администрирование серверов, подключение баз данных, мониторинг шлюзов оптовых поставщиков и обеспечение защиты от сбоев. Исходный код ядра платформы остается в собственности Создателя.</w:t>
      </w:r>
    </w:p>
    <w:p>
      <w:pPr>
        <w:spacing w:before="0" w:after="100" w:line="288" w:lineRule="auto"/>
        <w:ind w:firstLine="708"/>
        <w:jc w:val="both"/>
      </w:pPr>
      <w:r>
        <w:rPr>
          <w:rFonts w:ascii="Times New Roman" w:hAnsi="Times New Roman"/>
          <w:color w:val="000000"/>
          <w:sz w:val="22"/>
        </w:rPr>
        <w:t>1.5. Клиентскую поддержку 24/7 и модерацию каталога услуг на сайте ведет выделенный штатный оператор (товарищ Создателя). Инвестору не требуется нанимать и обучать персонал со стороны.</w:t>
      </w:r>
    </w:p>
    <w:p>
      <w:pPr>
        <w:spacing w:before="240" w:after="80"/>
        <w:ind w:firstLine="0"/>
        <w:jc w:val="left"/>
      </w:pPr>
      <w:r>
        <w:rPr>
          <w:rFonts w:ascii="Times New Roman" w:hAnsi="Times New Roman"/>
          <w:b/>
          <w:color w:val="000000"/>
          <w:sz w:val="24"/>
        </w:rPr>
        <w:t>2. ОБЪЕМ ИНВЕСТИЦИЙ И СМЕТА ЦЕЛЕВОГО ФИНАНСИРОВАНИЯ</w:t>
      </w:r>
    </w:p>
    <w:p>
      <w:pPr>
        <w:spacing w:before="0" w:after="100" w:line="288" w:lineRule="auto"/>
        <w:ind w:firstLine="708"/>
        <w:jc w:val="both"/>
      </w:pPr>
      <w:r>
        <w:rPr>
          <w:rFonts w:ascii="Times New Roman" w:hAnsi="Times New Roman"/>
          <w:color w:val="000000"/>
          <w:sz w:val="22"/>
        </w:rPr>
        <w:t>2.1. Полный объем инвестиционного раунда составляет 2 300 000 (два миллиона триста тысяч) рублей. В случае предметного торга Стороны вправе согласовать оптимизированный бюджет в диапазоне 2 000 000 – 2 100 000 рублей при сохранении платы Создателю за подключение не менее 800 000 – 900 000 рублей.</w:t>
      </w:r>
    </w:p>
    <w:p>
      <w:pPr>
        <w:spacing w:before="0" w:after="100" w:line="288" w:lineRule="auto"/>
        <w:ind w:firstLine="708"/>
        <w:jc w:val="both"/>
      </w:pPr>
      <w:r>
        <w:rPr>
          <w:rFonts w:ascii="Times New Roman" w:hAnsi="Times New Roman"/>
          <w:color w:val="000000"/>
          <w:sz w:val="22"/>
        </w:rPr>
        <w:t>2.2. Средства раунда имеют строго целевое назначение и распределяются по следующим статьям: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none"/>
          <w:right w:val="none"/>
          <w:insideH w:val="single" w:sz="4" w:space="0" w:color="000000"/>
          <w:insideV w:val="none"/>
        </w:tblBorders>
      </w:tblPr>
      <w:tblGrid>
        <w:gridCol w:w="3091"/>
        <w:gridCol w:w="3091"/>
        <w:gridCol w:w="3091"/>
      </w:tblGrid>
      <w:tr>
        <w:tc>
          <w:tcPr>
            <w:tcW w:type="dxa" w:w="3888"/>
            <w:shd w:fill="F1F5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Статья расходов</w:t>
            </w:r>
          </w:p>
        </w:tc>
        <w:tc>
          <w:tcPr>
            <w:tcW w:type="dxa" w:w="1872"/>
            <w:shd w:fill="F1F5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Сумма (₽)</w:t>
            </w:r>
          </w:p>
        </w:tc>
        <w:tc>
          <w:tcPr>
            <w:tcW w:type="dxa" w:w="3888"/>
            <w:shd w:fill="F1F5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Целевое назначение и порядок расходования</w:t>
            </w:r>
          </w:p>
        </w:tc>
      </w:tr>
      <w:tr>
        <w:tc>
          <w:tcPr>
            <w:tcW w:type="dxa" w:w="388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1. Плата Создателю за подключение</w:t>
              <w:br/>
              <w:t>— Подключение к платформе и запуск витрины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1 000 000 ₽</w:t>
            </w:r>
          </w:p>
        </w:tc>
        <w:tc>
          <w:tcPr>
            <w:tcW w:type="dxa" w:w="388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Перечисляется Создателю в День 1. Невозвратная плата за готовую систему, подключение оптовых шлюзов и передачу витрины под ключ.</w:t>
            </w:r>
          </w:p>
        </w:tc>
      </w:tr>
      <w:tr>
        <w:tc>
          <w:tcPr>
            <w:tcW w:type="dxa" w:w="388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2. Зарплатный фонд раскачки (мес. 1–4)</w:t>
              <w:br/>
              <w:t>— Оплата работы до выхода на прибыль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600 000 ₽</w:t>
            </w:r>
          </w:p>
        </w:tc>
        <w:tc>
          <w:tcPr>
            <w:tcW w:type="dxa" w:w="388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Ступенчатая оплата команды: мес. 1 — 120 000 ₽, мес. 2 — 150 000 ₽, мес. 3–4 — по 200 000 ₽. Оплата оператора поддержки и технадзора.</w:t>
            </w:r>
          </w:p>
        </w:tc>
      </w:tr>
      <w:tr>
        <w:tc>
          <w:tcPr>
            <w:tcW w:type="dxa" w:w="388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3. Рекламный бюджет (на 5 месяцев)</w:t>
              <w:br/>
              <w:t>— Яндекс.Директ и Telegram Ads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500 000 ₽</w:t>
            </w:r>
          </w:p>
        </w:tc>
        <w:tc>
          <w:tcPr>
            <w:tcW w:type="dxa" w:w="388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Целевой резерв на расчетном счете. Комфортный бюджет (по 100 000 ₽/мес) строго на закупку верифицированного коммерческого трафика.</w:t>
            </w:r>
          </w:p>
        </w:tc>
      </w:tr>
      <w:tr>
        <w:tc>
          <w:tcPr>
            <w:tcW w:type="dxa" w:w="388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4. Сервер, база данных, домен и IT (на 6 мес.)</w:t>
              <w:br/>
              <w:t>— Облачный VDS-сервер, PostgreSQL, SSL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50 000 ₽</w:t>
            </w:r>
          </w:p>
        </w:tc>
        <w:tc>
          <w:tcPr>
            <w:tcW w:type="dxa" w:w="388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Аренда облачного VDS-сервера, базы данных PostgreSQL и Redis, доменное имя, SSL-сертификаты и резервное копирование (~8 300 ₽/мес).</w:t>
            </w:r>
          </w:p>
        </w:tc>
      </w:tr>
      <w:tr>
        <w:tc>
          <w:tcPr>
            <w:tcW w:type="dxa" w:w="388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5. Оборотный баланс у оптовиков</w:t>
              <w:br/>
              <w:t>— Депозит для моментального старта заказов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150 000 ₽</w:t>
            </w:r>
          </w:p>
        </w:tc>
        <w:tc>
          <w:tcPr>
            <w:tcW w:type="dxa" w:w="388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Баланс в оптовых шлюзах. Необходим для того, чтобы заказы клиентов запускались автоматически в течение 2 секунд.</w:t>
            </w:r>
          </w:p>
        </w:tc>
      </w:tr>
    </w:tbl>
    <w:p>
      <w:pPr>
        <w:spacing w:before="0" w:after="100" w:line="288" w:lineRule="auto"/>
        <w:ind w:firstLine="708"/>
        <w:jc w:val="both"/>
      </w:pPr>
      <w:r>
        <w:rPr>
          <w:rFonts w:ascii="Times New Roman" w:hAnsi="Times New Roman"/>
          <w:color w:val="000000"/>
          <w:sz w:val="22"/>
        </w:rPr>
        <w:t>2.3. В случае внесения средств частями (траншами) первый транш составляет 1 320 000 рублей (включает 1 000 000 рублей платы Создателю за подключение, 50 000 рублей на серверную инфраструктуру на полгода, 150 000 рублей оборотки и 120 000 рублей зарплаты за 1-й месяц). Второй транш (980 000 рублей) вносится через 30 дней строго на маркетинг и зарплатный фонд раскачки.</w:t>
      </w:r>
    </w:p>
    <w:p>
      <w:pPr>
        <w:spacing w:before="240" w:after="80"/>
        <w:ind w:firstLine="0"/>
        <w:jc w:val="left"/>
      </w:pPr>
      <w:r>
        <w:rPr>
          <w:rFonts w:ascii="Times New Roman" w:hAnsi="Times New Roman"/>
          <w:b/>
          <w:color w:val="000000"/>
          <w:sz w:val="24"/>
        </w:rPr>
        <w:t>3. ПОРЯДОК И УСЛОВИЯ РАСПРЕДЕЛЕНИЯ ЧИСТОЙ ПРИБЫЛИ</w:t>
      </w:r>
    </w:p>
    <w:p>
      <w:pPr>
        <w:spacing w:before="0" w:after="100" w:line="288" w:lineRule="auto"/>
        <w:ind w:firstLine="708"/>
        <w:jc w:val="both"/>
      </w:pPr>
      <w:r>
        <w:rPr>
          <w:rFonts w:ascii="Times New Roman" w:hAnsi="Times New Roman"/>
          <w:color w:val="000000"/>
          <w:sz w:val="22"/>
        </w:rPr>
        <w:t>3.1. Стороны исходят из принципа добросовестности и не фиксируют умозрительных сроков окупаемости. Распределение прибыли производится ежемесячно строго на основе фактического финансового результата:</w:t>
      </w:r>
    </w:p>
    <w:p>
      <w:pPr>
        <w:spacing w:before="0" w:after="100" w:line="288" w:lineRule="auto"/>
        <w:ind w:firstLine="708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• Этап 1 (Приоритетный возврат инвестиций): </w:t>
      </w:r>
      <w:r>
        <w:rPr>
          <w:rFonts w:ascii="Times New Roman" w:hAnsi="Times New Roman"/>
          <w:color w:val="000000"/>
          <w:sz w:val="22"/>
        </w:rPr>
        <w:t>Инвестор получает 60% чистой прибыли проекта каждый месяц до момента, пока суммарно не вернет 100% фактически внесенных инвестиционных средств. Доля Создателя составляет 40%. Срок возврата определяется исключительно объективной скоростью набора клиентской базы.</w:t>
      </w:r>
    </w:p>
    <w:p>
      <w:pPr>
        <w:spacing w:before="0" w:after="100" w:line="288" w:lineRule="auto"/>
        <w:ind w:firstLine="708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• Этап 2 (Бессрочный пассивный доход Инвестора): </w:t>
      </w:r>
      <w:r>
        <w:rPr>
          <w:rFonts w:ascii="Times New Roman" w:hAnsi="Times New Roman"/>
          <w:color w:val="000000"/>
          <w:sz w:val="22"/>
        </w:rPr>
        <w:t>После полного возврата тела инвестиций пропорция распределения изменяется: Инвестор бессрочно получает 30% от фактически полученной чистой прибыли проекта на полном пассиве. Доля Создателя платформы составляет 70%.</w:t>
      </w:r>
    </w:p>
    <w:p>
      <w:pPr>
        <w:spacing w:before="0" w:after="100" w:line="288" w:lineRule="auto"/>
        <w:ind w:firstLine="708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• Зарплатный фонд управления (200 000 ₽/мес): </w:t>
      </w:r>
      <w:r>
        <w:rPr>
          <w:rFonts w:ascii="Times New Roman" w:hAnsi="Times New Roman"/>
          <w:color w:val="000000"/>
          <w:sz w:val="22"/>
        </w:rPr>
        <w:t>Операционная плата за техническое ведение и круглосуточную поддержку зафиксирована на уровне 200 000 ₽/мес. На старте раскачки действует льготная ступень (мес. 1 — 120 000 ₽, мес. 2 — 150 000 ₽, мес. 3–4 — по 200 000 ₽). В первые 4 месяца ФОТ финансируется из бюджета запуска; начиная с 5-го месяца — строго из текущей выручки сайта как первоочередной операционный расход перед расчетом чистой прибыли.</w:t>
      </w:r>
    </w:p>
    <w:p>
      <w:pPr>
        <w:spacing w:before="240" w:after="80"/>
        <w:ind w:firstLine="0"/>
        <w:jc w:val="left"/>
      </w:pPr>
      <w:r>
        <w:rPr>
          <w:rFonts w:ascii="Times New Roman" w:hAnsi="Times New Roman"/>
          <w:b/>
          <w:color w:val="000000"/>
          <w:sz w:val="24"/>
        </w:rPr>
        <w:t>4. ЭКОНОМИКА ЗАКАЗОВ И ФИНАНСОВЫЙ УЧЕТ</w:t>
      </w:r>
    </w:p>
    <w:p>
      <w:pPr>
        <w:spacing w:before="0" w:after="100" w:line="288" w:lineRule="auto"/>
        <w:ind w:firstLine="708"/>
        <w:jc w:val="both"/>
      </w:pPr>
      <w:r>
        <w:rPr>
          <w:rFonts w:ascii="Times New Roman" w:hAnsi="Times New Roman"/>
          <w:color w:val="000000"/>
          <w:sz w:val="22"/>
        </w:rPr>
        <w:t>4.1. Ценообразование витрины сформировано на основе доказанной рыночной маржинальности цифровых услуг. Базовая розничная наценка на оптовые базы поставщиков составляет +500% (коэффициент 6.0x):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none"/>
          <w:right w:val="none"/>
          <w:insideH w:val="single" w:sz="4" w:space="0" w:color="000000"/>
          <w:insideV w:val="none"/>
        </w:tblBorders>
      </w:tblPr>
      <w:tblGrid>
        <w:gridCol w:w="3091"/>
        <w:gridCol w:w="3091"/>
        <w:gridCol w:w="3091"/>
      </w:tblGrid>
      <w:tr>
        <w:tc>
          <w:tcPr>
            <w:tcW w:type="dxa" w:w="4608"/>
            <w:shd w:fill="F1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Элемент структуры стоимости</w:t>
            </w:r>
          </w:p>
        </w:tc>
        <w:tc>
          <w:tcPr>
            <w:tcW w:type="dxa" w:w="1872"/>
            <w:shd w:fill="F1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Доля от чека</w:t>
            </w:r>
          </w:p>
        </w:tc>
        <w:tc>
          <w:tcPr>
            <w:tcW w:type="dxa" w:w="3168"/>
            <w:shd w:fill="F1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Экономическое обоснование</w:t>
            </w:r>
          </w:p>
        </w:tc>
      </w:tr>
      <w:tr>
        <w:tc>
          <w:tcPr>
            <w:tcW w:type="dxa" w:w="4608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Розничная оплата клиента на сайте (Выручка)</w:t>
            </w:r>
          </w:p>
        </w:tc>
        <w:tc>
          <w:tcPr>
            <w:tcW w:type="dxa" w:w="1872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100.0%</w:t>
            </w:r>
          </w:p>
        </w:tc>
        <w:tc>
          <w:tcPr>
            <w:tcW w:type="dxa" w:w="3168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Фактически поступившие средства клиентов на счет</w:t>
            </w:r>
          </w:p>
        </w:tc>
      </w:tr>
      <w:tr>
        <w:tc>
          <w:tcPr>
            <w:tcW w:type="dxa" w:w="4608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Оптовая себестоимость исполнения заказа</w:t>
            </w:r>
          </w:p>
        </w:tc>
        <w:tc>
          <w:tcPr>
            <w:tcW w:type="dxa" w:w="1872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16.7%</w:t>
            </w:r>
          </w:p>
        </w:tc>
        <w:tc>
          <w:tcPr>
            <w:tcW w:type="dxa" w:w="3168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Списание оптовому шлюзу за выполнение услуги</w:t>
            </w:r>
          </w:p>
        </w:tc>
      </w:tr>
      <w:tr>
        <w:tc>
          <w:tcPr>
            <w:tcW w:type="dxa" w:w="4608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Банковский интернет-эквайринг и касса 54-ФЗ</w:t>
            </w:r>
          </w:p>
        </w:tc>
        <w:tc>
          <w:tcPr>
            <w:tcW w:type="dxa" w:w="1872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7.0%</w:t>
            </w:r>
          </w:p>
        </w:tc>
        <w:tc>
          <w:tcPr>
            <w:tcW w:type="dxa" w:w="3168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Официальная комиссия банка за прием карт и СБП</w:t>
            </w:r>
          </w:p>
        </w:tc>
      </w:tr>
      <w:tr>
        <w:tc>
          <w:tcPr>
            <w:tcW w:type="dxa" w:w="4608"/>
            <w:shd w:fill="F1F5F9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ЧИСТАЯ ВАЛОВАЯ МАРЖА С КАЖДОГО ЗАКАЗА</w:t>
            </w:r>
          </w:p>
        </w:tc>
        <w:tc>
          <w:tcPr>
            <w:tcW w:type="dxa" w:w="1872"/>
            <w:shd w:fill="F1F5F9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76.3%</w:t>
            </w:r>
          </w:p>
        </w:tc>
        <w:tc>
          <w:tcPr>
            <w:tcW w:type="dxa" w:w="3168"/>
            <w:shd w:fill="F1F5F9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Маржинальный доход на покрытие расходов и прибыль</w:t>
            </w:r>
          </w:p>
        </w:tc>
      </w:tr>
    </w:tbl>
    <w:p>
      <w:pPr>
        <w:spacing w:before="0" w:after="100" w:line="288" w:lineRule="auto"/>
        <w:ind w:firstLine="708"/>
        <w:jc w:val="both"/>
      </w:pPr>
      <w:r>
        <w:rPr>
          <w:rFonts w:ascii="Times New Roman" w:hAnsi="Times New Roman"/>
          <w:color w:val="000000"/>
          <w:sz w:val="22"/>
        </w:rPr>
        <w:t>4.2. Формула чистой прибыли: Чистая прибыль = Выручка минус списания оптовикам, минус комиссия банка, минус сервера, реклама и зарплатный фонд. Все финансовые потоки прозрачны и отражаются в административном дашборде и выписках расчетного счета.</w:t>
      </w:r>
    </w:p>
    <w:p>
      <w:pPr>
        <w:spacing w:before="240" w:after="80"/>
        <w:ind w:firstLine="0"/>
        <w:jc w:val="left"/>
      </w:pPr>
      <w:r>
        <w:rPr>
          <w:rFonts w:ascii="Times New Roman" w:hAnsi="Times New Roman"/>
          <w:b/>
          <w:color w:val="000000"/>
          <w:sz w:val="24"/>
        </w:rPr>
        <w:t>5. ПРАВА НА ИНТЕЛЛЕКТУАЛЬНУЮ СОБСТВЕННОСТЬ, ВЫХОД ИЗ ПРОЕКТА И ЗАЩИТА АКТИВОВ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27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8" w:space="0" w:color="000000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ФУНДАМЕНТАЛЬНЫЕ ПРАВОВЫЕ ОГРАНИЧЕНИЯ</w:t>
              <w:br/>
            </w:r>
            <w:r>
              <w:rPr>
                <w:rFonts w:ascii="Times New Roman" w:hAnsi="Times New Roman"/>
                <w:color w:val="000000"/>
                <w:sz w:val="20"/>
              </w:rPr>
              <w:t>1. НЕОТЧУЖДАЕМОСТЬ ПРОГРАММНОГО КОДА: Исходный код IT-ядра OmniSMM 1.0, архитектура базы данных и модули автоматизации являются исключительной собственностью Создателя платформы. Инвестору передаются исключительно коммерческие права на извлечение прибыли с конкретной запущенной витрины (smmflux.ru).</w:t>
              <w:br/>
              <w:t>2. НЕВОЗВРАТНОСТЬ ПЛАТЫ ЗА ПОДКЛЮЧЕНИЕ: Плата за подключение (1 000 000 ₽) является фиксированным вознаграждением за готовую IT-систему, интеграцию оптовых шлюзов и запуск витрины под ключ. При любом досрочном выходе Инвестора данная сумма не возвращается.</w:t>
              <w:br/>
              <w:t>3. ЗАПРЕТ КОНКУРЕНЦИИ (NON-COMPETE): Инвестор обязуется в течение 36 месяцев с даты подписания соглашения и 24 месяцев после любого выхода не запускать, не соинвестировать и не развивать конкурирующие сервисы в сфере SMM (штрафная неустойка за прямое нарушение — 2 100 000 ₽).</w:t>
            </w:r>
          </w:p>
        </w:tc>
      </w:tr>
    </w:tbl>
    <w:p>
      <w:pPr>
        <w:spacing w:before="0" w:after="80"/>
      </w:pPr>
    </w:p>
    <w:p>
      <w:pPr>
        <w:spacing w:before="0" w:after="100" w:line="288" w:lineRule="auto"/>
        <w:ind w:firstLine="708"/>
        <w:jc w:val="both"/>
      </w:pPr>
      <w:r>
        <w:rPr>
          <w:rFonts w:ascii="Times New Roman" w:hAnsi="Times New Roman"/>
          <w:color w:val="000000"/>
          <w:sz w:val="22"/>
        </w:rPr>
        <w:t>5.1. Сценарий 1 (Досрочный добровольный выход Инвестора на этапе раскачки): При одностороннем выходе Инвестора в первые месяцы до возврата тела инвестиций действует следующий регламент взаиморасчетов:</w:t>
      </w:r>
    </w:p>
    <w:p>
      <w:pPr>
        <w:spacing w:before="0" w:after="100" w:line="288" w:lineRule="auto"/>
        <w:ind w:firstLine="708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• Порядок расчетов и судьба витрины: </w:t>
      </w:r>
      <w:r>
        <w:rPr>
          <w:rFonts w:ascii="Times New Roman" w:hAnsi="Times New Roman"/>
          <w:color w:val="000000"/>
          <w:sz w:val="22"/>
        </w:rPr>
        <w:t>Инвестор направляет письменное уведомление за 14 календарных дней. Плата за подключение (1 000 000 ₽) и фактически выплаченный зарплатный фонд возврату не подлежат. Неизрасходованный остаток рекламного фонда на расчетном счете возвращается Инвестору в течение 10 банковских дней. Фактический остаток депозита у оптовых поставщиков возвращается Инвестору после завершения принятых клиентских заказов (до 14 рабочих дней). Доменное имя, сайт, аккаунты и база зарегистрированных клиентов переходят в 100% распоряжение Создателя без доплат. Инвестор утрачивает права на долю в прибыли, а стороны подписывают соглашение о расторжении без взаимных претензий.</w:t>
      </w:r>
    </w:p>
    <w:p>
      <w:pPr>
        <w:spacing w:before="0" w:after="100" w:line="288" w:lineRule="auto"/>
        <w:ind w:firstLine="708"/>
        <w:jc w:val="both"/>
      </w:pPr>
      <w:r>
        <w:rPr>
          <w:rFonts w:ascii="Times New Roman" w:hAnsi="Times New Roman"/>
          <w:color w:val="000000"/>
          <w:sz w:val="22"/>
        </w:rPr>
        <w:t>5.2. Сценарий 2 (Плановый выкуп доли Инвестора Создателем — Консолидация бизнеса): Через 24 месяца с даты запуска витрины и строго при условии 100% возврата первоначальных инвестиций Создатель вправе консолидировать 100% владения витриной:</w:t>
      </w:r>
    </w:p>
    <w:p>
      <w:pPr>
        <w:spacing w:before="0" w:after="100" w:line="288" w:lineRule="auto"/>
        <w:ind w:firstLine="708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• Формула оценки и порядок выплат: </w:t>
      </w:r>
      <w:r>
        <w:rPr>
          <w:rFonts w:ascii="Times New Roman" w:hAnsi="Times New Roman"/>
          <w:color w:val="000000"/>
          <w:sz w:val="22"/>
        </w:rPr>
        <w:t>Создатель направляет Инвестору предложение о выкупе его 30% доли. Оценка проводится по рыночной формуле: Цена выкупа = (Сумма чистой прибыли за последние 6 месяцев / 6) × 24 месяца × 30%. Выплата производится в рассрочку: 30% суммы — в день подписания соглашения о выкупе, 70% — равными долями ежемесячно в течение 12 месяцев. На период рассрочки Инвестор освобождается от операционных рисков и получает фиксированные платежи, а по завершении выплат Создатель становится единоличным владельцем 100% чистой прибыли витрины.</w:t>
      </w:r>
    </w:p>
    <w:p>
      <w:pPr>
        <w:spacing w:before="0" w:after="100" w:line="288" w:lineRule="auto"/>
        <w:ind w:firstLine="708"/>
        <w:jc w:val="both"/>
      </w:pPr>
      <w:r>
        <w:rPr>
          <w:rFonts w:ascii="Times New Roman" w:hAnsi="Times New Roman"/>
          <w:color w:val="000000"/>
          <w:sz w:val="22"/>
        </w:rPr>
        <w:t>5.3. Сценарий 3 (Продажа доли Инвестора третьему лицу — Право первой руки ROFR): Инвестор после возврата вложений вправе продать свои 30% пассивного дохода стороннему лицу на следующих условиях:</w:t>
      </w:r>
    </w:p>
    <w:p>
      <w:pPr>
        <w:spacing w:before="0" w:after="100" w:line="288" w:lineRule="auto"/>
        <w:ind w:firstLine="708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• Преимущественное право и статус покупателя: </w:t>
      </w:r>
      <w:r>
        <w:rPr>
          <w:rFonts w:ascii="Times New Roman" w:hAnsi="Times New Roman"/>
          <w:color w:val="000000"/>
          <w:sz w:val="22"/>
        </w:rPr>
        <w:t>У Создателя действует безусловное преимущественное право выкупа доли (Right of First Refusal) на предложенных сторонним покупателем условиях в течение 30 календарных дней. В случае отказа Создателя продажа допускается строго с письменного согласия Создателя. Новый участник приобретает исключительно право на 30% пассивных дивидендов, без доступа к исходному коду, серверам, базам данных и без права вмешательства в управление проектом.</w:t>
      </w:r>
    </w:p>
    <w:p>
      <w:pPr>
        <w:spacing w:before="0" w:after="100" w:line="288" w:lineRule="auto"/>
        <w:ind w:firstLine="708"/>
        <w:jc w:val="both"/>
      </w:pPr>
      <w:r>
        <w:rPr>
          <w:rFonts w:ascii="Times New Roman" w:hAnsi="Times New Roman"/>
          <w:color w:val="000000"/>
          <w:sz w:val="22"/>
        </w:rPr>
        <w:t>5.4. Сценарий 4 (Выход Создателя платформы из операционного управления): В случае невозможности или нежелания Создателя лично осуществлять технический надзор:</w:t>
      </w:r>
    </w:p>
    <w:p>
      <w:pPr>
        <w:spacing w:before="0" w:after="100" w:line="288" w:lineRule="auto"/>
        <w:ind w:firstLine="708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• Варианты цивилизованной передачи: </w:t>
      </w:r>
      <w:r>
        <w:rPr>
          <w:rFonts w:ascii="Times New Roman" w:hAnsi="Times New Roman"/>
          <w:color w:val="000000"/>
          <w:sz w:val="22"/>
        </w:rPr>
        <w:t>Создатель уведомляет Инвестора за 60 календарных дней. Стороны согласованно выбирают один из двух вариантов: А) Продажа витрины как готового бизнеса на открытом рынке с разделом выручки (в первую очередь закрывается остаток долга перед Инвестором при его наличии, остаток делится 70% Создателю / 30% Инвестору; покупатель переходит на SaaS-подписку к ядру платформы); либо Б) Наем внешнего обученного технического администратора из зарплатного фонда (200 000 ₽/мес) с сохранением за Создателем и Инвестором статуса пассивных совладельцев (70/30).</w:t>
      </w:r>
    </w:p>
    <w:p>
      <w:pPr>
        <w:spacing w:before="0" w:after="100" w:line="288" w:lineRule="auto"/>
        <w:ind w:firstLine="708"/>
        <w:jc w:val="both"/>
      </w:pPr>
      <w:r>
        <w:rPr>
          <w:rFonts w:ascii="Times New Roman" w:hAnsi="Times New Roman"/>
          <w:color w:val="000000"/>
          <w:sz w:val="22"/>
        </w:rPr>
        <w:t>5.5. Сценарий 5 (Рыночный тупик и плановая ликвидация): При возникновении неблагоприятных внешних факторов:</w:t>
      </w:r>
    </w:p>
    <w:p>
      <w:pPr>
        <w:spacing w:before="0" w:after="100" w:line="288" w:lineRule="auto"/>
        <w:ind w:firstLine="708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• Критерии и ликвидационный протокол: </w:t>
      </w:r>
      <w:r>
        <w:rPr>
          <w:rFonts w:ascii="Times New Roman" w:hAnsi="Times New Roman"/>
          <w:color w:val="000000"/>
          <w:sz w:val="22"/>
        </w:rPr>
        <w:t>Если 4 месяца подряд среднемесячная выручка составляет менее 80 000 рублей, либо чистая прибыль проекта равна нулю при расходовании более 80% рекламного бюджета, Стороны фиксируют рыночный тупик. Платная реклама останавливается, обязательства перед клиентами исполняются, налоги закрываются. Все оставшиеся на счетах денежные средства и остатки у оптовиков переводятся Инвестору в счет компенсации его затрат. Проект закрывается без взаимных долговых обязательств, а финансовый результат признается совместным предпринимательским риском.</w:t>
      </w:r>
    </w:p>
    <w:p>
      <w:pPr>
        <w:spacing w:before="0" w:after="100" w:line="288" w:lineRule="auto"/>
        <w:ind w:firstLine="708"/>
        <w:jc w:val="both"/>
      </w:pPr>
      <w:r>
        <w:rPr>
          <w:rFonts w:ascii="Times New Roman" w:hAnsi="Times New Roman"/>
          <w:color w:val="000000"/>
          <w:sz w:val="22"/>
        </w:rPr>
        <w:t>5.6. Сценарий 6 (Операционный иммунитет и разрешение разногласий Deadlock): Для защиты проекта от управленческого паралича:</w:t>
      </w:r>
    </w:p>
    <w:p>
      <w:pPr>
        <w:spacing w:before="0" w:after="100" w:line="288" w:lineRule="auto"/>
        <w:ind w:firstLine="708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• Принцип решающего голоса: </w:t>
      </w:r>
      <w:r>
        <w:rPr>
          <w:rFonts w:ascii="Times New Roman" w:hAnsi="Times New Roman"/>
          <w:color w:val="000000"/>
          <w:sz w:val="22"/>
        </w:rPr>
        <w:t>За Создателем зафиксировано безусловное право решающего голоса (Veto Power) по всем техническим, архитектурным, продуктовым и тарифным вопросам. Инвестор не вправе блокировать текущую операционную деятельность. При возникновении неустранимых разногласий Стороны проводят 14-дневный раунд переговоров, а при недостижении согласия — инициируют выкуп доли Создателем (п. 5.2) либо совместную продажу витрины (п. 5.4).</w:t>
      </w:r>
    </w:p>
    <w:p>
      <w:pPr>
        <w:spacing w:before="0" w:after="100" w:line="288" w:lineRule="auto"/>
        <w:ind w:firstLine="708"/>
        <w:jc w:val="both"/>
      </w:pPr>
      <w:r>
        <w:rPr>
          <w:rFonts w:ascii="Times New Roman" w:hAnsi="Times New Roman"/>
          <w:color w:val="000000"/>
          <w:sz w:val="22"/>
        </w:rPr>
        <w:t>5.7. Защита персонала и конфиденциальность коммерческой информации:</w:t>
      </w:r>
    </w:p>
    <w:p>
      <w:pPr>
        <w:spacing w:before="0" w:after="100" w:line="288" w:lineRule="auto"/>
        <w:ind w:firstLine="708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• Защита от переманивания (Non-Solicitation) и NDA: </w:t>
      </w:r>
      <w:r>
        <w:rPr>
          <w:rFonts w:ascii="Times New Roman" w:hAnsi="Times New Roman"/>
          <w:color w:val="000000"/>
          <w:sz w:val="22"/>
        </w:rPr>
        <w:t>Инвестору категорически запрещается делать предложения о трудоустройстве и переманивать штатного оператора клиентской поддержки, разработчиков и подрядчиков, привлеченных Создателем (штрафная неустойка — 1 000 000 ₽). Вся информация о реальной оптовой себестоимости услуг, наценке +500%, поставщиках и источниках рекламы является охраняемой коммерческой тайной и не подлежит разглашению третьим лицам.</w:t>
      </w:r>
    </w:p>
    <w:p>
      <w:pPr>
        <w:spacing w:before="0" w:after="100" w:line="288" w:lineRule="auto"/>
        <w:ind w:firstLine="708"/>
        <w:jc w:val="both"/>
      </w:pPr>
      <w:r>
        <w:rPr>
          <w:rFonts w:ascii="Times New Roman" w:hAnsi="Times New Roman"/>
          <w:color w:val="000000"/>
          <w:sz w:val="22"/>
        </w:rPr>
        <w:t>5.8. Регламентная таблица распределения активов и обязательств при прекращении сотрудничества: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none"/>
          <w:right w:val="none"/>
          <w:insideH w:val="single" w:sz="4" w:space="0" w:color="000000"/>
          <w:insideV w:val="none"/>
        </w:tblBorders>
      </w:tblPr>
      <w:tblGrid>
        <w:gridCol w:w="3091"/>
        <w:gridCol w:w="3091"/>
        <w:gridCol w:w="3091"/>
      </w:tblGrid>
      <w:tr>
        <w:tc>
          <w:tcPr>
            <w:tcW w:type="dxa" w:w="3456"/>
            <w:shd w:fill="F1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Наименование актива / ресурса</w:t>
            </w:r>
          </w:p>
        </w:tc>
        <w:tc>
          <w:tcPr>
            <w:tcW w:type="dxa" w:w="2592"/>
            <w:shd w:fill="F1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Принадлежность при выходе</w:t>
            </w:r>
          </w:p>
        </w:tc>
        <w:tc>
          <w:tcPr>
            <w:tcW w:type="dxa" w:w="3744"/>
            <w:shd w:fill="F1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Порядок передачи и правовое основание</w:t>
            </w:r>
          </w:p>
        </w:tc>
      </w:tr>
      <w:tr>
        <w:tc>
          <w:tcPr>
            <w:tcW w:type="dxa" w:w="345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Исходный код ядра OmniSMM 1.0, БД, алгоритмы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100% Создателю платформы</w:t>
            </w:r>
          </w:p>
        </w:tc>
        <w:tc>
          <w:tcPr>
            <w:tcW w:type="dxa" w:w="3744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Исключительная неотчуждаемая интеллектуальная собственность автора. Не передается.</w:t>
            </w:r>
          </w:p>
        </w:tc>
      </w:tr>
      <w:tr>
        <w:tc>
          <w:tcPr>
            <w:tcW w:type="dxa" w:w="345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Плата за подключение (1 000 000 ₽)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Создателю платформы</w:t>
            </w:r>
          </w:p>
        </w:tc>
        <w:tc>
          <w:tcPr>
            <w:tcW w:type="dxa" w:w="3744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Невозвратное вознаграждение за готовую IT-разработку и запуск под ключ.</w:t>
            </w:r>
          </w:p>
        </w:tc>
      </w:tr>
      <w:tr>
        <w:tc>
          <w:tcPr>
            <w:tcW w:type="dxa" w:w="345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Неизрасходованный рекламный бюджет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Инвестору (в полном объеме)</w:t>
            </w:r>
          </w:p>
        </w:tc>
        <w:tc>
          <w:tcPr>
            <w:tcW w:type="dxa" w:w="3744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Целевой остаток выводится с расчетного счета Инвестору в течение 10 банковских дней.</w:t>
            </w:r>
          </w:p>
        </w:tc>
      </w:tr>
      <w:tr>
        <w:tc>
          <w:tcPr>
            <w:tcW w:type="dxa" w:w="345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Остаток депозита у оптовых поставщиков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Инвестору (за вычетом заказов)</w:t>
            </w:r>
          </w:p>
        </w:tc>
        <w:tc>
          <w:tcPr>
            <w:tcW w:type="dxa" w:w="3744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Возвращается Инвестору после завершения всех принятых клиентских заказов (до 14 дней).</w:t>
            </w:r>
          </w:p>
        </w:tc>
      </w:tr>
      <w:tr>
        <w:tc>
          <w:tcPr>
            <w:tcW w:type="dxa" w:w="345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Доменное имя, сайт и база клиентов витрины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Создателю платформы</w:t>
            </w:r>
          </w:p>
        </w:tc>
        <w:tc>
          <w:tcPr>
            <w:tcW w:type="dxa" w:w="3744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Инфраструктура витрины переходит Создателю для автономного коммерческого ведения.</w:t>
            </w:r>
          </w:p>
        </w:tc>
      </w:tr>
      <w:tr>
        <w:tc>
          <w:tcPr>
            <w:tcW w:type="dxa" w:w="345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Штатный оператор поддержки 24/7 (товарищ)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Остается в команде Создателя</w:t>
            </w:r>
          </w:p>
        </w:tc>
        <w:tc>
          <w:tcPr>
            <w:tcW w:type="dxa" w:w="3744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Сотрудник команды платформы. Переманивание Инвестором запрещено договором.</w:t>
            </w:r>
          </w:p>
        </w:tc>
      </w:tr>
    </w:tbl>
    <w:p>
      <w:pPr>
        <w:spacing w:before="240" w:after="80"/>
        <w:ind w:firstLine="0"/>
        <w:jc w:val="left"/>
      </w:pPr>
      <w:r>
        <w:rPr>
          <w:rFonts w:ascii="Times New Roman" w:hAnsi="Times New Roman"/>
          <w:b/>
          <w:color w:val="000000"/>
          <w:sz w:val="24"/>
        </w:rPr>
        <w:t>6. КАЛЕНДАРНЫЙ ПЛАН ВВОДА В ЭКСПЛУАТАЦИЮ (7 КАЛЕНДАРНЫХ ДНЕЙ)</w:t>
      </w:r>
    </w:p>
    <w:p>
      <w:pPr>
        <w:spacing w:before="0" w:after="100" w:line="288" w:lineRule="auto"/>
        <w:ind w:firstLine="708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• </w:t>
      </w:r>
      <w:r>
        <w:rPr>
          <w:rFonts w:ascii="Times New Roman" w:hAnsi="Times New Roman"/>
          <w:color w:val="000000"/>
          <w:sz w:val="22"/>
        </w:rPr>
        <w:t>День 1: Подписание соглашения, оплата подключения Создателю, подача заявки на открытие счета ИП.</w:t>
      </w:r>
    </w:p>
    <w:p>
      <w:pPr>
        <w:spacing w:before="0" w:after="100" w:line="288" w:lineRule="auto"/>
        <w:ind w:firstLine="708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• </w:t>
      </w:r>
      <w:r>
        <w:rPr>
          <w:rFonts w:ascii="Times New Roman" w:hAnsi="Times New Roman"/>
          <w:color w:val="000000"/>
          <w:sz w:val="22"/>
        </w:rPr>
        <w:t>Дни 2–3: Открытие расчетного счета, аренда VDS-сервера, настройка базы данных, SSL-сертификатов и доменного имени.</w:t>
      </w:r>
    </w:p>
    <w:p>
      <w:pPr>
        <w:spacing w:before="0" w:after="100" w:line="288" w:lineRule="auto"/>
        <w:ind w:firstLine="708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• </w:t>
      </w:r>
      <w:r>
        <w:rPr>
          <w:rFonts w:ascii="Times New Roman" w:hAnsi="Times New Roman"/>
          <w:color w:val="000000"/>
          <w:sz w:val="22"/>
        </w:rPr>
        <w:t>Дни 4–5: Подключение шлюзов оплаты картами и СБП, регистрация онлайн-кассы по 54-ФЗ, прохождение модерации.</w:t>
      </w:r>
    </w:p>
    <w:p>
      <w:pPr>
        <w:spacing w:before="0" w:after="100" w:line="288" w:lineRule="auto"/>
        <w:ind w:firstLine="708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• </w:t>
      </w:r>
      <w:r>
        <w:rPr>
          <w:rFonts w:ascii="Times New Roman" w:hAnsi="Times New Roman"/>
          <w:color w:val="000000"/>
          <w:sz w:val="22"/>
        </w:rPr>
        <w:t>День 6: Тестовые контрольные заказы, проверка автоматического исполнения через шлюзы и проверка тикет-системы.</w:t>
      </w:r>
    </w:p>
    <w:p>
      <w:pPr>
        <w:spacing w:before="0" w:after="100" w:line="288" w:lineRule="auto"/>
        <w:ind w:firstLine="708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• </w:t>
      </w:r>
      <w:r>
        <w:rPr>
          <w:rFonts w:ascii="Times New Roman" w:hAnsi="Times New Roman"/>
          <w:color w:val="000000"/>
          <w:sz w:val="22"/>
        </w:rPr>
        <w:t>День 7: Запуск рекламных кампаний в Яндексе и Telegram — прием первых розничных клиентов.</w:t>
      </w:r>
    </w:p>
    <w:p>
      <w:pPr>
        <w:spacing w:before="240" w:after="80"/>
        <w:ind w:firstLine="0"/>
        <w:jc w:val="left"/>
      </w:pPr>
      <w:r>
        <w:rPr>
          <w:rFonts w:ascii="Times New Roman" w:hAnsi="Times New Roman"/>
          <w:b/>
          <w:color w:val="000000"/>
          <w:sz w:val="24"/>
        </w:rPr>
        <w:t>7. АДРЕСА, РЕКВИЗИТЫ И ПОДПИСИ СТОРОН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none"/>
          <w:right w:val="none"/>
          <w:insideH w:val="single" w:sz="4" w:space="0" w:color="000000"/>
          <w:insideV w:val="none"/>
        </w:tblBorders>
      </w:tblPr>
      <w:tblGrid>
        <w:gridCol w:w="4637"/>
        <w:gridCol w:w="4637"/>
      </w:tblGrid>
      <w:tr>
        <w:tc>
          <w:tcPr>
            <w:tcW w:type="dxa" w:w="4824"/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СОЗДАТЕЛЬ И ПРАВООБЛАДАТЕЛЬ:</w:t>
              <w:br/>
            </w:r>
          </w:p>
        </w:tc>
        <w:tc>
          <w:tcPr>
            <w:tcW w:type="dxa" w:w="4824"/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ИНВЕСТОР (ФИНАНСОВЫЙ ПАРТНЕР):</w:t>
              <w:br/>
            </w:r>
          </w:p>
        </w:tc>
      </w:tr>
      <w:tr>
        <w:tc>
          <w:tcPr>
            <w:tcW w:type="dxa" w:w="4824"/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Индивидуальный предприниматель</w:t>
              <w:br/>
              <w:t>ФИО: _____________________________________</w:t>
              <w:br/>
              <w:t>ОГРНИП: __________________________________</w:t>
              <w:br/>
              <w:t>ИНН: _____________________________________</w:t>
              <w:br/>
              <w:t>Расчетный счет: __________________________</w:t>
              <w:br/>
              <w:t>Банк: ____________________________________</w:t>
              <w:br/>
              <w:br/>
              <w:t>Подпись: ________________ / ____________ /</w:t>
              <w:br/>
              <w:t>М.П.</w:t>
            </w:r>
          </w:p>
        </w:tc>
        <w:tc>
          <w:tcPr>
            <w:tcW w:type="dxa" w:w="4824"/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Индивидуальный предприниматель / Физ. лицо</w:t>
              <w:br/>
              <w:t>ФИО: _____________________________________</w:t>
              <w:br/>
              <w:t>ИНН: _____________________________________</w:t>
              <w:br/>
              <w:t>Паспортные данные: _______________________</w:t>
              <w:br/>
              <w:t>Выдан: ___________________________________</w:t>
              <w:br/>
              <w:t>Контактный телефон: ______________________</w:t>
              <w:br/>
              <w:br/>
              <w:t>Подпись: ________________ / ____________ /</w:t>
              <w:br/>
              <w:t>Дата: «___» ________________ 2026 г.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1138" w:right="936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646464"/>
        <w:sz w:val="17"/>
      </w:rPr>
      <w:t>Конфиденциально — Партнерский инвестиционный документ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color w:val="646464"/>
        <w:sz w:val="17"/>
      </w:rPr>
      <w:t>ИНВЕСТИЦИОННОЕ СОГЛАШЕНИЕ И ПЛАН ЗАПУСКА | OMNISMM 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