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600" w:after="20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ПЛАТФОРМА АВТОМАТИЗАЦИИ МАРКЕТИНГА В СОЦИАЛЬНЫХ СЕТЯХ SMMPLAN</w:t>
      </w:r>
    </w:p>
    <w:p>
      <w:pPr>
        <w:spacing w:line="360" w:lineRule="auto" w:before="0" w:after="120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НАПРАВЛЕНИЕ СТРАТЕГИЧЕСКОГО РАЗВИТИЯ И ВЫВОДА ПРОДУКТА НА РЫНОК</w:t>
      </w:r>
    </w:p>
    <w:p>
      <w:pPr>
        <w:spacing w:line="360" w:lineRule="auto" w:before="400" w:after="20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СТРАТЕГИЧЕСКИЙ И ОПЕРАЦИОННЫЙ ПЛАН ВЫВОДА НА РЫНОК И ХОЛОДНОГО ПУСКА (COLD START)</w:t>
      </w:r>
    </w:p>
    <w:p>
      <w:pPr>
        <w:spacing w:line="360" w:lineRule="auto" w:before="0" w:after="40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ДЕТАЛЬНАЯ КАРТОГРАФИЯ УСЛУГ, ПЛОЩАДОК РАЗМЕЩЕНИЯ И КОНТЕНТНЫХ СЦЕНАРИЕВ ДЛЯ ПРИВЛЕЧЕНИЯ ПЕРВЫХ КЛИЕНТОВ</w:t>
      </w:r>
    </w:p>
    <w:p>
      <w:pPr>
        <w:spacing w:line="360" w:lineRule="auto" w:before="0" w:after="2400"/>
        <w:ind w:firstLine="0"/>
        <w:jc w:val="center"/>
      </w:pPr>
      <w:r>
        <w:rPr>
          <w:rFonts w:ascii="Times New Roman" w:hAnsi="Times New Roman"/>
          <w:b w:val="0"/>
          <w:i/>
          <w:color w:val="000000"/>
          <w:sz w:val="28"/>
        </w:rPr>
        <w:t>(Разработано для этапа Pre-revenue с опорой на эмпирические данные анализа 1,95 млн рыночных транзакций и опыт конкурентов)</w:t>
      </w:r>
    </w:p>
    <w:p>
      <w:pPr>
        <w:spacing w:line="360" w:lineRule="auto" w:before="160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Москва, 2026 год</w:t>
      </w:r>
    </w:p>
    <w:p>
      <w:r>
        <w:br w:type="page"/>
      </w:r>
    </w:p>
    <w:p>
      <w:pPr>
        <w:keepNext/>
        <w:spacing w:line="360" w:lineRule="auto" w:before="280" w:after="12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1. Исходная ситуация платформы и цели холодного пуска</w:t>
      </w:r>
    </w:p>
    <w:p>
      <w:pPr>
        <w:keepNext/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1.1. Статус проекта: этап вывода на рынок (Pre-revenue)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Платформа SMMplan (домены smmplan.pro и обслуживаемые витрины на ядре OmniSMM 1.0) находится на предстартовом этапе (Pre-revenue). На текущий момент у проекта отсутствует регулярная коммерческая выручка, сформированная клиентская база и наработанный входящий поисковый трафик.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Технологическая часть платформы полностью развернута: реализована современная архитектура (Next.js 16, React 19, Prisma 5), подключены проверенные поставщики услуг с автоматическим исполнением, внедрены защитные механизмы Drip-Feed и фискализация по стандарту 54-ФЗ. Таким образом, технологический барьер преодолен, и ключевым фактором успеха становится решение проблемы «холодного пуска» (Cold Start) — привлечение первых 100, 500 и 1 000 платящих клиентов в условиях строго ограниченного стартового бюджета.</w:t>
      </w:r>
    </w:p>
    <w:p>
      <w:pPr>
        <w:keepNext/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1.2. Рыночный бенчмаркинг: потенциал ниши на основе анализа ERP-данных конкурентов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оценки емкости рынка и выбора оптимальной модели продвижения был выполнен глубокий анализ массива реальных данных конкурентов из ERP-системы (1 948 563 заказа и 964 тыс. финансовых операций, включая 83 рекламные кампании лидера ниши PrimeLike). Рыночные ориентиры представлены в таблице 1.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i/>
          <w:color w:val="000000"/>
          <w:sz w:val="28"/>
        </w:rPr>
        <w:t>Таблица 1 — Ключевые метрики сформированного рынка SMM-панелей (по данным ERP-анализа)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4819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Параметр рынка / Бенчмарк</w:t>
            </w:r>
          </w:p>
        </w:tc>
        <w:tc>
          <w:tcPr>
            <w:tcW w:type="dxa" w:w="2551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Значение у лидера рынка</w:t>
            </w:r>
          </w:p>
        </w:tc>
        <w:tc>
          <w:tcPr>
            <w:tcW w:type="dxa" w:w="1984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Значение для SMMplan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Ежемесячный объем выручки зрелой панели, руб.</w:t>
            </w:r>
          </w:p>
        </w:tc>
        <w:tc>
          <w:tcPr>
            <w:tcW w:type="dxa" w:w="255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4,5 – 6,3 млн</w:t>
            </w:r>
          </w:p>
        </w:tc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Целевой ориентир (к 12 мес.)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Средний чек одной завершенной покупки (AOV), руб.</w:t>
            </w:r>
          </w:p>
        </w:tc>
        <w:tc>
          <w:tcPr>
            <w:tcW w:type="dxa" w:w="255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68 – 74</w:t>
            </w:r>
          </w:p>
        </w:tc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Плановый: 70 руб.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Средняя пожизненная ценность клиента (LTV), руб.</w:t>
            </w:r>
          </w:p>
        </w:tc>
        <w:tc>
          <w:tcPr>
            <w:tcW w:type="dxa" w:w="255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400,31</w:t>
            </w:r>
          </w:p>
        </w:tc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Плановый: 250–350 руб.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Доля повторных покупателей в базе, %</w:t>
            </w:r>
          </w:p>
        </w:tc>
        <w:tc>
          <w:tcPr>
            <w:tcW w:type="dxa" w:w="255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51,0%</w:t>
            </w:r>
          </w:p>
        </w:tc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Целевой порог: не менее 50%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Конверсия из визита в регистрацию (лендинг), %</w:t>
            </w:r>
          </w:p>
        </w:tc>
        <w:tc>
          <w:tcPr>
            <w:tcW w:type="dxa" w:w="255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12 – 16%</w:t>
            </w:r>
          </w:p>
        </w:tc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Целевой ориентир: 15%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Стоимость привлечения клиента в SEO (CAC), руб.</w:t>
            </w:r>
          </w:p>
        </w:tc>
        <w:tc>
          <w:tcPr>
            <w:tcW w:type="dxa" w:w="255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8,44</w:t>
            </w:r>
          </w:p>
        </w:tc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Предельный ориентир: ≤ 20 руб.</w:t>
            </w:r>
          </w:p>
        </w:tc>
      </w:tr>
    </w:tbl>
    <w:p>
      <w:pPr>
        <w:keepNext/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1.3. Стратегическая задача холодного пуска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Главный вывод из анализа рынка: лидирующий конкурент достиг оборота в 70,7 млн рублей исключительно за счет поискового трафика Яндекса, сгенерированного 83 статьями-листиклами на внешних медиаресурсах. У него нет высокобюджетной медийной рекламы или огромного штата маркетологов.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Задача SMMplan на этапе 0 руб. выручки — не повторять затратные ошибки масштабирования, а реализовать бережливую (Lean) стратегию запуска: получить первые заказы через бесплатные и микро-бюджетные каналы, обкатать конверсию сайта и воронку удержания, после чего реинвестировать 100% первой поступающей прибыли в расширение присутствия в поисковой выдаче.</w:t>
      </w:r>
    </w:p>
    <w:p>
      <w:pPr>
        <w:keepNext/>
        <w:spacing w:line="360" w:lineRule="auto" w:before="280" w:after="12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2. Целевые ориентиры этапов запуска платформы</w:t>
      </w:r>
    </w:p>
    <w:p>
      <w:pPr>
        <w:keepNext/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2.1. Фазовый переход от 0 к регулярной выручке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Процесс вывода платформы на окупаемость разделен на четыре последовательные фазы, каждая из которых имеет четкий критерий перехода: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Фаза 0: «Первые 100 клиентов» (Недели 1–4). Фокус: бесплатные статьи, форумы вебмастеров, ручные посевы, тестирование воронки без крупных затрат. Цель — первые 30 000 руб. оборота;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Фаза 1: «Точка безубыточности» (Месяцы 2–3). Фокус: ретрофиттинг первых 2–3 индексированных статей, запуск партнерской программы, реинвестирование маржи. Цель — выход на 150 000 руб./мес.;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Фаза 2: «Разгон маховика» (Месяцы 4–6). Фокус: планомерный выпуск листиклов по проверенным темам (YouTube, Telegram), работа с оптовиками. Цель — 500 000 – 1 000 000 руб./мес.;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Фаза 3: «Масштабирование» (Месяцы 7–12). Фокус: ретаргетинг, White Label, автоматизация. Цель — от 3 000 000 руб./мес.</w:t>
      </w:r>
    </w:p>
    <w:p>
      <w:pPr>
        <w:keepNext/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2.2. Контрольные показатели поэтапного роста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таблице 2 зафиксированы плановые контрольные точки развития сервиса от нулевого базиса до устойчивой операционной прибыли.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i/>
          <w:color w:val="000000"/>
          <w:sz w:val="28"/>
        </w:rPr>
        <w:t>Таблица 2 — Контрольные точки перехода платформы от 0 до масштабирования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/>
          <w:cantSplit/>
        </w:trPr>
        <w:tc>
          <w:tcPr>
            <w:tcW w:type="dxa" w:w="2551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Метрика</w:t>
            </w:r>
          </w:p>
        </w:tc>
        <w:tc>
          <w:tcPr>
            <w:tcW w:type="dxa" w:w="1701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Старт (Фаза 0)</w:t>
            </w:r>
          </w:p>
        </w:tc>
        <w:tc>
          <w:tcPr>
            <w:tcW w:type="dxa" w:w="1701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Месяц 3 (Фаза 1)</w:t>
            </w:r>
          </w:p>
        </w:tc>
        <w:tc>
          <w:tcPr>
            <w:tcW w:type="dxa" w:w="1701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Месяц 6 (Фаза 2)</w:t>
            </w:r>
          </w:p>
        </w:tc>
        <w:tc>
          <w:tcPr>
            <w:tcW w:type="dxa" w:w="1701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Месяц 12 (Фаза 3)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Ежемесячная выручка, руб.</w:t>
            </w:r>
          </w:p>
        </w:tc>
        <w:tc>
          <w:tcPr>
            <w:tcW w:type="dxa" w:w="170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0</w:t>
            </w:r>
          </w:p>
        </w:tc>
        <w:tc>
          <w:tcPr>
            <w:tcW w:type="dxa" w:w="170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150 000</w:t>
            </w:r>
          </w:p>
        </w:tc>
        <w:tc>
          <w:tcPr>
            <w:tcW w:type="dxa" w:w="170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800 000</w:t>
            </w:r>
          </w:p>
        </w:tc>
        <w:tc>
          <w:tcPr>
            <w:tcW w:type="dxa" w:w="170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3 000 000 – 6 000 000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Платящих клиентов в месяц, чел.</w:t>
            </w:r>
          </w:p>
        </w:tc>
        <w:tc>
          <w:tcPr>
            <w:tcW w:type="dxa" w:w="170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0</w:t>
            </w:r>
          </w:p>
        </w:tc>
        <w:tc>
          <w:tcPr>
            <w:tcW w:type="dxa" w:w="170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400</w:t>
            </w:r>
          </w:p>
        </w:tc>
        <w:tc>
          <w:tcPr>
            <w:tcW w:type="dxa" w:w="170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1 800</w:t>
            </w:r>
          </w:p>
        </w:tc>
        <w:tc>
          <w:tcPr>
            <w:tcW w:type="dxa" w:w="170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8 000 – 15 000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Новых регистраций в месяц, чел.</w:t>
            </w:r>
          </w:p>
        </w:tc>
        <w:tc>
          <w:tcPr>
            <w:tcW w:type="dxa" w:w="170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0 – 50</w:t>
            </w:r>
          </w:p>
        </w:tc>
        <w:tc>
          <w:tcPr>
            <w:tcW w:type="dxa" w:w="170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800</w:t>
            </w:r>
          </w:p>
        </w:tc>
        <w:tc>
          <w:tcPr>
            <w:tcW w:type="dxa" w:w="170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3 500</w:t>
            </w:r>
          </w:p>
        </w:tc>
        <w:tc>
          <w:tcPr>
            <w:tcW w:type="dxa" w:w="170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12 000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Заказов в месяц, шт.</w:t>
            </w:r>
          </w:p>
        </w:tc>
        <w:tc>
          <w:tcPr>
            <w:tcW w:type="dxa" w:w="170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0</w:t>
            </w:r>
          </w:p>
        </w:tc>
        <w:tc>
          <w:tcPr>
            <w:tcW w:type="dxa" w:w="170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1 500</w:t>
            </w:r>
          </w:p>
        </w:tc>
        <w:tc>
          <w:tcPr>
            <w:tcW w:type="dxa" w:w="170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8 500</w:t>
            </w:r>
          </w:p>
        </w:tc>
        <w:tc>
          <w:tcPr>
            <w:tcW w:type="dxa" w:w="170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50 000+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Удержание клиентов M1 Retention, %</w:t>
            </w:r>
          </w:p>
        </w:tc>
        <w:tc>
          <w:tcPr>
            <w:tcW w:type="dxa" w:w="170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Тест</w:t>
            </w:r>
          </w:p>
        </w:tc>
        <w:tc>
          <w:tcPr>
            <w:tcW w:type="dxa" w:w="170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6,0%</w:t>
            </w:r>
          </w:p>
        </w:tc>
        <w:tc>
          <w:tcPr>
            <w:tcW w:type="dxa" w:w="170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8,0%</w:t>
            </w:r>
          </w:p>
        </w:tc>
        <w:tc>
          <w:tcPr>
            <w:tcW w:type="dxa" w:w="170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10,0%</w:t>
            </w:r>
          </w:p>
        </w:tc>
      </w:tr>
    </w:tbl>
    <w:p>
      <w:pPr>
        <w:keepNext/>
        <w:spacing w:line="360" w:lineRule="auto" w:before="280" w:after="12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3. Детальная спецификация услуг: что конкретно продает платформа</w:t>
      </w:r>
    </w:p>
    <w:p>
      <w:pPr>
        <w:keepNext/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3.1. Эмпирические приоритеты категорий по данным рыночного анализа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 старте при нулевом бюджете категорически запрещается распылять маркетинговые усилия на всю широкую линейку каталога. Анализ массива транзакций выявил четкую сегментацию отдачи: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Направление YouTube обеспечивает наибольший прирост выручки (+20,5%) и привлекает клиентов с чеком, превышающим средний по рынку в 2,5 раза;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Направление Telegram демонстрирует максимальную частоту повторных покупок (+11,6% к выручке) и обеспечивает удержание;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Направление ВКонтакте формирует массовый недорогой поток заказов (+5,1% выручки, +9,2% заказов);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Направление TikTok показывает отрицательную динамику (-16,1% выручки) и подлежит полному исключению из маркетинговых расходов.</w:t>
      </w:r>
    </w:p>
    <w:p>
      <w:pPr>
        <w:keepNext/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3.2. Детальная расшифровка спроса в категории YouTube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сегменте YouTube пользователи приобретают конкретные технологические типы услуг, ориентированные на решение конкретных задач автора контента: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1. Просмотры коротких видео (YouTube Shorts Views). Высокоскоростные просмотры с быстрым зачислением в первые 1–3 часа после публикации видео. Цель закупки — пробитие порога алгоритма и вывод ролика в ленту рекомендаций Shorts. Характеризуются низкой себестоимостью и массовым спросом (пакеты от 1 000 до 50 000 просмотров).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 Просмотры длинных видео с высоким удержанием (High Retention Long-Form Views). Видео просматривается ботами/офферами на протяжении от 3 до 10+ минут с естественным распределением глубины просмотра. Это критически важно для алгоритма ранжирования YouTube: удержание свыше 50% хронометража поднимает видео в поисковой выдаче видеохостинга и блоке «Следующее».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3. Часы просмотров для монетизации (Watch Time Hours). Самый высокомаржинальный пакет в каталоге (чек от 1 500 до 5 000 рублей). Автору канала требуется набрать 4 000 часов просмотров за последние 12 месяцев для подключения официальной партнерской программы YouTube (YPP). Платформа предоставляет специализированные просмотры длинных часовых стримов с 100% удержанием.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4. Подписчики YouTube (Subscribers). Услуга с гарантией от списаний (Refill 30 дней) для набора порога в 1 000 подписчиков (второе требование монетизации YPP) и создания социального доказательства.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5. Лайки и тематические комментарии. Инструмент балансировки активности (нормальное соотношение для алгоритма: 1 лайк на 15–25 просмотров). Комментарии пишутся по теме видео на русском языке реальными профилями.</w:t>
      </w:r>
    </w:p>
    <w:p>
      <w:pPr>
        <w:keepNext/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3.3. Детальная расшифровка спроса в категории Telegram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экосистеме Telegram спрос формируется преимущественно владельцами коммерческих и контентных каналов со следующей структурой: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1. Подписчики каналов и групп (Channel Members). Подразделяются на офферных (дешевые аккаунты для формирования первичной видимой массы перед стартом официальной рекламы) и живых подписчиков из РФ и стран СНГ.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 Просмотры постов (Post Views). Разовое начисление просмотров на конкретные публикации. Критически востребовано администраторами каналов перед продажей рекламных мест на биржах (Telega.in, биржи в Telegram) для удержания видимого коэффициента вовлеченности (ERR) на уровне 20–30%.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3. Подписка на автоматические просмотры будущих постов (Auto-Views Subscription). Ключевой источник регулярной абонентской выручки (LTV). Пользователь оплачивает пакет, и сервер платформы через вебхуки отслеживает выход новых публикаций, автоматически запуская плавное начисление просмотров в течение 5–15 минут после публикации каждого нового поста на протяжении 30 дней.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4. Реакции и эмодзи (Reactions). Начисление позитивных реакций (огонек, большой палец вверх, сердце). Исключает подозрение рекламодателей в накрутке: «голые» посты с просмотрами без реакций вызывают недоверие.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5. Голоса в опросах и бусты каналов (Telegram Boosts). Бусты требуются каналам для получения уровней и открытия функционала публикации Историй (Stories) от имени канала.</w:t>
      </w:r>
    </w:p>
    <w:p>
      <w:pPr>
        <w:keepNext/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3.4. Детальная расшифровка спроса в категории ВКонтакте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1. Подписчики в сообщества и паблики. Продвижение групп локального малого бизнеса (салоны красоты, автосервисы, интернет-магазины) в поисковой выдаче внутри ВКонтакте по ключевым словам ниши и города.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 Прослушивания музыкальных плейлистов (Music Streams). Услуга для начинающих музыкантов и лейблов: накрутка прослушиваний треков для попадания в чарты сообществ и алгоритмический плейлист «Новинки».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3. Лайки, репосты и комментарии на конкурсные посты. Накрутка активности под конкурсными публикациями для расширения вирального охвата.</w:t>
      </w:r>
    </w:p>
    <w:p>
      <w:pPr>
        <w:keepNext/>
        <w:spacing w:line="360" w:lineRule="auto" w:before="280" w:after="12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4. Картография площадок: где конкретно размещать материалы</w:t>
      </w:r>
    </w:p>
    <w:p>
      <w:pPr>
        <w:keepNext/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4.1. Аналитическая платформа vc.ru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Целевые подразделы (подсайты): «Маркетинг» (vc.ru/marketing), «Личный опыт» (vc.ru/claim), «Трафик» (vc.ru/traffic);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Аудитория: маркетологи, владельцы онлайн-бизнеса, арбитражники, специалисты по продвижению;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Регламент публикации: бесплатное размещение авторских материалов (UGC). Строгий запрет на топорную рекламу «в лоб». Материал обязан оформляться как личный опыт, практическое исследование или аналитический обзор с реальными цифрами и графиками;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Механизм конверсии: в тексте статьи дается разбор сервисов или методов, где SMMplan фигурирует в качестве проверенного рабочего инструмента с указанием ссылки и персонального промокода.</w:t>
      </w:r>
    </w:p>
    <w:p>
      <w:pPr>
        <w:keepNext/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4.2. Игровое и медийное сообщество DTF.ru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Целевые подразделы: «Блоги» (dtf.ru/s/blog), «Медиа и стриминг» (dtf.ru/s/media);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Аудитория: начинающие стримеры, видеоблогеры, контент-мейкеры, авторы каналов о гейминге и поп-культуре;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Регламент: публикация практических гайдов по оформлению и первичному развитию стриминговых и видеоканалов («Как подготовить канал к партнерке», «Ошибки новичков при раскрутке стримов»);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Механизм конверсии: нативная интеграция SMMplan в чек-лист подготовки канала.</w:t>
      </w:r>
    </w:p>
    <w:p>
      <w:pPr>
        <w:keepNext/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4.3. Профессиональные форумы вебмастеров и манимейкеров (0 рублей бюджета)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 специализированных форумах сосредоточены профессиональные оптовые закупщики услуг и владельцы сеток каналов. Размещение в коммерческих разделах дает целевые продажи со старта: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1. Форум Zelenka Guru (Lolzteam) — подраздел «Торговля / Соцсети / Накрутка». Крупнейшая концентрация молодежной аудитории и реселлеров. Создается официальная ветка с закреплением и акцией «Раздаем баланс за отзыв».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 Форум Maultalk (Маул) — подраздел «Продвижение сайтов и сообществ в социальных сетях (SMO/SMM)». Традиционная площадка вебмастеров и агентств старой школы.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3. Форум Zennolab — подраздел «Реклама услуг и шаблонов для социальных сетей». Аудитория разработчиков автоматизированных систем и скриптов.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4. Форум Searchengines.guru — подраздел «Социальные сети». Постоянная профессиональная аудитория специалистов по SEO и интернет-маркетингу.</w:t>
      </w:r>
    </w:p>
    <w:p>
      <w:pPr>
        <w:keepNext/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4.4. Сообщества и чаты администраторов в Telegram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Партизанское присутствие в открытых профессиональных чатах администраторов каналов и бирж рекламы: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Чаты бирж: официальные и неофициальные чаты площадки Telega.in, чаты биржи Telderi, чаты купли-продажи Telegram-каналов;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Чаты авторов: чаты «Ютуберы РФ», «Чат администраторов TG», «Арбитраж трафика и SMM»;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Механика работы: мониторинг вопросов участников («Где безопасно накрутить просмотры?», «Посоветуйте панель без списаний») и точечные экспертные ответы с предложением протестировать платформу SMMplan с бесплатным балансом 25 рублей.</w:t>
      </w:r>
    </w:p>
    <w:p>
      <w:pPr>
        <w:keepNext/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4.5. Собственная база знаний платформы (smmplan.pro/knowledge)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Размещение глубоких экспертных руководств на собственном домене, размеченных структурированными данными Schema.org (Article + FAQPage). Цель — захват поисковых сниппетов и цитирование в нейропоиске Яндекса («Яндекс Нейро»).</w:t>
      </w:r>
    </w:p>
    <w:p>
      <w:pPr>
        <w:keepNext/>
        <w:spacing w:line="360" w:lineRule="auto" w:before="280" w:after="12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5. Контентные сценарии: что конкретно публиковать на площадках</w:t>
      </w:r>
    </w:p>
    <w:p>
      <w:pPr>
        <w:keepNext/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5.1. Сценарий № 1: Статья-исследование на vc.ru (YouTube-направление)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Заголовок: «Как алгоритмы YouTube ранжируют Shorts в 2026–2027 годах: тест 5 способов удержания и просмотров»;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Вводная часть: разбор проблемы падения органических охватов у новых авторов. Описание работы двухэтапного алгоритма YouTube (тестовая выборка в 100 показов → проверка удержания → масштабирование в ленту);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Экспериментальная часть: создание 3 тестовых каналов. Сравнение результатов: органический постинг (0 показов), закупка некачественных ботов со списаниями (пессимизация), использование режима плавного начисления (Drip-Feed) с высоким удержанием;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Интеграция сервиса: демонстрация панели SMMplan как инструмента, обеспечившего корректное удержание без списаний. Скриншоты графика роста из YouTube Analytics;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Оффер: «Для читателей статьи команда SMMplan открыла промокод YT2027 на скидку 10% и бесплатный тест при входе через бота».</w:t>
      </w:r>
    </w:p>
    <w:p>
      <w:pPr>
        <w:keepNext/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5.2. Сценарий № 2: Практический гайд на DTF.ru (Telegram-направление)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Заголовок: «Анатомия Telegram-канала: пошаговый чек-лист подготовки к продаже рекламы в 2027 году»;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Проблема: рекламодатели на биржах не покупают посты в каналах с низкой вовлеченностью или резкими просадками просмотров;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Разбор метрик: как рассчитывается ERR (отношение охвата поста к числу подписчиков), почему соотношение должно составлять 20–30%, как алгоритм биржи определяет накрутку;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Решение: правильное выстраивание профиля канала. Органический контент + поддержание плавных автопросмотров и реакций на каждом новом посте через SMMplan;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Оффер: ссылка на каталог SMMplan с промокодом TG2027.</w:t>
      </w:r>
    </w:p>
    <w:p>
      <w:pPr>
        <w:keepNext/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5.3. Сценарий № 3: Презентационная тема для форумов вебмастеров (Zelenka, Maultalk)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Структура темы на форуме: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Заголовок: «[SMMplan.pro] Автоматическая SMM-панель: YouTube, Telegram, VK по прямым ценам поставщиков. Моментальный старт, Drip-Feed, API. Раздаем баланс за отзыв!»;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Первый блок: «Приветствуем форумчан! Представляем сервис автоматического продвижения SMMplan. Работаем напрямую со шлюзами поставщиков без посредников»;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Преимущества списком: мгновенный старт заказов (до 60 секунд), гарантия Refill 30 дней, честная цена за 1 шт. в рублях, открытый REST API v2 для реселлеров;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Прайс-лист: наглядная таблица ключевых услуг (YouTube Shorts от 0,09 руб., Telegram просмотры от 0,04 руб., подписчики от 0,70 руб.);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Акция: «Первым 20 пользователям форума с регистрацией от 3 месяцев начислим по 50 рублей на баланс за объективный отзыв в теме. Пишите логин под хайд или в Telegram!».</w:t>
      </w:r>
    </w:p>
    <w:p>
      <w:pPr>
        <w:keepNext/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5.4. Сценарий № 4: Экспертная пиллар-статья в базе знаний сайта (AEO-оптимизация)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URL размещения: smmplan.pro/knowledge/kak-nabrat-4000-chasov-youtube;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Заголовок: «Как набрать 4 000 часов просмотров на YouTube для монетизации: полное руководство 2027 года»;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Структура: пошаговое руководство от подготовки длинных видеороликов (подкасты, стримы, фоновая музыка) до безопасного ускорения через сервисы удержания;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Обязательный блок FAQ с аккордеонами Schema.org: «Сколько времени проверяются часы монетизации?», «Списываются ли часы со стримов?», «Как избежать бана при закупке часов?». Ответы оптимизированы под выдачу ответов искусственным интеллектом «Яндекс Нейро».</w:t>
      </w:r>
    </w:p>
    <w:p>
      <w:pPr>
        <w:keepNext/>
        <w:spacing w:line="360" w:lineRule="auto" w:before="280" w:after="12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6. Программа действий «Холодный пуск: Первые 100 заказов» (Фаза 0)</w:t>
      </w:r>
    </w:p>
    <w:p>
      <w:pPr>
        <w:keepNext/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6.1. Механика «Тестовый баланс» для снятия барьера недоверия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Главная проблема нового сервиса с нулевой известностью — страх пользователя потерять деньги. Пока у сайта нет отзывов, пользователи боятся вносить даже 100–300 рублей.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гарантированного пробития барьера вводится механика верифицированного теста: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Каждому новому пользователю при подтверждении через Telegram-бота начисляется приветственный неснимаемый бонус 15–25 рублей;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Этой суммы достаточно, чтобы заказать 100 просмотров YouTube или 20 реакций Telegram и лично убедиться в моментальной скорости и работоспособности сервиса;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Расход на 100 тестовых пользователей составит всего 1 500 – 2 500 рублей себестоимости у поставщика, но конверсия протестировавших в реальное первое пополнение превышает 35%.</w:t>
      </w:r>
    </w:p>
    <w:p>
      <w:pPr>
        <w:keepNext/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6.2. Порядок реинвестирования первой маржи в ретрофиттинг ТОП-1 выдачи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Ретрофиттинг — это выкуп первого места в уже проиндексированных статьях других авторов, стоящих в ТОП-3 Яндекса. Стоимость договоренности с автором составляет от 3 000 до 10 000 рублей.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Пошаговый регламент реализации: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Шаг 1. Через Яндекс ищутся запросы: site:vc.ru "накрутка просмотров ютуб" и site:dtf.ru "накрутка подписчиков телеграм";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Шаг 2. Отбираются 3 статьи, стоящие на позициях 1–3 Яндекса, где на первом месте стоит неактивный сервис или конкурент;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Шаг 3. Автору направляется предложение в личные сообщения: «Здравствуйте! Предлагаем 5 000 руб. за обновление статьи — поставить SMMplan на 1-е место с нашими тарифами и промокодом. Текст описания подготовим сами»;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Шаг 4. После оплаты и обновления статьи трафик из ТОП-1 Яндекса начинает поступать на SMMplan в тот же день без ожидания индексации.</w:t>
      </w:r>
    </w:p>
    <w:p>
      <w:pPr>
        <w:keepNext/>
        <w:spacing w:line="360" w:lineRule="auto" w:before="280" w:after="12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7. Воронка активации и удержания клиентов: защита от оттока</w:t>
      </w:r>
    </w:p>
    <w:p>
      <w:pPr>
        <w:keepNext/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7.1. Триггерная цепочка онбординга для конвертации регистраций в оплату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условиях нулевой выручки каждый зарегистрировавшийся пользователь имеет критическую ценность. Для недопущения ухода без покупки внедряется автоматическая триггерная цепочка: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Сообщение 1 (T + 15 мин после регистрации без заказа): «Добро пожаловать в SMMplan! Ваш приветственный промокод WELCOME50 начисляет +50 руб. к первому депозиту от 200 руб. Оформите первый заказ: [Ссылка]»;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Сообщение 2 (T + 24 часа при отсутствии пополнения): «Ваш аккаунт активирован. Начните с минимального теста: 1 000 просмотров YouTube стоят всего 90 рублей с запуском за 15 минут. Запустить тест: [Ссылка]»;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Сообщение 3 (T + 7 дней): «Персональная скидка 15% на любые услуги каталога по промокоду FIRST15. Срок действия — 48 часов».</w:t>
      </w:r>
    </w:p>
    <w:p>
      <w:pPr>
        <w:keepNext/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7.2. Стимулирование реферального органического роста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личном кабинете на видном месте размещается реферальная ссылка: каждый пользователь получает 5% от всех пополнений приглашенных им друзей на постоянной основе. Это позволяет расти за счет рекомендаций без прямых затрат на рекламу.</w:t>
      </w:r>
    </w:p>
    <w:p>
      <w:pPr>
        <w:keepNext/>
        <w:spacing w:line="360" w:lineRule="auto" w:before="280" w:after="12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8. Законодательное соответствие рекламных материалов</w:t>
      </w:r>
    </w:p>
    <w:p>
      <w:pPr>
        <w:keepNext/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8.1. Обязательная маркировка erid (Федеральный закон № 38-ФЗ)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Во избежание штрафов (до 500 000 руб. по ст. 18.1 ФЗ «О рекламе») все платные рекламные материалы регистрируются в ЕРИР через ОРД с получением уникального идентификатора erid. Токен указывается в теле ссылки либо в дисклеймере в подвале публикации.</w:t>
      </w:r>
    </w:p>
    <w:p>
      <w:pPr>
        <w:keepNext/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8.2. Разграничение рекламы и справочных материалов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Публикации в собственном блоге и на форумах в формате личного опыта и справочной информации не подлежат маркировке токеном erid, что позволяет развивать бесплатный контент без регуляторных издержек.</w:t>
      </w:r>
    </w:p>
    <w:p>
      <w:pPr>
        <w:keepNext/>
        <w:spacing w:line="360" w:lineRule="auto" w:before="280" w:after="12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9. Финансовый план холодного пуска: от 0 до самоокупаемости</w:t>
      </w:r>
    </w:p>
    <w:p>
      <w:pPr>
        <w:keepNext/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9.1. Бюджет холодного пуска (Фаза 0: Месяц 1)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таблице 4 представлена смета минимально необходимого стартового бюджета для запуска маховика продаж при нулевой выручке.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i/>
          <w:color w:val="000000"/>
          <w:sz w:val="28"/>
        </w:rPr>
        <w:t>Таблица 4 — Бюджет холодного пуска (Фаза 0: Месяц 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/>
          <w:cantSplit/>
        </w:trPr>
        <w:tc>
          <w:tcPr>
            <w:tcW w:type="dxa" w:w="3969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Мероприятие / Статья расходов</w:t>
            </w:r>
          </w:p>
        </w:tc>
        <w:tc>
          <w:tcPr>
            <w:tcW w:type="dxa" w:w="1984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Затраты, руб.</w:t>
            </w:r>
          </w:p>
        </w:tc>
        <w:tc>
          <w:tcPr>
            <w:tcW w:type="dxa" w:w="1984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Источник средств</w:t>
            </w:r>
          </w:p>
        </w:tc>
        <w:tc>
          <w:tcPr>
            <w:tcW w:type="dxa" w:w="1417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Форумный маркетинг (5 веток на форумах)</w:t>
            </w:r>
          </w:p>
        </w:tc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0</w:t>
            </w:r>
          </w:p>
        </w:tc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Собственные силы</w:t>
            </w:r>
          </w:p>
        </w:tc>
        <w:tc>
          <w:tcPr>
            <w:tcW w:type="dxa" w:w="1417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Первые 30–50 покупателей, отзывы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Подготовка 2 бесплатных UGC-статей (vc, DTF)</w:t>
            </w:r>
          </w:p>
        </w:tc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0</w:t>
            </w:r>
          </w:p>
        </w:tc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Собственные силы</w:t>
            </w:r>
          </w:p>
        </w:tc>
        <w:tc>
          <w:tcPr>
            <w:tcW w:type="dxa" w:w="1417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Первые переходы из поиска Яндекса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Фонд приветственных бонусов (тест-баланс)</w:t>
            </w:r>
          </w:p>
        </w:tc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3 000</w:t>
            </w:r>
          </w:p>
        </w:tc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Собственный капитал</w:t>
            </w:r>
          </w:p>
        </w:tc>
        <w:tc>
          <w:tcPr>
            <w:tcW w:type="dxa" w:w="1417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100–150 активированных тестеров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Ретрофиттинг 1 топовой статьи (YouTube)</w:t>
            </w:r>
          </w:p>
        </w:tc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7 000</w:t>
            </w:r>
          </w:p>
        </w:tc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Собственный капитал</w:t>
            </w:r>
          </w:p>
        </w:tc>
        <w:tc>
          <w:tcPr>
            <w:tcW w:type="dxa" w:w="1417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Мгновенный поток из ТОП-1 Яндекса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ИТОГО СТАРТОВЫЙ БЮДЖЕТ (ФАЗА 0)</w:t>
            </w:r>
          </w:p>
        </w:tc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10 000</w:t>
            </w:r>
          </w:p>
        </w:tc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Собственный капитал</w:t>
            </w:r>
          </w:p>
        </w:tc>
        <w:tc>
          <w:tcPr>
            <w:tcW w:type="dxa" w:w="1417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Первые 100–150 платящих клиентов</w:t>
            </w:r>
          </w:p>
        </w:tc>
      </w:tr>
    </w:tbl>
    <w:p>
      <w:pPr>
        <w:keepNext/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9.2. Прогноз перехода к самоокупаемости (Месяцы 1–4)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таблице 5 показана динамика перехода от собственных вложений к полному самофинансированию за счет реинвестирования маржи.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i/>
          <w:color w:val="000000"/>
          <w:sz w:val="28"/>
        </w:rPr>
        <w:t>Таблица 5 — Финансовая модель перехода на самоокупаемость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/>
          <w:cantSplit/>
        </w:trPr>
        <w:tc>
          <w:tcPr>
            <w:tcW w:type="dxa" w:w="1984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Период</w:t>
            </w:r>
          </w:p>
        </w:tc>
        <w:tc>
          <w:tcPr>
            <w:tcW w:type="dxa" w:w="1984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Внешние инвестиции</w:t>
            </w:r>
          </w:p>
        </w:tc>
        <w:tc>
          <w:tcPr>
            <w:tcW w:type="dxa" w:w="1984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Выручка от заказов</w:t>
            </w:r>
          </w:p>
        </w:tc>
        <w:tc>
          <w:tcPr>
            <w:tcW w:type="dxa" w:w="1701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Маржа (прибыль)</w:t>
            </w:r>
          </w:p>
        </w:tc>
        <w:tc>
          <w:tcPr>
            <w:tcW w:type="dxa" w:w="1701"/>
            <w:shd w:fill="F2F2F2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Статус самоокупаемости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Месяц 1 (Старт)</w:t>
            </w:r>
          </w:p>
        </w:tc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10 000 руб.</w:t>
            </w:r>
          </w:p>
        </w:tc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25 000 руб.</w:t>
            </w:r>
          </w:p>
        </w:tc>
        <w:tc>
          <w:tcPr>
            <w:tcW w:type="dxa" w:w="170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10 000 руб.</w:t>
            </w:r>
          </w:p>
        </w:tc>
        <w:tc>
          <w:tcPr>
            <w:tcW w:type="dxa" w:w="1701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Возврат стартовых затрат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Месяц 2 (Реинвест)</w:t>
            </w:r>
          </w:p>
        </w:tc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0 руб.</w:t>
            </w:r>
          </w:p>
        </w:tc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75 000 руб.</w:t>
            </w:r>
          </w:p>
        </w:tc>
        <w:tc>
          <w:tcPr>
            <w:tcW w:type="dxa" w:w="170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30 000 руб.</w:t>
            </w:r>
          </w:p>
        </w:tc>
        <w:tc>
          <w:tcPr>
            <w:tcW w:type="dxa" w:w="1701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Реинвестирование 100% в статьи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Месяц 3 (Разгон)</w:t>
            </w:r>
          </w:p>
        </w:tc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0 руб.</w:t>
            </w:r>
          </w:p>
        </w:tc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180 000 руб.</w:t>
            </w:r>
          </w:p>
        </w:tc>
        <w:tc>
          <w:tcPr>
            <w:tcW w:type="dxa" w:w="170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72 000 руб.</w:t>
            </w:r>
          </w:p>
        </w:tc>
        <w:tc>
          <w:tcPr>
            <w:tcW w:type="dxa" w:w="1701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Полная самоокупаемость, 2 статьи/мес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Месяц 4 (Рост)</w:t>
            </w:r>
          </w:p>
        </w:tc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0 руб.</w:t>
            </w:r>
          </w:p>
        </w:tc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350 000 руб.</w:t>
            </w:r>
          </w:p>
        </w:tc>
        <w:tc>
          <w:tcPr>
            <w:tcW w:type="dxa" w:w="170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140 000 руб.</w:t>
            </w:r>
          </w:p>
        </w:tc>
        <w:tc>
          <w:tcPr>
            <w:tcW w:type="dxa" w:w="1701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Формирование бюджета масштабирования</w:t>
            </w:r>
          </w:p>
        </w:tc>
      </w:tr>
    </w:tbl>
    <w:p>
      <w:pPr>
        <w:keepNext/>
        <w:spacing w:line="360" w:lineRule="auto" w:before="280" w:after="12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10. Пошаговый календарный план действий на первые 30 дней</w:t>
      </w:r>
    </w:p>
    <w:p>
      <w:pPr>
        <w:keepNext/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10.1. План первой недели (Дни 1–7): Подготовка фундамента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День 1: Настройка целей в Яндекс Метрике («Регистрация», «Первое пополнение», «Первый заказ») и проверка генератора UTM-меток;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День 2: Создание промокодов START10 (-10% на первый заказ) и WELCOME50 (+50 руб. к пополнению от 200 руб.);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День 3: Подготовка и публикация официальных тем сервиса на форумах Zelenka (Lolzteam) и Maultalk с акцией «Тест за отзыв»;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Дни 4–5: Написание первой экспертной UGC-статьи по YouTube для бесплатной публикации на vc.ru;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Дни 6–7: Поиск через Яндекс 3 статей для ретрофиттинга по запросу «накрутка просмотров ютуб vc.ru» и отправка предложений авторам.</w:t>
      </w:r>
    </w:p>
    <w:p>
      <w:pPr>
        <w:keepNext/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10.2. План второй–четвертой недели (Дни 8–30): Первые продажи и реинвестирование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Дни 8–10: Согласование и оплата ретрофиттинга 1-й статьи (выкуп ТОП-1 места за 5 000 – 7 000 руб.);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Дни 11–14: Публикация бесплатной статьи на vc.ru и мониторинг первых регистраций;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Дни 15–20: Проверка работы цепочки онбординга, дожим первых зарегистрировавшихся пользователей промокодами;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Дни 21–25: Подведение итогов первых 50 заказов, сбор отзывов, оформление кейса;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Дни 26–30: Направление полученной первой маржи на выкуп 2-го ретрофиттинга по Telegram.</w:t>
      </w:r>
    </w:p>
    <w:sectPr w:rsidR="00FC693F" w:rsidRPr="0006063C" w:rsidSect="00034616">
      <w:headerReference w:type="default" r:id="rId9"/>
      <w:pgSz w:w="11906" w:h="16838"/>
      <w:pgMar w:top="1134" w:right="1134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000000"/>
        <w:sz w:val="24"/>
      </w:rPr>
      <w:fldChar w:fldCharType="begin"/>
      <w:instrText xml:space="preserve"> PAGE 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