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ИНВЕСТИЦИОННЫЙ ДОГОВОР</w:t>
        <w:br/>
        <w:t>И РЕГЛАМЕНТ ДОВЕРИТЕЛЬНОГО УПРАВЛЕНИЯ IT-АКТИВОМ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i/>
          <w:sz w:val="21"/>
        </w:rPr>
        <w:t>(Управленческая франшиза готовой розничной витрины «SMMflux» / ГК РФ ст. 421, 1005, 1235)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none"/>
          <w:right w:val="none"/>
          <w:insideH w:val="single" w:sz="0" w:space="0" w:color="FFFFFF"/>
          <w:insideV w:val="none"/>
        </w:tblBorders>
      </w:tblPr>
      <w:tblGrid>
        <w:gridCol w:w="4608"/>
        <w:gridCol w:w="4752"/>
      </w:tblGrid>
      <w:tr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г. Москва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«21» сентября 2026 г.</w:t>
            </w:r>
          </w:p>
        </w:tc>
      </w:tr>
    </w:tbl>
    <w:p>
      <w:pPr>
        <w:spacing w:before="80" w:after="80"/>
        <w:ind w:firstLine="0"/>
      </w:pP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Индивидуальный предприниматель _____________________________, действующий на основании свидетельства о государственной регистрации физического лица в качестве индивидуального предпринимателя (ОГРНИП _________________________, ИНН _________________________), именуемый в дальнейшем «Управляющий» (или «Агент» / «Лицензиар»), с одной стороны, и</w:t>
        <w:br/>
        <w:t>Гражданин РФ / Индивидуальный предприниматель / Юридическое лицо _____________________________, паспорт серия _______ номер _____________, выдан __________________________________________________, код подразделения _____________, зарегистрированный по адресу: __________________________________________________ (ИНН _________________________), именуемый в дальнейшем «Инвестор» (или «Принципал»), с другой стороны,</w:t>
        <w:br/>
        <w:t>совместно именуемые в дальнейшем «Стороны», а по отдельности — «Сторона»,</w:t>
        <w:br/>
        <w:t>руководствуясь статьями 421 («Свобода договора»), 1005–1011 («Агентский договор»), 1235 («Лицензионный договор»), 431.2 («Заверения об обстоятельствах») и 406.1 («Возмещение потерь») Гражданского кодекса Российской Федерации, заключили настоящий Договор о нижеследующем: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ПРЕДМЕТ ДОГОВОРА И ОБЪЕКТ ПАРТНЕРСТВА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1.1. Инвестор финансирует подключение, запуск и рекламное масштабирование готовой розничной витрины цифровых услуг «SMMflux» (интернет-домен smmflux.ru), функционирующей на базе программного комплекса «OmniSMM 1.0», а Управляющий предоставляет неисключительную лицензию на коммерческую эксплуатацию витрины, а также обязуется совершать от своего имени, но за счет Инвестора, комплекс операционных, технических и рекламных действий по управлению витриной под ключ (24/7).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1.2. СРОК ЗАПУСКА ПОД КЛЮЧ: Поскольку Розничная витрина «SMMflux» является полностью разработанным, протестированным и готовым программным активом, Управляющий обязуется предоставить Инвестору полный доступ к панели управления витриной и запустить прием клиентских заказов в течение 48 (сорока восьми) часов с момента поступления Паушального платежа. В случае если Инвестор изъявит желание разработать собственный пользовательский интерфейс (фронтенд), Управляющий предоставляет открытый API-шлюз бэкенда для интеграции стороннего интерфейса Инвестора.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1.3. ИНВАРИАНТ ИНТЕЛЛЕКТУАЛЬНОЙ СОБСТВЕННОСТИ (IP LOCK): Исходный код программного ядра «OmniSMM 1.0», архитектура базы данных, нейросетевой модуль поддержки Laya ONNX, леджер AEARH и шлюзы провайдеров являются 100% неделимой собственностью Управляющего. Инвестор получает исключительно право коммерческого извлечения прибыли с витрины. При прекращении партнерства код платформы остается в безусловной собственности Управляющего.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ИНВЕСТИЦИОННЫЙ БЮДЖЕТ И НАЛОГОВЫЙ РЕЖИМ ТРАНШЕЙ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2.1. Совокупный размер инвестиционного раунда запуска и вывода витрины на операционную самоокупаемость составляет 2 100 000 (два миллиона сто тысяч) рублей 00 копеек и распределяется по двум целевым расчетным направлениям: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888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Статья финансирования</w:t>
            </w:r>
          </w:p>
        </w:tc>
        <w:tc>
          <w:tcPr>
            <w:tcW w:type="dxa" w:w="216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Сумма (₽)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Правовое основание и налоги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Паушальный платеж (Franchise Fee)</w:t>
              <w:br/>
              <w:t>— Лицензия на готовую витрину SMMflux и подключение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1 000 000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Лицензионный платеж (ст. 1235 ГК РФ). Доход Управляющего (УСН 6%). Невозвратный.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Рекламный целевой бюджет (Ad Spend)</w:t>
              <w:br/>
              <w:t>— Яндекс.Директ, Telegram Ads, посевы (5 мес.)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Средства принципала (ст. 1005 ГК РФ). 0% налога у ИП (пп. 9 п. 1 ст. 251 НК РФ).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Покрытие дефицита Management Fee (мес. 1–4)</w:t>
              <w:br/>
              <w:t>— Компенсация ФОТ команды до самоокупаемости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Авансированное агентское вознаграждение. Доход Управляющего по актам (УСН 6%).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Серверы, вычислительные мощности (6 мес.)</w:t>
              <w:br/>
              <w:t>— Hetzner Dedicated, Selectel, Redis, AI API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150 000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Компенсация расходов агента (ст. 1001 ГК РФ). Не облагается налогом у ИП.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Оборотный депозит оптовых шлюзов</w:t>
              <w:br/>
              <w:t>— Неснижаемый остаток API провайдеров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150 000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Авансовые оборотные средства принципала. Не облагаются налогом у ИП.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ИТОГО СОВОКУПНЫЙ РАУНД ПОД КЛЮЧ: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2 100 000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Полное финансирование запуска витрины под ключ до устойчивой прибыли</w:t>
            </w:r>
          </w:p>
        </w:tc>
      </w:tr>
    </w:tbl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2.2. ПРАВИЛО НЕВОЗВРАТНОСТИ ПАУШАЛЬНОГО ПЛАТЕЖА: Паушальный платеж в сумме 1 000 000 (один миллион) рублей уплачивается Инвестором в течение 3 (трех) банковских дней с момента подписания Договора и признается Сторонами полностью освоенным и не подлежащим возврату с момента предоставления Инвестору учетной записи с правами «Owner» к панели управления витриной «SMMflux» (ст. 310, 450.1, 1235 ГК РФ).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2.3. НАЛОГОВЫЙ ИММУНИТЕТ ОПЕРАЦИОННОГО ФОНДА: Денежные средства Операционного фонда в размере 1 100 000 рублей перечисляются Инвестором траншами по 250 000 – 300 000 рублей в месяц с явным назначением платежа: «Перечисление средств агенту на исполнение поручения по Агентскому договору № 1 от 21.09.2026 г. Без НДС». На основании пп. 9 п. 1 ст. 251 Налогового кодекса РФ указанные средства не признаются доходом Управляющего и не облагаются налогом.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ВОЗНАГРАЖДЕНИЕ УПРАВЛЯЮЩЕГО И ДВУХФАЗНЫЙ ВОДОПАД ПРИБЫЛИ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3.1. ВОЗНАГРАЖДЕНИЕ ЗА УПРАВЛЕНИЕ (MANAGEMENT FEE): За полное ежедневное 24/7 ведение витрины, техническую поддержку, саппорт и маркетинг Управляющий получает ежемесячное фиксированное вознаграждение в размере 200 000 (двести тысяч) рублей 00 копеек. Вознаграждение является приоритетным расходом витрины и выплачивается ежемесячно до 5 числа следующего месяца. В месяцы 1–4 вознаграждение финансируется из Операционного фонда, начиная с месяца 5 — строго из выручки Розничной витрины.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3.2. ЧИСТАЯ ПРИБЫЛЬ: Чистой прибылью витрины признается валовая выручка за вычетом себестоимости заказов поставщиков (~16.7%), эквайринга (7%), серверов, рекламы, налоговых резервов и Management Fee Управляющего (200 000 ₽).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3.3. ФАЗА 1 (ПРИОРИТЕТНЫЙ ВОЗВРАТ ТЕЛА ИНВЕСТИЦИЙ): С первого месяца положительной прибыли и до момента, пока Инвестору не будет выплачено суммарно 2 100 000 (два миллиона сто тысяч) рублей в счет возврата инвестиций, чистая прибыль распределяется в пропорции:</w:t>
        <w:br/>
        <w:t>— Инвестор: 60% (шестьдесят процентов) чистой прибыли (приоритетная выплата);</w:t>
        <w:br/>
        <w:t>— Управляющий: 40% (сорок процентов) чистой прибыли.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3.4. ФАЗА 2 (БЕССРОЧНЫЙ ПАССИВНЫЙ ДОХОД): Начиная со следующего календарного месяца после возврата 2 100 000 рублей, чистая прибыль распределяется в бессрочной постоянной пропорции:</w:t>
        <w:br/>
        <w:t>— Инвестор: 30% (тридцать процентов) чистой прибыли (чистый пожизненный пассив);</w:t>
        <w:br/>
        <w:t>— Управляющий: 70% (семьдесят процентов) чистой прибыли.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3.5. КАЗНАЧЕЙСКИЙ ИНВАРИАНТ SAFE OWNER DRAW: Распределение дивидендов блокируется программным алгоритмом платформы в случае, если расчетная емкость вывода (Safe Owner Draw Capacity) ставит под угрозу обязательства перед клиентскими балансами или налогами.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РОЛИ СТОРОН, НАБЛЮДАТЕЛЬНЫЙ СОВЕТ И РЕЖИМ 1 ЧАСА В ДЕНЬ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4.1. СТАТУС НАБЛЮДАТЕЛЬНОГО СОВЕТА: Инвестор осуществляет стратегический надзор за развитием витрины с временными затратами до 1 (одного) часа в день. Инвестор имеет право онлайн-мониторинга дашборда заказов 24/7, получения еженедельного P&amp;L-отчета каждую пятницу и применения права вето на расходы свыше 50 000 рублей сверх сметы Раздела 2.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4.2. ОПЕРАЦИОННЫЙ НЕЙТРАЛИТЕТ: Инвестор обязуется не вмешиваться в оперативную работу программистов, не менять настройки серверов, не вступать в прямые переговоры с поставщиками услуг и клиентами без письменного согласования с Управляющим.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СРОК ДЕЙСТВИЯ, LOCK-IN И 4 СЦЕНАРИЯ ВЫХОДА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5.1. МОРАТОРИЙ НА ВЫХОД (LOCK-IN): Стороны устанавливают обязательный период нерасторжимости Договора сроком на 24 (двадцать четыре) месяца с даты подписания. Досрочный выход по инициативе Инвестора без согласия Управляющего не допускается.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5.2. СЦЕНАРИЙ А (ПРОДАЖА ВИТРИНЫ СТРАТЕГУ): При продаже витрины третьему лицу актив оценивается как 24 среднемесячных чистых прибылей. В Фазе 1 выручка направляется на закрытие остатка тела Инвестора, а превышение делится 60/40. В Фазе 2 сумма продажи делится строго 30% Инвестору / 70% Управляющему.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5.3. СЦЕНАРИЙ Б (ВЫКУП ДОЛИ ИНВЕСТОРА — BUYOUT CALL-OPTION): По истечении 24 месяцев Управляющий имеет преимущественное право (ROFR) выкупить экономическую долю Инвестора по формуле: Средняя чистая прибыль за 6 месяцев × 24 × 30% с рассрочкой до 12 месяцев под 10% годовых.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5.4. СЦЕНАРИЙ В (СМЕНА УПРАВЛЯЮЩЕГО — EXIT TRIGGER): Инвестор вправе отстранить Управляющего исключительно при доказанном виновном нарушении: невыплата зафиксированных дивидендов 3 месяца подряд, растрата операционного фонда или непредоставление отчетности более 30 дней.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5.5. СЦЕНАРИЙ Г (КРИЗИСНЫЙ ПРОТОКОЛ — DISTRESS): Если выручка витрины менее 80 000 ₽/мес на протяжении 4 месяцев подряд (с месяца 5): 1) 30 дней антикризисного плана; 2) 60 дней попытки продажи актива (100% выручки Инвестору до возврата тела инвестиций); 3) Ликвидация.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КОНФИДЕНЦИАЛЬНОСТЬ И ЗАПРЕТ КОНКУРЕНЦИИ (NON-COMPETE)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6.1. КОММЕРЧЕСКАЯ ТАЙНА (ФЗ № 98-ФЗ): Условия настоящего Договора, архитектура платформы, список поставщиков и конверсии составляют коммерческую тайну. Срок охраны — 5 лет. Штраф за разглашение — 500 000 рублей.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6.2. ЗАПРЕТ КОНКУРЕНЦИИ (NON-COMPETE): Инвестор обязуется не открывать, не финансировать и не консультировать сервисы накрутки в социальных сетях в период действия Договора и в течение 36 месяцев после его прекращения. Штраф за нарушение — 2 100 000 рублей.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АДРЕСА,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УПРАВЛЯЮЩИЙ (ИП / АГЕНТ):</w:t>
              <w:br/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ИНВЕСТОР (ПРИНЦИПАЛ):</w:t>
              <w:br/>
            </w:r>
          </w:p>
        </w:tc>
      </w:tr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Индивидуальный предприниматель:</w:t>
              <w:br/>
              <w:t>ФИО: _________________________________________</w:t>
              <w:br/>
              <w:t>ОГРНИП: ______________________________________</w:t>
              <w:br/>
              <w:t>ИНН: _________________________________________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Инвестор / Юридическое лицо:</w:t>
              <w:br/>
              <w:t>ФИО / Наименование: _________________________</w:t>
              <w:br/>
              <w:t>Паспорт / ОГРН: ______________________________</w:t>
              <w:br/>
              <w:t>ИНН: _________________________________________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87878"/>
        <w:sz w:val="17"/>
      </w:rPr>
      <w:t>Стр. 1 из 1 — Конфиденциально | Индивидуальный предприниматель и Инвестор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6"/>
      </w:rPr>
      <w:t>Инвестиционный договор и регламент управления витриной «SMMflux» (ИП РФ) | ГК РФ ст. 421, 1005, 1235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