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ind w:firstLine="0"/>
        <w:jc w:val="center"/>
      </w:pPr>
      <w:r>
        <w:rPr>
          <w:rFonts w:ascii="Times New Roman" w:hAnsi="Times New Roman"/>
          <w:b/>
          <w:color w:val="000000"/>
          <w:sz w:val="27"/>
        </w:rPr>
        <w:t>ИНВЕСТИЦИОННЫЙ МЕМОРАНДУМ И ПРАВОВОЙ РЕГЛАМЕНТ</w:t>
        <w:br/>
        <w:t>ДОВЕРИТЕЛЬНОГО УПРАВЛЕНИЯ IT-АКТИВОМ</w:t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i/>
          <w:sz w:val="20"/>
        </w:rPr>
        <w:t>(Управленческая франшиза розничной витрины под брендом SMMflux / White-Label / Доскональная финансовая модель)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bottom w:val="single" w:sz="0" w:space="0" w:color="FFFFFF"/>
          <w:left w:val="none"/>
          <w:right w:val="none"/>
          <w:insideH w:val="single" w:sz="0" w:space="0" w:color="FFFFFF"/>
          <w:insideV w:val="none"/>
        </w:tblBorders>
      </w:tblPr>
      <w:tblGrid>
        <w:gridCol w:w="4608"/>
        <w:gridCol w:w="4752"/>
      </w:tblGrid>
      <w:tr>
        <w:tc>
          <w:tcPr>
            <w:tcW w:type="dxa" w:w="4680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г. Москва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«21» сентября 2026 г.</w:t>
            </w:r>
          </w:p>
        </w:tc>
      </w:tr>
    </w:tbl>
    <w:p>
      <w:pPr>
        <w:spacing w:before="40" w:after="40"/>
        <w:ind w:firstLine="0"/>
      </w:pP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Индивидуальный предприниматель _____________________________, действующий на основании свидетельства о государственной регистрации (ОГРНИП _________________________, ИНН _________________________), именуемый в дальнейшем «Управляющий» (или «Лицензиар» / «Агент»), с одной стороны, и</w:t>
        <w:br/>
        <w:t>Гражданин РФ / Индивидуальный предприниматель / Юридическое лицо _____________________________, паспорт серия _______ номер _____________, выдан __________________________________________________, зарегистрированный по адресу: __________________________________________________ (ИНН _________________________), именуемый в дальнейшем «Инвестор» (или «Принципал»), с другой стороны,</w:t>
        <w:br/>
        <w:t>совместно именуемые «Стороны», руководствуясь статьями 421 («Свобода договора»), 1005–1011 («Агентский договор»), 1235 («Лицензионный договор») Гражданского кодекса РФ и пп. 9 п. 1 ст. 251 Налогового кодекса РФ, заключили настоящий Договор о нижеследующем: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 ПРЕДМЕТ ДОГОВОРА, WHITE-LABEL И ЗАЩИТА ИНТЕЛЛЕКТУАЛЬНОЙ СОБСТВЕННОСТИ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1.1. ПРЕДМЕТ СОГЛАШЕНИЯ: Инвестор финансирует подключение, операционный запуск и рекламное масштабирование готовой розничной витрины цифровых услуг на базе программного комплекса «OmniSMM 1.0». Витрина развертывается под готовым базовым коммерческим брендом «SMMflux» (smmflux.ru) либо под любым иным фирменным коммерческим обозначением и доменным именем, согласованным Инвестором в формате White-Label. Управляющий предоставляет Инвестору неисключительную лицензию на коммерческую эксплуатацию указанной витрины и принимает на себя обязательства по ее круглосуточному (24/7) доверительному управлению под ключ.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1.2. СРОК ЗАПУСКА: В случае выбора базового готового бренда «SMMflux» запуск приема заказов осуществляется в течение 48 часов. В случае если Инвестор выбирает индивидуальное коммерческое обозначение и регистрацию нового доменного имени, Управляющий производит полную конфигурацию нового мультитенанта, привязку платежных шлюзов, логотипа и цветовой схемы в срок не более 3–5 рабочих дней с даты согласования названия.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left w:val="single" w:sz="18" w:space="0" w:color="000000"/>
              <w:top w:val="none"/>
              <w:bottom w:val="none"/>
              <w:right w:val="none"/>
            </w:tcBorders>
          </w:tcPr>
          <w:p>
            <w:pPr>
              <w:spacing w:before="40" w:after="6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■ ИНВАРИАНТ ИСКЛЮЧИТЕЛЬНЫХ ПРАВ (СОФТ НЕ ПРОДАЕТСЯ)</w:t>
              <w:br/>
            </w:r>
            <w:r>
              <w:rPr>
                <w:rFonts w:ascii="Times New Roman" w:hAnsi="Times New Roman"/>
                <w:color w:val="000000"/>
                <w:sz w:val="20"/>
              </w:rPr>
              <w:t>АБСОЛЮТНЫЙ ИНВАРИАНТ ИНТЕЛЛЕКТУАЛЬНОЙ СОБСТВЕННОСТИ (IP LOCK): Исходный программный код, архитектура базы данных PostgreSQL, микросервисы нейросетевой поддержки Laya ONNX, неизменяемый финансовый двойной леджер AEARH и права на платформу «OmniSMM 1.0» НЕ ПРОДАЮТСЯ, не отчуждаются и являются 100% неделимой собственностью Управляющего (ст. 1229, 1235 ГК РФ). Инвестор приобретает исключительно неисключительную лицензию на получение прибыли с конкретной витрины. Инвестор не вправе требовать передачи исходных текстов, аудита кода или отчуждения системы. При прекращении партнерства код платформы остается в безусловной собственности Управляющего.</w:t>
            </w:r>
          </w:p>
        </w:tc>
      </w:tr>
    </w:tbl>
    <w:p>
      <w:pPr>
        <w:spacing w:before="0" w:after="80"/>
        <w:ind w:firstLine="0"/>
      </w:pP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 ОБОСНОВАНИЕ ОЦЕНКИ И СТРУКТУРА ИНВЕСТИЦИОННОГО РАУНДА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2.1. Обоснование размера инвестиций построено на объективной рыночной стоимости создания актива (Cost-to-Duplicate), составляющей 6 200 000 рублей (8 месяцев разработки команды из 6 специалистов: Tech Lead, Fullstack, AI-инженер, DevOps, QA, UX). Паушальный взнос в размере 1 000 000 рублей представляет собой 75% дисконт к рыночной себестоимости разработки. Кроме того, операционное сопровождение командой фаундеров за 200 000 ₽/мес экономит Инвестору более 3 360 000 ₽ в год по сравнению с рыночным ФОТ наемного штата (480 000 ₽/мес).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888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Статья бюджета (Item 7 FTC FDD)</w:t>
            </w:r>
          </w:p>
        </w:tc>
        <w:tc>
          <w:tcPr>
            <w:tcW w:type="dxa" w:w="2160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Сумма (₽)</w:t>
            </w:r>
          </w:p>
        </w:tc>
        <w:tc>
          <w:tcPr>
            <w:tcW w:type="dxa" w:w="3312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Правовое основание и режим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 Паушальный платеж (Franchise Fee / Setup)</w:t>
              <w:br/>
              <w:t>— Лицензия на витрину (SMMflux/White-Label) и запуск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1 000 000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Лицензионный платеж (ст. 1235 ГК РФ). Доход Управляющего (УСН 6%). Невозвратный.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 Маркетинговый бюджет (Ad Spend 5 мес.)</w:t>
              <w:br/>
              <w:t>— Яндекс.Директ и Telegram Ads (трафик по CAC ~280 ₽)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400 000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Средства принципала (ст. 1005 ГК РФ). 0% налога у ИП (пп. 9 п. 1 ст. 251 НК РФ).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3. Покрытие дефицита Management Fee (мес. 1–4)</w:t>
              <w:br/>
              <w:t>— Компенсация ФОТ команды до самоокупаемости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400 000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Авансированное агентское вознаграждение. Доход Управляющего по актам (УСН 6%).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4. Серверы, мощности, прокси (на 6 месяцев)</w:t>
              <w:br/>
              <w:t>— Hetzner Dedicated, Selectel, Redis, AI API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150 000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Компенсация расходов агента (ст. 1001 ГК РФ). Не облагается налогом у ИП.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5. Оборотный депозит оптовых шлюзов</w:t>
              <w:br/>
              <w:t>— Баланс у поставщиков для мгновенных заказов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150 000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Оборотные средства принципала. Не облагаются налогом у ИП.</w:t>
            </w:r>
          </w:p>
        </w:tc>
      </w:tr>
      <w:tr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ИТОГО СОВОКУПНЫЙ РАУНД ЗАПУСКА: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2 100 000 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Полное финансирование под ключ (Торговая рамка: 1.8M – 1.9M ₽)</w:t>
            </w:r>
          </w:p>
        </w:tc>
      </w:tr>
    </w:tbl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2.2. ПРАВИЛО НЕВОЗВРАТНОСТИ ПАУШАЛЬНОГО ПЛАТЕЖА: Паушальный платеж в размере 1 000 000 (один миллион) рублей признается полностью отработанным и не подлежащим возврату с момента передачи Инвестору учетной записи с правами «Owner» к панели витрины (ст. 310, 450.1, 1235 ГК РФ). В случае торга минимальная граница взноса фиксируется на уровне 800 000 рублей.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2.3. НАЛОГОВЫЙ ЩИТ ОПЕРАЦИОННОГО ФОНДА (ст. 251 п. 1 пп. 9 НК РФ): Средства Операционного фонда перечисляются по Агентскому договору с назначением: «Средства принципала на исполнение поручения по закупке рекламы и серверов. Без НДС». Данные средства не являются доходом ИП Управляющего, что обеспечивает чистую законную экономию на налогах в размере более 70 000 рублей.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 ДОСКОНАЛЬНАЯ ФИНАНСОВАЯ МОДЕЛЬ И АНАЛИЗ RUNWAY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3.1. ЮНИТ-ЭКОНОМИКА: Розничная наценка составляет 500% (множитель 6x к оптовой цене провайдера). Оптовый COGS составляет 16.7%, комиссия эквайринга — 7.0%, валютный буфер — 1.3%. Чистая валовая маржа витрины зафиксирована на уровне строго 75.0%.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592"/>
            <w:shd w:fill="F2F2F2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Показатель (₽)</w:t>
            </w:r>
          </w:p>
        </w:tc>
        <w:tc>
          <w:tcPr>
            <w:tcW w:type="dxa" w:w="1008"/>
            <w:shd w:fill="F2F2F2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М1</w:t>
            </w:r>
          </w:p>
        </w:tc>
        <w:tc>
          <w:tcPr>
            <w:tcW w:type="dxa" w:w="1008"/>
            <w:shd w:fill="F2F2F2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М3</w:t>
            </w:r>
          </w:p>
        </w:tc>
        <w:tc>
          <w:tcPr>
            <w:tcW w:type="dxa" w:w="1008"/>
            <w:shd w:fill="F2F2F2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М6 (BE)</w:t>
            </w:r>
          </w:p>
        </w:tc>
        <w:tc>
          <w:tcPr>
            <w:tcW w:type="dxa" w:w="1008"/>
            <w:shd w:fill="F2F2F2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М9</w:t>
            </w:r>
          </w:p>
        </w:tc>
        <w:tc>
          <w:tcPr>
            <w:tcW w:type="dxa" w:w="1008"/>
            <w:shd w:fill="F2F2F2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М12</w:t>
            </w:r>
          </w:p>
        </w:tc>
        <w:tc>
          <w:tcPr>
            <w:tcW w:type="dxa" w:w="1008"/>
            <w:shd w:fill="F2F2F2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М18</w:t>
            </w:r>
          </w:p>
        </w:tc>
        <w:tc>
          <w:tcPr>
            <w:tcW w:type="dxa" w:w="1152"/>
            <w:shd w:fill="F2F2F2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М24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Выручка (Gross Revenue)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42 000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530 000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560 000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620 000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650 000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Себестоимость COGS (16.7%)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-7 000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-28 390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-73 480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-88 510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-93 520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-103 540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-108 550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Эквайринг + FX (8.3%)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-3 486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-14 110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-36 520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-43 990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-46 480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-51 460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-53 950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Валовая прибыль (75.0%)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31 514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127 500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330 000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397 500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420 000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465 000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487 500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Сервера, прокси, софт, AI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-22 000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-24 000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-27 000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-29 000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-32 000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-35 000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Маркетинг / Реклама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-80 000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-80 000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-60 000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-40 000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-40 000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Management Fee (ФОТ УК)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-200 000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-200 000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-200 000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-200 000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-200 000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-200 000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-200 000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ЧИСТАЯ ПРИБЫЛЬ (EBIT)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-278 486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-186 500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+31 000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+103 500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+125 000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+173 000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+190 500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ВЫПЛАТА ИНВЕСТОРУ (60%)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0 ₽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0 ₽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+18 600 ₽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+62 100 ₽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+75 000 ₽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+103 800 ₽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before="40" w:after="40" w:line="276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+114 300 ₽</w:t>
            </w:r>
          </w:p>
        </w:tc>
      </w:tr>
    </w:tbl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3.2. БЕЗУБЫТОЧНОСТЬ И ОКУПАЕМОСТЬ: Точка полной безубыточности достигается в Месяце 6 (выручка 440 000 ₽ полностью закрывает все расходы и Management Fee 200 000 ₽). Совокупный кассовый дефицит месяцев 1–5 составляет -872 736 ₽ и полностью финансируется из Операционного фонда. Дно ликвидности наступает в Месяце 5 с гарантированным остатком +627 264 ₽. Полный возврат инвестиций Инвестора (100% Breakeven) достигается на 22–24 месяце.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 ДВУХФАЗНЫЙ ВОДОПАД ДИВИДЕНДОВ И SAFE OWNER DRAW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4.1. ФАЗА 1 (ПРИОРИТЕТНЫЙ ВОЗВРАТ КАПИТАЛА): До момента выплаты Инвестору суммарно 2 100 000 рублей (или 1 800 000 ₽ при торге), чистая прибыль распределяется в пропорции: 60% Инвестору / 40% Управляющему.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4.2. ФАЗА 2 (БЕССРОЧНЫЙ ПАССИВНЫЙ ДОХОД): После полного закрытия возврата тела инвестиций чистая прибыль бессрочно делится: 30% Инвестору (чистый пассив 70 000 – 120 000 ₽/мес = ~50% годовых) / 70% Управляющему.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4.3. КАЗНАЧЕЙСКИЙ ИНВАРИАНТ SAFE OWNER DRAW: Распределение прибыли физически блокируется программным алгоритмом платформы при условии, что расчетная емкость вывода ставит под угрозу неиспользованные балансы клиентов или налоговые обязательства.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5. ОПЕРАЦИОННАЯ МОДЕЛЬ, СИНЕРГИЯ БРЕНДОВ И ВСЕ СЦЕНАРИИ ВЫХОДА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5.1. РЕЖИМ 1 ЧАСА В ДЕНЬ: Инвестор осуществляет стратегический надзор (онлайн-дашборд 24/7, еженедельный P&amp;L, вето на сверхлимитные траты &gt;50 000 ₽). Управляющий несет 100% круглосуточную ответственность за техническую часть, саппорт L1/L2 и маркетинг.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5.2. СИНЕРГИЯ SMMPLAN И ВИТРИНЫ ИНВЕСТОРА (SERP DOMINATION): Стороны констатируют, что наличие у Управляющего витрины SMMplan является гарантией, а не конкуренцией. Витрины разводятся по аудиториям: SMMplan — розница, витрина Инвестора — оптовики/админы. В выдаче Яндекса Стороны занимают 2 места в ТОП-10 одновременно, выдавливая сторонних конкурентов (BestSMM, Спецнакрутка).</w:t>
      </w:r>
    </w:p>
    <w:p>
      <w:pPr>
        <w:spacing w:before="0" w:after="100" w:line="300" w:lineRule="auto"/>
        <w:ind w:firstLine="708"/>
        <w:jc w:val="both"/>
      </w:pPr>
      <w:r>
        <w:rPr>
          <w:rFonts w:ascii="Times New Roman" w:hAnsi="Times New Roman"/>
          <w:color w:val="000000"/>
          <w:sz w:val="23"/>
        </w:rPr>
        <w:t>5.3. СЦЕНАРИИ ПРЕКРАЩЕНИЯ СОТРУДНИЧЕСТВА:</w:t>
        <w:br/>
        <w:t>• Сценарий 1 (Ранний выход Инвестора до 24 мес): Паушальный платеж не возвращается. Непотраченный остаток рекламы возвращается. Витрина со всеми клиентами переходит Управляющему. Вступает в силу Non-Compete на 36 месяцев со штрафом 2 100 000 ₽.</w:t>
        <w:br/>
        <w:t>• Сценарий 2 (Плановый Buyout Инвестора после 24 мес): Управляющий имеет право выкупить 30% долю Инвестора по формуле: Чистая прибыль за 6 мес × 24 × 30% с рассрочкой до 12 месяцев под 10% годовых.</w:t>
        <w:br/>
        <w:t>• Сценарий 3 (Выход Управляющего): Уведомление за 60 дней. Витрина выставляется на продажу (выручка делится 70/30) либо передается обученному администратору с сохранением API ядра платформы.</w:t>
        <w:br/>
        <w:t>• Сценарий 4 (Distress Protocol — «Не пошло»): При выручке &lt;80 000 ₽/мес 4 месяца подряд витрина закрывается без долгов и претензий.</w:t>
      </w:r>
    </w:p>
    <w:p>
      <w:pPr>
        <w:spacing w:before="28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6. АДРЕСА, БАНКОВСКИЕ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000000"/>
          <w:insideV w:val="none"/>
        </w:tblBorders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УПРАВЛЯЮЩИЙ (ИП / ЛИЦЕНЗИАР):</w:t>
              <w:br/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ИНВЕСТОР (ПРИНЦИПАЛ):</w:t>
              <w:br/>
            </w:r>
          </w:p>
        </w:tc>
      </w:tr>
      <w:tr>
        <w:tc>
          <w:tcPr>
            <w:tcW w:type="dxa" w:w="4608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Индивидуальный предприниматель:</w:t>
              <w:br/>
              <w:t>ФИО: _________________________________________</w:t>
              <w:br/>
              <w:t>ОГРНИП: ______________________________________</w:t>
              <w:br/>
              <w:t>ИНН: _________________________________________</w:t>
              <w:br/>
              <w:t>Банк: ________________________________________</w:t>
              <w:br/>
              <w:t>Р/с: _________________________________________</w:t>
              <w:br/>
              <w:t>К/с: _________________________________________</w:t>
              <w:br/>
              <w:t>БИК: _________________________________________</w:t>
              <w:br/>
              <w:br/>
              <w:t>________________________ / _________________ /</w:t>
              <w:br/>
              <w:t>М.П.                      Дата: «___» ______ 2026 г.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Инвестор / Юридическое лицо:</w:t>
              <w:br/>
              <w:t>ФИО / Наименование: _________________________</w:t>
              <w:br/>
              <w:t>Паспорт / ОГРН: ______________________________</w:t>
              <w:br/>
              <w:t>ИНН: _________________________________________</w:t>
              <w:br/>
              <w:t>Банк: ________________________________________</w:t>
              <w:br/>
              <w:t>Р/с: _________________________________________</w:t>
              <w:br/>
              <w:t>К/с: _________________________________________</w:t>
              <w:br/>
              <w:t>БИК: _________________________________________</w:t>
              <w:br/>
              <w:br/>
              <w:t>________________________ / _________________ /</w:t>
              <w:br/>
              <w:t>М.П.                      Дата: «___» ______ 2026 г.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7"/>
      </w:rPr>
      <w:t>Стр. 1 из 1 — Конфиденциально | Индивидуальный предприниматель и Инвестор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646464"/>
        <w:sz w:val="16"/>
      </w:rPr>
      <w:t>Институциональный инвестиционный меморандум | Стандарт ГОСТ / ФРИИ / FTC FDD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