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ТЕХНИЧЕСКОЕ ЗАДАНИЕ</w:t>
        <w:br/>
        <w:t>НА СОЗДАНИЕ АВТОМАТИЗИРОВАННОЙ СИСТЕМЫ</w:t>
        <w:br/>
      </w:r>
    </w:p>
    <w:p>
      <w:pPr>
        <w:jc w:val="center"/>
      </w:pPr>
      <w:r>
        <w:rPr>
          <w:rFonts w:ascii="Arial" w:hAnsi="Arial"/>
          <w:sz w:val="24"/>
        </w:rPr>
        <w:t>«Высоконагруженная SMM-платформа (Enriched Specification)»</w:t>
        <w:br/>
        <w:t>Шифр: АС-SMM-2026-NPU</w:t>
        <w:br/>
        <w:t>ГОСТ 34.602-89 / ISO 29148:2018</w:t>
        <w:br/>
      </w:r>
    </w:p>
    <w:p>
      <w:r>
        <w:br w:type="page"/>
      </w:r>
    </w:p>
    <w:p>
      <w:pPr>
        <w:pStyle w:val="Heading1"/>
        <w:spacing w:before="240" w:after="120"/>
      </w:pPr>
      <w:r>
        <w:t>1. ОБЩИЕ СВЕДЕНИЯ</w:t>
      </w:r>
    </w:p>
    <w:p>
      <w:pPr>
        <w:spacing w:line="276" w:lineRule="auto" w:after="120"/>
      </w:pPr>
      <w:r>
        <w:t>1.1. Полное наименование системы: Автоматизированная система «Высоконагруженная SMM-платформа (Enriched Specification)».</w:t>
        <w:br/>
        <w:t>1.2. Шифр темы: АС-SMM-2026-NPU.</w:t>
        <w:br/>
        <w:t>1.3. Разработчик: Dual-Agent Cognitive Engine (Gemini 3.1 Pro + Intel AI Boost NPU).</w:t>
        <w:br/>
        <w:t>1.4. Заказчик: Предприятие-Оператор сервиса.</w:t>
        <w:br/>
        <w:t>1.5. Плановые сроки создания: I–II квартал 2026 года.</w:t>
        <w:br/>
        <w:t>1.6. Порядок финансирования: В соответствии с финансовой сметой Unit_Economics_Budget.json.</w:t>
      </w:r>
    </w:p>
    <w:p>
      <w:pPr>
        <w:pStyle w:val="Heading1"/>
        <w:spacing w:before="240" w:after="120"/>
      </w:pPr>
      <w:r>
        <w:t>2. НАЗНАЧЕНИЕ И ЦЕЛИ СОЗДАНИЯ (РАЗВИТИЯ) СИСТЕМЫ</w:t>
      </w:r>
    </w:p>
    <w:p>
      <w:pPr>
        <w:spacing w:line="276" w:lineRule="auto" w:after="120"/>
      </w:pPr>
      <w:r>
        <w:t>2.1. Назначение системы: Автоматизация процессов приема, маршрутизации и контроля исполнения заказов в социальных сетях с использованием искусственного интеллекта на физическом нейропроцессоре NPU.</w:t>
        <w:br/>
        <w:br/>
        <w:t>2.2. Цели создания системы и критерии эффективности:</w:t>
        <w:br/>
        <w:t xml:space="preserve">  - Сокращение времени оформления заказа розничным пользователем с 3 минут до 15 секунд;</w:t>
        <w:br/>
        <w:t xml:space="preserve">  - Автоматическая маршрутизация заказов на 5 внешних API провайдеров с балансировкой нагрузки;</w:t>
        <w:br/>
        <w:t xml:space="preserve">  - Достижение юнит-экономики: отношение LTV/CAC &gt;= 3.0, себестоимость серверной обработки 1 транзакции &lt;= $0.0005;</w:t>
        <w:br/>
        <w:t xml:space="preserve">  - Обеспечение непрерывной работы при нулевом бюджете на простои (Uptime &gt;= 99.95%).</w:t>
      </w:r>
    </w:p>
    <w:p>
      <w:pPr>
        <w:pStyle w:val="Heading1"/>
        <w:spacing w:before="240" w:after="120"/>
      </w:pPr>
      <w:r>
        <w:t>3. ХАРАКТЕРИСТИКА ОБЪЕКТОВ АВТОМАТИЗАЦИИ</w:t>
      </w:r>
    </w:p>
    <w:p>
      <w:pPr>
        <w:spacing w:line="276" w:lineRule="auto" w:after="120"/>
      </w:pPr>
      <w:r>
        <w:t>3.1. Условия эксплуатации: Серверный распределенный кластер и локальные рабочие станции с поддержкой Intel NPU.</w:t>
        <w:br/>
        <w:br/>
        <w:t>3.2. Матрица ролей и объектов автоматизации:</w:t>
        <w:br/>
        <w:t xml:space="preserve">  - Роль [Guest]: Быстрый заказ по ссылке за 1 клик без регистрации;</w:t>
        <w:br/>
        <w:t xml:space="preserve">  - Роль [Wholesale_Client]: Оптовые заказы через API и личный баланс;</w:t>
        <w:br/>
        <w:t xml:space="preserve">  - Роль [Administrator]: Управление провайдерами, наценкой и маржой;</w:t>
        <w:br/>
        <w:t xml:space="preserve">  - Роль [Support_Agent]: Обработка тикетов с привязкой к номеру заказа;</w:t>
      </w:r>
    </w:p>
    <w:p>
      <w:pPr>
        <w:pStyle w:val="Heading1"/>
        <w:spacing w:before="240" w:after="120"/>
      </w:pPr>
      <w:r>
        <w:t>4. ТРЕБОВАНИЯ К СИСТЕМЕ</w:t>
      </w:r>
    </w:p>
    <w:p>
      <w:pPr>
        <w:spacing w:line="276" w:lineRule="auto" w:after="120"/>
      </w:pPr>
      <w:r>
        <w:t>4.1. Требования к системе в целом:</w:t>
        <w:br/>
        <w:t xml:space="preserve">  - Надежность: Среднее время наработки на отказ (MTBF) &gt;= 2000 часов;</w:t>
        <w:br/>
        <w:t xml:space="preserve">  - Безопасность: Соответствие требованиям ГОСТ Р 56939-2024 и ФСТЭК (модель угроз STRIDE, Zero Trust, Rate Limiting 100 req/min);</w:t>
        <w:br/>
        <w:t xml:space="preserve">  - Эргономика: Адаптивный веб-интерфейс, поддержка темной/светлой темы, мгновенная валидация ссылок за 1.0 мс на NPU;</w:t>
        <w:br/>
        <w:t xml:space="preserve">  - Условия эксплуатации: Аппаратный профиль ноутбука/сервера — Intel Core Ultra 5 125H, 16 ГБ RAM (модель NPU занимает не более 550 МБ RAM в INT8).</w:t>
        <w:br/>
        <w:br/>
        <w:t>4.2. Требования к функциям (подсистемам):</w:t>
        <w:br/>
        <w:t xml:space="preserve">  - Подсистема Быстрого заказа (Guest Funnel): автоматическое распознавание социальной сети по введенному URL, отображение 3 целевых тарифов, оплата через СБП и банковские карты;</w:t>
        <w:br/>
        <w:t xml:space="preserve">  - Подсистема Личного кабинета (Client Portal): 4 типовых модуля по отраслевому эталону (Заказ, История, Баланс, API реселлеров);</w:t>
        <w:br/>
        <w:t xml:space="preserve">  - Подсистема Администратора (Admin Desk): 6 специализированных вкладок (Заказы, Провайдеры, Тарифы, Пользователи RBAC, Тикет-система, Финансовая сверка);</w:t>
        <w:br/>
        <w:t xml:space="preserve">  - Подсистема Поддержки: Классическая тикетная очередь с фиксацией ID заказа и SLA первого ответа &lt;= 4 часов.</w:t>
        <w:br/>
        <w:br/>
        <w:t>4.3. Требования к видам обеспечения:</w:t>
        <w:br/>
        <w:t xml:space="preserve">  - Математическое и алгоритмическое: Неавторегрессионные примитивы выбора (Laya-421M / Jev / ModernBERT) и генетический отбор L-MOPA;</w:t>
        <w:br/>
        <w:t xml:space="preserve">  - Информационное: Реляционная СУБД PostgreSQL (партиционирование заказов по месяцам), кэш Redis Streams;</w:t>
        <w:br/>
        <w:t xml:space="preserve">  - Программное: Python 3.11+, OpenVINO 2026.0, FastAPI / OpenAPI 3.1, Vitest;</w:t>
        <w:br/>
        <w:t xml:space="preserve">  - Лингвистическое: Интерфейс пользователя на русском языке, машиночитаемые контракты в JSON/YAML;</w:t>
        <w:br/>
        <w:t xml:space="preserve">  - Правовое: Полное соответствие требованиям 152-ФЗ РФ (хранение баз в РФ) и публичная оферта с отказом от ответственности за алгоритмы сторонних платформ.</w:t>
      </w:r>
    </w:p>
    <w:p>
      <w:pPr>
        <w:pStyle w:val="Heading1"/>
        <w:spacing w:before="240" w:after="120"/>
      </w:pPr>
      <w:r>
        <w:t>5. СОСТАВ И СОДЕРЖАНИЕ РАБОТ ПО СОЗДАНИЮ СИСТЕМЫ</w:t>
      </w:r>
    </w:p>
    <w:p>
      <w:pPr>
        <w:spacing w:line="276" w:lineRule="auto" w:after="120"/>
      </w:pPr>
      <w:r>
        <w:t>Работы выполняются по стадиям согласно ГОСТ 34.601-90:</w:t>
        <w:br/>
        <w:t xml:space="preserve">  - Стадия 1: Формирование требований к АС (Выполнено Уровнем 0 Discovery Engine);</w:t>
        <w:br/>
        <w:t xml:space="preserve">  - Стадия 2: Разработка концепции АС и эскизное проектирование (Выполнено 7 Министерствами);</w:t>
        <w:br/>
        <w:t xml:space="preserve">  - Стадия 3: Техническое проектирование (Синтез схем БД и спецификаций OpenAPI 3.1);</w:t>
        <w:br/>
        <w:t xml:space="preserve">  - Стадия 4: Рабочая документация и кодогенерация по контрактам;</w:t>
        <w:br/>
        <w:t xml:space="preserve">  - Стадия 5: Ввод в действие и сертификация (V&amp;V Quality Gate).</w:t>
      </w:r>
    </w:p>
    <w:p>
      <w:pPr>
        <w:pStyle w:val="Heading1"/>
        <w:spacing w:before="240" w:after="120"/>
      </w:pPr>
      <w:r>
        <w:t>6. ПОРЯДОК КОНТРОЛЯ И ПРИЕМКИ СИСТЕМЫ</w:t>
      </w:r>
    </w:p>
    <w:p>
      <w:pPr>
        <w:spacing w:line="276" w:lineRule="auto" w:after="120"/>
      </w:pPr>
      <w:r>
        <w:t>6.1. Виды испытаний: Предварительные автономные испытания микросервисов, приемо-сдаточные комплексные испытания и мутационное тестирование тестов.</w:t>
        <w:br/>
        <w:t>6.2. Критерии приемки:</w:t>
        <w:br/>
        <w:t xml:space="preserve">  - Mutation Testing Score &gt;= 0.95 (отсутствие фиктивных проверок assert True);</w:t>
        <w:br/>
        <w:t xml:space="preserve">  - Brier Calibration Score NPU-арбитра &lt;= 0.04;</w:t>
        <w:br/>
        <w:t xml:space="preserve">  - Успешное выполнение 100% сквозных BDD-сценариев из файла Release_Certified_Artifacts.json.</w:t>
      </w:r>
    </w:p>
    <w:p>
      <w:pPr>
        <w:pStyle w:val="Heading1"/>
        <w:spacing w:before="240" w:after="120"/>
      </w:pPr>
      <w:r>
        <w:t>7. ТРЕБОВАНИЯ К ПОДГОТОВКЕ ОБЪЕКТА К ВВОДУ В ДЕЙСТВИЕ</w:t>
      </w:r>
    </w:p>
    <w:p>
      <w:pPr>
        <w:spacing w:line="276" w:lineRule="auto" w:after="120"/>
      </w:pPr>
      <w:r>
        <w:t>7.1. Развертывание рантайма OpenVINO 2026.0 и инициализация драйвера Intel NPU VPU 3720.</w:t>
        <w:br/>
        <w:t>7.2. Накатка миграций схемы данных PostgreSQL.</w:t>
        <w:br/>
        <w:t>7.3. Проведение инструктажа операторов службы поддержки по регламенту SLA 4 часа.</w:t>
      </w:r>
    </w:p>
    <w:p>
      <w:pPr>
        <w:pStyle w:val="Heading1"/>
      </w:pPr>
      <w:r>
        <w:t>8. ПРИЛОЖЕНИЕ А: МАТРИЦА ТРАССИРУЕМОСТИ ТРЕБОВАНИЙ (ISO 29148)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1930"/>
          </w:tcPr>
          <w:p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1930"/>
          </w:tcPr>
          <w:p>
            <w:r>
              <w:rPr>
                <w:b/>
                <w:sz w:val="19"/>
              </w:rPr>
              <w:t>Источник</w:t>
            </w:r>
          </w:p>
        </w:tc>
        <w:tc>
          <w:tcPr>
            <w:tcW w:type="dxa" w:w="1930"/>
          </w:tcPr>
          <w:p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1930"/>
          </w:tcPr>
          <w:p>
            <w:r>
              <w:rPr>
                <w:b/>
                <w:sz w:val="19"/>
              </w:rPr>
              <w:t>Тест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REQ-GEN-001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Мгновенное распознавание ссылок соцсетей на NPU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Бизнес-цель CJM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Гость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TC-NPU-01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REQ-ORD-002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Асинхронный пайплайн отправки заказов провайдерам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Архитектура Outbox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Клиент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TC-ORD-02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REQ-FIN-003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Автоматический расчет чистой маржи по формуле LTV/CAC &gt;= 3.0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Финансовый аудит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Администратор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TC-FIN-03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REQ-LEG-004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Локализация персональных данных в РФ согласно 152-ФЗ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Правовой комплаенс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Юрист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TC-LEG-04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REQ-SEC-005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Защита API от перебора и спама (Rate Limiting 100 req/min)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Инфобезопасность STRIDE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Система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TC-SEC-05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REQ-SUP-006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Тикет-система поддержки с привязкой к ID транзакции (SLA 4ч)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Выбор trade-off B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Саппорт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TC-SUP-06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REQ-HW-007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Лимит оперативной памяти &lt;= 16 ГБ RAM и квантование INT8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Профиль Meteor Lake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TC-HW-07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  <w:t>REQ-QA-008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Мутационная приемочная сертификация тестов (Score &gt;= 0.95)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V&amp;V Quality Gate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QA Аудитор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TC-QA-08</w:t>
            </w:r>
          </w:p>
        </w:tc>
      </w:tr>
    </w:tbl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