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6, перешел в него и создал файл lab6-1.asm.</w:t>
      </w:r>
    </w:p>
    <w:p>
      <w:pPr>
        <w:numPr>
          <w:ilvl w:val="0"/>
          <w:numId w:val="1001"/>
        </w:numPr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bookmarkStart w:id="24" w:name="fig:001"/>
    <w:p>
      <w:pPr>
        <w:pStyle w:val="CaptionedFigure"/>
      </w:pPr>
      <w:r>
        <w:drawing>
          <wp:inline>
            <wp:extent cx="3426593" cy="3551722"/>
            <wp:effectExtent b="0" l="0" r="0" t="0"/>
            <wp:docPr descr="Программа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355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016000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Далее изменяю текст программы и вместо символов,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3503595" cy="4081111"/>
            <wp:effectExtent b="0" l="0" r="0" t="0"/>
            <wp:docPr descr="Программа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408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59442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Никакой символ не виден, но он есть. Это возврат каретки LF.</w:t>
      </w:r>
    </w:p>
    <w:p>
      <w:pPr>
        <w:pStyle w:val="Compact"/>
        <w:numPr>
          <w:ilvl w:val="0"/>
          <w:numId w:val="1003"/>
        </w:numPr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3609473" cy="3205212"/>
            <wp:effectExtent b="0" l="0" r="0" t="0"/>
            <wp:docPr descr="Программа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961747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Compact"/>
        <w:numPr>
          <w:ilvl w:val="0"/>
          <w:numId w:val="1004"/>
        </w:numPr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4158113" cy="3522846"/>
            <wp:effectExtent b="0" l="0" r="0" t="0"/>
            <wp:docPr descr="Программа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352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961276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Вывод отличается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4206240" cy="3532471"/>
            <wp:effectExtent b="0" l="0" r="0" t="0"/>
            <wp:docPr descr="Программа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3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</w:t>
      </w:r>
    </w:p>
    <w:bookmarkEnd w:id="56"/>
    <w:bookmarkStart w:id="60" w:name="fig:010"/>
    <w:p>
      <w:pPr>
        <w:pStyle w:val="CaptionedFigure"/>
      </w:pPr>
      <w:r>
        <w:drawing>
          <wp:inline>
            <wp:extent cx="5334000" cy="925138"/>
            <wp:effectExtent b="0" l="0" r="0" t="0"/>
            <wp:docPr descr="Запуск программы lab6-2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60"/>
    <w:p>
      <w:pPr>
        <w:pStyle w:val="Compact"/>
        <w:numPr>
          <w:ilvl w:val="0"/>
          <w:numId w:val="1005"/>
        </w:numPr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.</w:t>
      </w:r>
    </w:p>
    <w:bookmarkStart w:id="64" w:name="fig:011"/>
    <w:p>
      <w:pPr>
        <w:pStyle w:val="CaptionedFigure"/>
      </w:pPr>
      <w:r>
        <w:drawing>
          <wp:inline>
            <wp:extent cx="4340993" cy="6044665"/>
            <wp:effectExtent b="0" l="0" r="0" t="0"/>
            <wp:docPr descr="Программа lab6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604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lab6-3.asm</w:t>
      </w:r>
    </w:p>
    <w:bookmarkEnd w:id="64"/>
    <w:bookmarkStart w:id="68" w:name="fig:012"/>
    <w:p>
      <w:pPr>
        <w:pStyle w:val="CaptionedFigure"/>
      </w:pPr>
      <w:r>
        <w:drawing>
          <wp:inline>
            <wp:extent cx="5334000" cy="1031679"/>
            <wp:effectExtent b="0" l="0" r="0" t="0"/>
            <wp:docPr descr="Запуск программы lab6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8"/>
    <w:p>
      <w:pPr>
        <w:pStyle w:val="BodyText"/>
      </w:pPr>
      <w:r>
        <w:t xml:space="preserve">Изменил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Создал исполняемый файл и проверил его работу.</w:t>
      </w:r>
    </w:p>
    <w:bookmarkStart w:id="72" w:name="fig:013"/>
    <w:p>
      <w:pPr>
        <w:pStyle w:val="CaptionedFigure"/>
      </w:pPr>
      <w:r>
        <w:drawing>
          <wp:inline>
            <wp:extent cx="4389120" cy="5775157"/>
            <wp:effectExtent b="0" l="0" r="0" t="0"/>
            <wp:docPr descr="Программа lab6-3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77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lab6-3.asm</w:t>
      </w:r>
    </w:p>
    <w:bookmarkEnd w:id="72"/>
    <w:bookmarkStart w:id="76" w:name="fig:014"/>
    <w:p>
      <w:pPr>
        <w:pStyle w:val="CaptionedFigure"/>
      </w:pPr>
      <w:r>
        <w:drawing>
          <wp:inline>
            <wp:extent cx="5334000" cy="1068263"/>
            <wp:effectExtent b="0" l="0" r="0" t="0"/>
            <wp:docPr descr="Запуск программы lab6-3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6"/>
    <w:p>
      <w:pPr>
        <w:pStyle w:val="Compact"/>
        <w:numPr>
          <w:ilvl w:val="0"/>
          <w:numId w:val="1006"/>
        </w:numPr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bookmarkStart w:id="80" w:name="fig:015"/>
    <w:p>
      <w:pPr>
        <w:pStyle w:val="CaptionedFigure"/>
      </w:pPr>
      <w:r>
        <w:drawing>
          <wp:inline>
            <wp:extent cx="4918509" cy="5765532"/>
            <wp:effectExtent b="0" l="0" r="0" t="0"/>
            <wp:docPr descr="Программа variant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9" cy="576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variant.asm</w:t>
      </w:r>
    </w:p>
    <w:bookmarkEnd w:id="80"/>
    <w:bookmarkStart w:id="84" w:name="fig:016"/>
    <w:p>
      <w:pPr>
        <w:pStyle w:val="CaptionedFigure"/>
      </w:pPr>
      <w:r>
        <w:drawing>
          <wp:inline>
            <wp:extent cx="5334000" cy="1235002"/>
            <wp:effectExtent b="0" l="0" r="0" t="0"/>
            <wp:docPr descr="Запуск программы variant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4"/>
    <w:p>
      <w:pPr>
        <w:pStyle w:val="BodyText"/>
      </w:pPr>
      <w:r>
        <w:t xml:space="preserve">ответы на вопросы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В строке mov eax,rem 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перекладывается в регистр eax.</w:t>
      </w:r>
    </w:p>
    <w:p>
      <w:pPr>
        <w:pStyle w:val="BodyText"/>
      </w:pPr>
      <w:r>
        <w:t xml:space="preserve">Строка call sprint вызывает подпрограмму для вывода строки.</w:t>
      </w:r>
    </w:p>
    <w:p>
      <w:pPr>
        <w:pStyle w:val="Compact"/>
        <w:numPr>
          <w:ilvl w:val="0"/>
          <w:numId w:val="1008"/>
        </w:numPr>
      </w:pPr>
      <w:r>
        <w:t xml:space="preserve">Для чего используется следующие инструкции?</w:t>
      </w:r>
    </w:p>
    <w:p>
      <w:pPr>
        <w:pStyle w:val="FirstParagraph"/>
      </w:pPr>
      <w:r>
        <w:t xml:space="preserve">mov ecx, x</w:t>
      </w:r>
      <w:r>
        <w:t xml:space="preserve"> </w:t>
      </w:r>
      <w:r>
        <w:t xml:space="preserve">mov edx, 80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mov ecx, x - перемещает значение переменной X в регистр ecx.</w:t>
      </w:r>
    </w:p>
    <w:p>
      <w:pPr>
        <w:pStyle w:val="BodyText"/>
      </w:pPr>
      <w:r>
        <w:t xml:space="preserve">mov edx, 80 - устанавливает значение 80 в регистр edx.</w:t>
      </w:r>
    </w:p>
    <w:p>
      <w:pPr>
        <w:pStyle w:val="BodyText"/>
      </w:pPr>
      <w:r>
        <w:t xml:space="preserve">call sread - вызывает подпрограмму для чтения значения с консоли.</w:t>
      </w:r>
    </w:p>
    <w:p>
      <w:pPr>
        <w:pStyle w:val="Compact"/>
        <w:numPr>
          <w:ilvl w:val="0"/>
          <w:numId w:val="1009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Эта инструкция вызывает подпрограмму, которая преобразует введенные символы в числовой формат.</w:t>
      </w:r>
    </w:p>
    <w:p>
      <w:pPr>
        <w:pStyle w:val="Compact"/>
        <w:numPr>
          <w:ilvl w:val="0"/>
          <w:numId w:val="1010"/>
        </w:numPr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xor edx,edx - обнуляет регистр edx.</w:t>
      </w:r>
    </w:p>
    <w:p>
      <w:pPr>
        <w:pStyle w:val="BodyText"/>
      </w:pPr>
      <w:r>
        <w:t xml:space="preserve">mov ebx,20 - устанавливает значение 20 в регистр ebx.</w:t>
      </w:r>
    </w:p>
    <w:p>
      <w:pPr>
        <w:pStyle w:val="BodyText"/>
      </w:pPr>
      <w:r>
        <w:t xml:space="preserve">div ebx - производит деление номера студенческого билета на 20.</w:t>
      </w:r>
    </w:p>
    <w:p>
      <w:pPr>
        <w:pStyle w:val="BodyText"/>
      </w:pPr>
      <w:r>
        <w:t xml:space="preserve">inc edx - увеличивает значение регистра edx на 1.</w:t>
      </w:r>
    </w:p>
    <w:p>
      <w:pPr>
        <w:pStyle w:val="Compact"/>
        <w:numPr>
          <w:ilvl w:val="0"/>
          <w:numId w:val="1011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Остаток от деления записывается в регистр edx.</w:t>
      </w:r>
    </w:p>
    <w:p>
      <w:pPr>
        <w:pStyle w:val="Compact"/>
        <w:numPr>
          <w:ilvl w:val="0"/>
          <w:numId w:val="1012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Инструкция inc edx увеличивает значение регистра edx на 1.</w:t>
      </w:r>
      <w:r>
        <w:t xml:space="preserve"> </w:t>
      </w:r>
      <w:r>
        <w:t xml:space="preserve">В данном случае, она используется для выполнения формулы вычисления варианта,</w:t>
      </w:r>
      <w:r>
        <w:t xml:space="preserve"> </w:t>
      </w:r>
      <w:r>
        <w:t xml:space="preserve">где требуется добавить 1 к остатку от деления.</w:t>
      </w:r>
    </w:p>
    <w:p>
      <w:pPr>
        <w:pStyle w:val="Compact"/>
        <w:numPr>
          <w:ilvl w:val="0"/>
          <w:numId w:val="1013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mov eax,edx - результат вычислений перекладывается в регистр eax.</w:t>
      </w:r>
    </w:p>
    <w:p>
      <w:pPr>
        <w:pStyle w:val="BodyText"/>
      </w:pPr>
      <w:r>
        <w:t xml:space="preserve">call iprintLF - вызывается подпрограмма для вывода результата на экран.</w:t>
      </w:r>
    </w:p>
    <w:p>
      <w:pPr>
        <w:pStyle w:val="Compact"/>
        <w:numPr>
          <w:ilvl w:val="0"/>
          <w:numId w:val="1014"/>
        </w:numPr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FirstParagraph"/>
      </w:pPr>
      <w:r>
        <w:t xml:space="preserve">Получили вариант 1 -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10</m:t>
          </m:r>
        </m:oMath>
      </m:oMathPara>
    </w:p>
    <w:bookmarkStart w:id="88" w:name="fig:017"/>
    <w:p>
      <w:pPr>
        <w:pStyle w:val="CaptionedFigure"/>
      </w:pPr>
      <w:r>
        <w:drawing>
          <wp:inline>
            <wp:extent cx="4273616" cy="6853187"/>
            <wp:effectExtent b="0" l="0" r="0" t="0"/>
            <wp:docPr descr="Программа prog.asm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685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prog.asm</w:t>
      </w:r>
    </w:p>
    <w:bookmarkEnd w:id="88"/>
    <w:bookmarkStart w:id="92" w:name="fig:018"/>
    <w:p>
      <w:pPr>
        <w:pStyle w:val="CaptionedFigure"/>
      </w:pPr>
      <w:r>
        <w:drawing>
          <wp:inline>
            <wp:extent cx="5334000" cy="2017397"/>
            <wp:effectExtent b="0" l="0" r="0" t="0"/>
            <wp:docPr descr="Запуск программы prog.asm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prog.asm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Кылыч Гоктюрк</dc:creator>
  <dc:language>ru-RU</dc:language>
  <cp:keywords/>
  <dcterms:created xsi:type="dcterms:W3CDTF">2025-11-11T13:47:21Z</dcterms:created>
  <dcterms:modified xsi:type="dcterms:W3CDTF">2025-11-11T13:47:21Z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