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476D" w14:textId="49E6F031" w:rsidR="00786C9E" w:rsidRDefault="00317A21">
      <w:r w:rsidRPr="00317A21">
        <w:drawing>
          <wp:inline distT="0" distB="0" distL="0" distR="0" wp14:anchorId="3B996922" wp14:editId="07631552">
            <wp:extent cx="4999153" cy="967824"/>
            <wp:effectExtent l="0" t="0" r="0" b="3810"/>
            <wp:docPr id="196469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90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3B78" w14:textId="32F9E6B8" w:rsidR="00317A21" w:rsidRPr="00317A21" w:rsidRDefault="00317A21" w:rsidP="00317A21">
      <w:r w:rsidRPr="00317A21">
        <w:rPr>
          <w:b/>
          <w:bCs/>
        </w:rPr>
        <w:t>What it creates:</w:t>
      </w:r>
      <w:r w:rsidRPr="00317A21">
        <w:t xml:space="preserve"> a </w:t>
      </w:r>
      <w:r w:rsidRPr="00317A21">
        <w:rPr>
          <w:b/>
          <w:bCs/>
        </w:rPr>
        <w:t>Transit Gateway (TGW)</w:t>
      </w:r>
      <w:r w:rsidRPr="00317A21">
        <w:t xml:space="preserve"> in the </w:t>
      </w:r>
      <w:r w:rsidRPr="00317A21">
        <w:rPr>
          <w:b/>
          <w:bCs/>
        </w:rPr>
        <w:t>São Paulo region</w:t>
      </w:r>
      <w:r w:rsidRPr="00317A21">
        <w:t xml:space="preserve"> (because of provider = </w:t>
      </w:r>
      <w:proofErr w:type="spellStart"/>
      <w:proofErr w:type="gramStart"/>
      <w:r w:rsidRPr="00317A21">
        <w:t>aws.saopaulo</w:t>
      </w:r>
      <w:proofErr w:type="spellEnd"/>
      <w:proofErr w:type="gramEnd"/>
      <w:r w:rsidRPr="00317A21">
        <w:t>).</w:t>
      </w:r>
    </w:p>
    <w:p w14:paraId="1C046DB9" w14:textId="4D984473" w:rsidR="00317A21" w:rsidRPr="00317A21" w:rsidRDefault="00317A21" w:rsidP="00317A21">
      <w:r w:rsidRPr="00317A21">
        <w:rPr>
          <w:b/>
          <w:bCs/>
        </w:rPr>
        <w:t>Why it exists:</w:t>
      </w:r>
      <w:r w:rsidRPr="00317A21">
        <w:t xml:space="preserve"> a TGW is a “routing hub” that can connect multiple networks (VPCs, VPNs, and peering attachments).</w:t>
      </w:r>
    </w:p>
    <w:p w14:paraId="70F200E2" w14:textId="0C72FE2D" w:rsidR="00317A21" w:rsidRPr="00317A21" w:rsidRDefault="00317A21" w:rsidP="00317A21">
      <w:r w:rsidRPr="00317A21">
        <w:rPr>
          <w:b/>
          <w:bCs/>
        </w:rPr>
        <w:t>Result:</w:t>
      </w:r>
      <w:r w:rsidRPr="00317A21">
        <w:t xml:space="preserve"> you now have a São Paulo TGW that can attach to the São Paulo VPC and peer to Tokyo’s TGW.</w:t>
      </w:r>
    </w:p>
    <w:p w14:paraId="7ACC17FB" w14:textId="18906EDF" w:rsidR="00317A21" w:rsidRDefault="00317A21">
      <w:r w:rsidRPr="00317A21">
        <w:drawing>
          <wp:inline distT="0" distB="0" distL="0" distR="0" wp14:anchorId="77FA2605" wp14:editId="6E5BE0D5">
            <wp:extent cx="5943600" cy="636270"/>
            <wp:effectExtent l="0" t="0" r="0" b="0"/>
            <wp:docPr id="104338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3858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51D8" w14:textId="057CA649" w:rsidR="00317A21" w:rsidRPr="00317A21" w:rsidRDefault="00317A21" w:rsidP="00317A21">
      <w:r w:rsidRPr="00317A21">
        <w:rPr>
          <w:b/>
          <w:bCs/>
        </w:rPr>
        <w:t>What it does:</w:t>
      </w:r>
      <w:r w:rsidRPr="00317A21">
        <w:t xml:space="preserve"> accepts a </w:t>
      </w:r>
      <w:r w:rsidRPr="00317A21">
        <w:rPr>
          <w:b/>
          <w:bCs/>
        </w:rPr>
        <w:t>Transit Gateway Peering Attachment</w:t>
      </w:r>
      <w:r w:rsidRPr="00317A21">
        <w:t xml:space="preserve"> that was </w:t>
      </w:r>
      <w:r w:rsidRPr="00317A21">
        <w:rPr>
          <w:b/>
          <w:bCs/>
        </w:rPr>
        <w:t>created on the Tokyo side</w:t>
      </w:r>
      <w:r w:rsidRPr="00317A21">
        <w:t xml:space="preserve"> (the requester).</w:t>
      </w:r>
    </w:p>
    <w:p w14:paraId="728D95F2" w14:textId="0BE3B878" w:rsidR="00317A21" w:rsidRPr="00317A21" w:rsidRDefault="00317A21" w:rsidP="00317A21">
      <w:r w:rsidRPr="00317A21">
        <w:rPr>
          <w:b/>
          <w:bCs/>
        </w:rPr>
        <w:t>Key detail:</w:t>
      </w:r>
      <w:r w:rsidRPr="00317A21">
        <w:t xml:space="preserve"> TGW peering across regions is a </w:t>
      </w:r>
      <w:r w:rsidRPr="00317A21">
        <w:rPr>
          <w:b/>
          <w:bCs/>
        </w:rPr>
        <w:t>two-step handshake</w:t>
      </w:r>
      <w:r w:rsidRPr="00317A21">
        <w:t>:</w:t>
      </w:r>
    </w:p>
    <w:p w14:paraId="3CBE53E2" w14:textId="77777777" w:rsidR="00317A21" w:rsidRPr="00317A21" w:rsidRDefault="00317A21" w:rsidP="00317A21">
      <w:pPr>
        <w:numPr>
          <w:ilvl w:val="0"/>
          <w:numId w:val="1"/>
        </w:numPr>
      </w:pPr>
      <w:r w:rsidRPr="00317A21">
        <w:t>Tokyo creates the peering attachment request (aws_ec2_transit_gateway_peering_attachment ...)</w:t>
      </w:r>
    </w:p>
    <w:p w14:paraId="6CA4DF63" w14:textId="77777777" w:rsidR="00317A21" w:rsidRPr="00317A21" w:rsidRDefault="00317A21" w:rsidP="00317A21">
      <w:pPr>
        <w:numPr>
          <w:ilvl w:val="0"/>
          <w:numId w:val="1"/>
        </w:numPr>
      </w:pPr>
      <w:r w:rsidRPr="00317A21">
        <w:t xml:space="preserve">São Paulo </w:t>
      </w:r>
      <w:r w:rsidRPr="00317A21">
        <w:rPr>
          <w:b/>
          <w:bCs/>
        </w:rPr>
        <w:t>accepts</w:t>
      </w:r>
      <w:r w:rsidRPr="00317A21">
        <w:t xml:space="preserve"> it (aws_ec2_transit_gateway_peering_attachment_accepter ...)</w:t>
      </w:r>
    </w:p>
    <w:p w14:paraId="0C1AD473" w14:textId="0112AB7C" w:rsidR="00317A21" w:rsidRPr="00317A21" w:rsidRDefault="00317A21" w:rsidP="00317A21">
      <w:r w:rsidRPr="00317A21">
        <w:rPr>
          <w:b/>
          <w:bCs/>
        </w:rPr>
        <w:t>Result:</w:t>
      </w:r>
      <w:r w:rsidRPr="00317A21">
        <w:t xml:space="preserve"> the cross-region TGW peering is now active </w:t>
      </w:r>
      <w:r w:rsidRPr="00317A21">
        <w:rPr>
          <w:i/>
          <w:iCs/>
        </w:rPr>
        <w:t>from São Paulo’s perspective</w:t>
      </w:r>
      <w:r w:rsidRPr="00317A21">
        <w:t>.</w:t>
      </w:r>
    </w:p>
    <w:p w14:paraId="5D23B66B" w14:textId="77777777" w:rsidR="00317A21" w:rsidRDefault="00317A21"/>
    <w:p w14:paraId="3D9A7EBE" w14:textId="36C6DDD9" w:rsidR="00317A21" w:rsidRDefault="00317A21">
      <w:r>
        <w:rPr>
          <w:noProof/>
        </w:rPr>
        <w:drawing>
          <wp:inline distT="0" distB="0" distL="0" distR="0" wp14:anchorId="08B2DEDA" wp14:editId="6EC28074">
            <wp:extent cx="6690995" cy="1310640"/>
            <wp:effectExtent l="0" t="0" r="0" b="3810"/>
            <wp:docPr id="36667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995" cy="131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89FE0F" w14:textId="552199E6" w:rsidR="00317A21" w:rsidRPr="00317A21" w:rsidRDefault="00317A21" w:rsidP="00317A21">
      <w:r w:rsidRPr="00317A21">
        <w:rPr>
          <w:b/>
          <w:bCs/>
        </w:rPr>
        <w:t>What it does:</w:t>
      </w:r>
      <w:r w:rsidRPr="00317A21">
        <w:t xml:space="preserve"> connects the </w:t>
      </w:r>
      <w:r w:rsidRPr="00317A21">
        <w:rPr>
          <w:b/>
          <w:bCs/>
        </w:rPr>
        <w:t>São Paulo VPC</w:t>
      </w:r>
      <w:r w:rsidRPr="00317A21">
        <w:t xml:space="preserve"> (</w:t>
      </w:r>
      <w:proofErr w:type="spellStart"/>
      <w:r w:rsidRPr="00317A21">
        <w:t>aws_vpc.sao_main_vpc</w:t>
      </w:r>
      <w:proofErr w:type="spellEnd"/>
      <w:r w:rsidRPr="00317A21">
        <w:t xml:space="preserve">) to the </w:t>
      </w:r>
      <w:r w:rsidRPr="00317A21">
        <w:rPr>
          <w:b/>
          <w:bCs/>
        </w:rPr>
        <w:t>São Paulo TGW</w:t>
      </w:r>
      <w:r w:rsidRPr="00317A21">
        <w:t>.</w:t>
      </w:r>
    </w:p>
    <w:p w14:paraId="61E46FFF" w14:textId="011DB952" w:rsidR="00317A21" w:rsidRPr="00317A21" w:rsidRDefault="00317A21" w:rsidP="00317A21">
      <w:r w:rsidRPr="00317A21">
        <w:rPr>
          <w:b/>
          <w:bCs/>
        </w:rPr>
        <w:t>Why subnets matter:</w:t>
      </w:r>
      <w:r w:rsidRPr="00317A21">
        <w:t xml:space="preserve"> the </w:t>
      </w:r>
      <w:proofErr w:type="spellStart"/>
      <w:r w:rsidRPr="00317A21">
        <w:t>subnet_ids</w:t>
      </w:r>
      <w:proofErr w:type="spellEnd"/>
      <w:r w:rsidRPr="00317A21">
        <w:t xml:space="preserve"> are the “attachment subnets” where AWS places </w:t>
      </w:r>
      <w:r w:rsidRPr="00317A21">
        <w:rPr>
          <w:b/>
          <w:bCs/>
        </w:rPr>
        <w:t>TGW ENIs</w:t>
      </w:r>
      <w:r w:rsidRPr="00317A21">
        <w:t>. Best practice is:</w:t>
      </w:r>
    </w:p>
    <w:p w14:paraId="13A96EDE" w14:textId="77777777" w:rsidR="00317A21" w:rsidRPr="00317A21" w:rsidRDefault="00317A21" w:rsidP="00317A21">
      <w:pPr>
        <w:numPr>
          <w:ilvl w:val="0"/>
          <w:numId w:val="2"/>
        </w:numPr>
      </w:pPr>
      <w:r w:rsidRPr="00317A21">
        <w:lastRenderedPageBreak/>
        <w:t xml:space="preserve">use </w:t>
      </w:r>
      <w:r w:rsidRPr="00317A21">
        <w:rPr>
          <w:b/>
          <w:bCs/>
        </w:rPr>
        <w:t>private subnets</w:t>
      </w:r>
    </w:p>
    <w:p w14:paraId="660EFD55" w14:textId="77777777" w:rsidR="00317A21" w:rsidRPr="00317A21" w:rsidRDefault="00317A21" w:rsidP="00317A21">
      <w:pPr>
        <w:numPr>
          <w:ilvl w:val="0"/>
          <w:numId w:val="2"/>
        </w:numPr>
      </w:pPr>
      <w:r w:rsidRPr="00317A21">
        <w:t xml:space="preserve">use </w:t>
      </w:r>
      <w:r w:rsidRPr="00317A21">
        <w:rPr>
          <w:b/>
          <w:bCs/>
        </w:rPr>
        <w:t>at least 2 AZs</w:t>
      </w:r>
      <w:r w:rsidRPr="00317A21">
        <w:t xml:space="preserve"> (you’re doing that with [0] and [1])</w:t>
      </w:r>
    </w:p>
    <w:p w14:paraId="6819990B" w14:textId="7712FBB1" w:rsidR="00317A21" w:rsidRPr="00317A21" w:rsidRDefault="00317A21" w:rsidP="00317A21">
      <w:r w:rsidRPr="00317A21">
        <w:rPr>
          <w:b/>
          <w:bCs/>
        </w:rPr>
        <w:t>Result:</w:t>
      </w:r>
      <w:r w:rsidRPr="00317A21">
        <w:t xml:space="preserve"> resources in the São Paulo VPC can route traffic </w:t>
      </w:r>
      <w:r w:rsidRPr="00317A21">
        <w:rPr>
          <w:i/>
          <w:iCs/>
        </w:rPr>
        <w:t>to/from</w:t>
      </w:r>
      <w:r w:rsidRPr="00317A21">
        <w:t xml:space="preserve"> the TGW.</w:t>
      </w:r>
    </w:p>
    <w:p w14:paraId="23596178" w14:textId="77777777" w:rsidR="00317A21" w:rsidRDefault="00317A21"/>
    <w:p w14:paraId="6C414A65" w14:textId="5879447C" w:rsidR="00317A21" w:rsidRDefault="00317A21">
      <w:r>
        <w:rPr>
          <w:noProof/>
        </w:rPr>
        <w:drawing>
          <wp:inline distT="0" distB="0" distL="0" distR="0" wp14:anchorId="0A5E56AF" wp14:editId="303D1469">
            <wp:extent cx="9220835" cy="1165860"/>
            <wp:effectExtent l="0" t="0" r="0" b="0"/>
            <wp:docPr id="20915372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835" cy="116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B40939" w14:textId="052428EB" w:rsidR="00317A21" w:rsidRPr="00317A21" w:rsidRDefault="00317A21" w:rsidP="00317A21">
      <w:r w:rsidRPr="00317A21">
        <w:rPr>
          <w:b/>
          <w:bCs/>
        </w:rPr>
        <w:t>What it does:</w:t>
      </w:r>
      <w:r w:rsidRPr="00317A21">
        <w:t xml:space="preserve"> tells the São Paulo TGW:</w:t>
      </w:r>
      <w:r w:rsidRPr="00317A21">
        <w:br/>
      </w:r>
      <w:r w:rsidRPr="00317A21">
        <w:rPr>
          <w:b/>
          <w:bCs/>
        </w:rPr>
        <w:t>“To reach Tokyo’s network 10.30.0.0/16, send traffic over the peering attachment.”</w:t>
      </w:r>
    </w:p>
    <w:p w14:paraId="5FD2AB58" w14:textId="424399C6" w:rsidR="00317A21" w:rsidRPr="00317A21" w:rsidRDefault="00317A21" w:rsidP="00317A21">
      <w:r w:rsidRPr="00317A21">
        <w:rPr>
          <w:b/>
          <w:bCs/>
        </w:rPr>
        <w:t>Where it adds the route:</w:t>
      </w:r>
      <w:r w:rsidRPr="00317A21">
        <w:t xml:space="preserve"> the TGW’s </w:t>
      </w:r>
      <w:r w:rsidRPr="00317A21">
        <w:rPr>
          <w:b/>
          <w:bCs/>
        </w:rPr>
        <w:t>default association route table</w:t>
      </w:r>
      <w:r w:rsidRPr="00317A21">
        <w:t xml:space="preserve"> (</w:t>
      </w:r>
      <w:proofErr w:type="spellStart"/>
      <w:r w:rsidRPr="00317A21">
        <w:t>association_default_route_table_id</w:t>
      </w:r>
      <w:proofErr w:type="spellEnd"/>
      <w:r w:rsidRPr="00317A21">
        <w:t>). That means:</w:t>
      </w:r>
    </w:p>
    <w:p w14:paraId="30042E6E" w14:textId="77777777" w:rsidR="00317A21" w:rsidRPr="00317A21" w:rsidRDefault="00317A21" w:rsidP="00317A21">
      <w:pPr>
        <w:numPr>
          <w:ilvl w:val="0"/>
          <w:numId w:val="3"/>
        </w:numPr>
      </w:pPr>
      <w:r w:rsidRPr="00317A21">
        <w:t>any attachment that’s associated with that default TGW route table will learn/use this route.</w:t>
      </w:r>
    </w:p>
    <w:p w14:paraId="2B75F52C" w14:textId="3A139DF6" w:rsidR="00317A21" w:rsidRPr="00317A21" w:rsidRDefault="00317A21" w:rsidP="00317A21">
      <w:r w:rsidRPr="00317A21">
        <w:rPr>
          <w:b/>
          <w:bCs/>
        </w:rPr>
        <w:t>Result:</w:t>
      </w:r>
      <w:r w:rsidRPr="00317A21">
        <w:t xml:space="preserve"> TGW-level routing now knows how to reach Tokyo’s CIDR via the TGW peering.</w:t>
      </w:r>
    </w:p>
    <w:p w14:paraId="5C691857" w14:textId="77777777" w:rsidR="00317A21" w:rsidRDefault="00317A21"/>
    <w:sectPr w:rsidR="00317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2029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07AAE"/>
    <w:multiLevelType w:val="multilevel"/>
    <w:tmpl w:val="2E7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53896"/>
    <w:multiLevelType w:val="multilevel"/>
    <w:tmpl w:val="3E70E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129527">
    <w:abstractNumId w:val="2"/>
  </w:num>
  <w:num w:numId="2" w16cid:durableId="792865152">
    <w:abstractNumId w:val="1"/>
  </w:num>
  <w:num w:numId="3" w16cid:durableId="187834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A21"/>
    <w:rsid w:val="00317A21"/>
    <w:rsid w:val="007534AD"/>
    <w:rsid w:val="00786C9E"/>
    <w:rsid w:val="00896A52"/>
    <w:rsid w:val="008E6A06"/>
    <w:rsid w:val="00AE2A7F"/>
    <w:rsid w:val="00C3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8B0A5"/>
  <w15:chartTrackingRefBased/>
  <w15:docId w15:val="{BA98B957-CEAE-47CA-8AB2-4E4F6ACBA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Tolliver Jr</dc:creator>
  <cp:keywords/>
  <dc:description/>
  <cp:lastModifiedBy>Joe Tolliver Jr</cp:lastModifiedBy>
  <cp:revision>2</cp:revision>
  <dcterms:created xsi:type="dcterms:W3CDTF">2026-02-13T21:11:00Z</dcterms:created>
  <dcterms:modified xsi:type="dcterms:W3CDTF">2026-02-13T21:11:00Z</dcterms:modified>
</cp:coreProperties>
</file>