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4CAB" w14:textId="373CCFE9" w:rsidR="00786C9E" w:rsidRDefault="00E5675C">
      <w:r w:rsidRPr="00E5675C">
        <w:drawing>
          <wp:inline distT="0" distB="0" distL="0" distR="0" wp14:anchorId="3300F217" wp14:editId="46542B08">
            <wp:extent cx="5006774" cy="975445"/>
            <wp:effectExtent l="0" t="0" r="3810" b="0"/>
            <wp:docPr id="4979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84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BAA" w14:textId="29D13046" w:rsidR="00E5675C" w:rsidRPr="00E5675C" w:rsidRDefault="00E5675C" w:rsidP="00E5675C">
      <w:r w:rsidRPr="00E5675C">
        <w:rPr>
          <w:b/>
          <w:bCs/>
        </w:rPr>
        <w:t>What it creates:</w:t>
      </w:r>
      <w:r w:rsidRPr="00E5675C">
        <w:t xml:space="preserve"> a </w:t>
      </w:r>
      <w:r w:rsidRPr="00E5675C">
        <w:rPr>
          <w:b/>
          <w:bCs/>
        </w:rPr>
        <w:t>Transit Gateway (TGW)</w:t>
      </w:r>
      <w:r w:rsidRPr="00E5675C">
        <w:t xml:space="preserve"> in </w:t>
      </w:r>
      <w:r w:rsidRPr="00E5675C">
        <w:rPr>
          <w:b/>
          <w:bCs/>
        </w:rPr>
        <w:t>ap-northeast-1 (Tokyo)</w:t>
      </w:r>
      <w:r w:rsidRPr="00E5675C">
        <w:t>.</w:t>
      </w:r>
    </w:p>
    <w:p w14:paraId="4FEA6123" w14:textId="34D6A61C" w:rsidR="00E5675C" w:rsidRPr="00E5675C" w:rsidRDefault="00E5675C" w:rsidP="00E5675C">
      <w:r w:rsidRPr="00E5675C">
        <w:rPr>
          <w:b/>
          <w:bCs/>
        </w:rPr>
        <w:t>What it’s for:</w:t>
      </w:r>
      <w:r w:rsidRPr="00E5675C">
        <w:t xml:space="preserve"> TGW is a regional router that connects multiple networks (VPCs, VPNs, DX, and other TGWs via peering).</w:t>
      </w:r>
    </w:p>
    <w:p w14:paraId="6D9D6762" w14:textId="7E3938FA" w:rsidR="00E5675C" w:rsidRPr="00E5675C" w:rsidRDefault="00E5675C" w:rsidP="00E5675C">
      <w:r w:rsidRPr="00E5675C">
        <w:rPr>
          <w:b/>
          <w:bCs/>
        </w:rPr>
        <w:t>Output you use later:</w:t>
      </w:r>
      <w:r w:rsidRPr="00E5675C">
        <w:t xml:space="preserve"> aws_ec2_transit_gateway.armageddon_shinjuku_tgw01.id (the TGW ID), plus default route table IDs on that TGW.</w:t>
      </w:r>
    </w:p>
    <w:p w14:paraId="7448626C" w14:textId="77777777" w:rsidR="00E5675C" w:rsidRDefault="00E5675C"/>
    <w:p w14:paraId="2085519D" w14:textId="580DD337" w:rsidR="00E5675C" w:rsidRDefault="00E5675C">
      <w:r>
        <w:rPr>
          <w:noProof/>
        </w:rPr>
        <w:drawing>
          <wp:inline distT="0" distB="0" distL="0" distR="0" wp14:anchorId="41418601" wp14:editId="25520EC8">
            <wp:extent cx="6828155" cy="1348740"/>
            <wp:effectExtent l="0" t="0" r="0" b="3810"/>
            <wp:docPr id="12862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155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86F7F" w14:textId="048EE5AF" w:rsidR="00E5675C" w:rsidRPr="00E5675C" w:rsidRDefault="00E5675C" w:rsidP="00E5675C">
      <w:r w:rsidRPr="00E5675C">
        <w:rPr>
          <w:b/>
          <w:bCs/>
        </w:rPr>
        <w:t>What it creates:</w:t>
      </w:r>
      <w:r w:rsidRPr="00E5675C">
        <w:t xml:space="preserve"> a </w:t>
      </w:r>
      <w:r w:rsidRPr="00E5675C">
        <w:rPr>
          <w:b/>
          <w:bCs/>
        </w:rPr>
        <w:t>TGW VPC attachment</w:t>
      </w:r>
      <w:r w:rsidRPr="00E5675C">
        <w:t xml:space="preserve"> between:</w:t>
      </w:r>
    </w:p>
    <w:p w14:paraId="621A50EC" w14:textId="77777777" w:rsidR="00E5675C" w:rsidRPr="00E5675C" w:rsidRDefault="00E5675C" w:rsidP="00E5675C">
      <w:pPr>
        <w:numPr>
          <w:ilvl w:val="0"/>
          <w:numId w:val="1"/>
        </w:numPr>
      </w:pPr>
      <w:r w:rsidRPr="00E5675C">
        <w:t xml:space="preserve">the </w:t>
      </w:r>
      <w:r w:rsidRPr="00E5675C">
        <w:rPr>
          <w:b/>
          <w:bCs/>
        </w:rPr>
        <w:t>Tokyo TGW</w:t>
      </w:r>
    </w:p>
    <w:p w14:paraId="269F5C41" w14:textId="77777777" w:rsidR="00E5675C" w:rsidRPr="00E5675C" w:rsidRDefault="00E5675C" w:rsidP="00E5675C">
      <w:pPr>
        <w:numPr>
          <w:ilvl w:val="0"/>
          <w:numId w:val="1"/>
        </w:numPr>
      </w:pPr>
      <w:r w:rsidRPr="00E5675C">
        <w:t xml:space="preserve">your </w:t>
      </w:r>
      <w:r w:rsidRPr="00E5675C">
        <w:rPr>
          <w:b/>
          <w:bCs/>
        </w:rPr>
        <w:t>Tokyo VPC</w:t>
      </w:r>
      <w:r w:rsidRPr="00E5675C">
        <w:t xml:space="preserve"> (</w:t>
      </w:r>
      <w:proofErr w:type="spellStart"/>
      <w:r w:rsidRPr="00E5675C">
        <w:t>aws_</w:t>
      </w:r>
      <w:proofErr w:type="gramStart"/>
      <w:r w:rsidRPr="00E5675C">
        <w:t>vpc.main</w:t>
      </w:r>
      <w:proofErr w:type="gramEnd"/>
      <w:r w:rsidRPr="00E5675C">
        <w:t>_vpc</w:t>
      </w:r>
      <w:proofErr w:type="spellEnd"/>
      <w:r w:rsidRPr="00E5675C">
        <w:t>)</w:t>
      </w:r>
    </w:p>
    <w:p w14:paraId="4AA30061" w14:textId="3649BE49" w:rsidR="00E5675C" w:rsidRPr="00E5675C" w:rsidRDefault="00E5675C" w:rsidP="00E5675C">
      <w:r w:rsidRPr="00E5675C">
        <w:rPr>
          <w:b/>
          <w:bCs/>
        </w:rPr>
        <w:t xml:space="preserve">Why the </w:t>
      </w:r>
      <w:proofErr w:type="spellStart"/>
      <w:r w:rsidRPr="00E5675C">
        <w:rPr>
          <w:b/>
          <w:bCs/>
        </w:rPr>
        <w:t>subnet_ids</w:t>
      </w:r>
      <w:proofErr w:type="spellEnd"/>
      <w:r w:rsidRPr="00E5675C">
        <w:rPr>
          <w:b/>
          <w:bCs/>
        </w:rPr>
        <w:t xml:space="preserve"> matter:</w:t>
      </w:r>
      <w:r w:rsidRPr="00E5675C">
        <w:t xml:space="preserve"> those subnets become the “attachment ENI locations” in your VPC (one per AZ you include).</w:t>
      </w:r>
    </w:p>
    <w:p w14:paraId="6A52701D" w14:textId="560C7407" w:rsidR="00E5675C" w:rsidRPr="00E5675C" w:rsidRDefault="00E5675C" w:rsidP="00E5675C">
      <w:r w:rsidRPr="00E5675C">
        <w:rPr>
          <w:b/>
          <w:bCs/>
        </w:rPr>
        <w:t>Important note:</w:t>
      </w:r>
      <w:r w:rsidRPr="00E5675C">
        <w:t xml:space="preserve"> Using </w:t>
      </w:r>
      <w:proofErr w:type="spellStart"/>
      <w:r w:rsidRPr="00E5675C">
        <w:t>aws_</w:t>
      </w:r>
      <w:proofErr w:type="gramStart"/>
      <w:r w:rsidRPr="00E5675C">
        <w:t>subnet.private</w:t>
      </w:r>
      <w:proofErr w:type="spellEnd"/>
      <w:proofErr w:type="gramEnd"/>
      <w:r w:rsidRPr="00E5675C">
        <w:t xml:space="preserve">[*].id attaches </w:t>
      </w:r>
      <w:r w:rsidRPr="00E5675C">
        <w:rPr>
          <w:b/>
          <w:bCs/>
        </w:rPr>
        <w:t>all</w:t>
      </w:r>
      <w:r w:rsidRPr="00E5675C">
        <w:t xml:space="preserve"> private subnets you have. That’s okay if you truly want that, but common practice is </w:t>
      </w:r>
      <w:r w:rsidRPr="00E5675C">
        <w:rPr>
          <w:b/>
          <w:bCs/>
        </w:rPr>
        <w:t>2 subnets in 2 AZs</w:t>
      </w:r>
      <w:r w:rsidRPr="00E5675C">
        <w:t xml:space="preserve"> for HA, not necessarily every subnet.</w:t>
      </w:r>
    </w:p>
    <w:p w14:paraId="590962A4" w14:textId="77777777" w:rsidR="00E5675C" w:rsidRDefault="00E5675C"/>
    <w:p w14:paraId="79CBEBAA" w14:textId="77777777" w:rsidR="00E5675C" w:rsidRDefault="00E5675C" w:rsidP="00E5675C">
      <w:r>
        <w:rPr>
          <w:noProof/>
        </w:rPr>
        <w:drawing>
          <wp:inline distT="0" distB="0" distL="0" distR="0" wp14:anchorId="050BC0F0" wp14:editId="3503ED3A">
            <wp:extent cx="8687435" cy="1165860"/>
            <wp:effectExtent l="0" t="0" r="0" b="0"/>
            <wp:docPr id="1034515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7435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D13D23" w14:textId="557EBAAA" w:rsidR="00E5675C" w:rsidRPr="00E5675C" w:rsidRDefault="00E5675C" w:rsidP="00E5675C">
      <w:r w:rsidRPr="00E5675C">
        <w:rPr>
          <w:b/>
          <w:bCs/>
        </w:rPr>
        <w:lastRenderedPageBreak/>
        <w:t>What it creates:</w:t>
      </w:r>
      <w:r w:rsidRPr="00E5675C">
        <w:t xml:space="preserve"> a </w:t>
      </w:r>
      <w:r w:rsidRPr="00E5675C">
        <w:rPr>
          <w:b/>
          <w:bCs/>
        </w:rPr>
        <w:t>TGW peering attachment request</w:t>
      </w:r>
      <w:r w:rsidRPr="00E5675C">
        <w:t xml:space="preserve"> from Tokyo TGW to a São Paulo TGW.</w:t>
      </w:r>
    </w:p>
    <w:p w14:paraId="072338CB" w14:textId="76CB7FE1" w:rsidR="00E5675C" w:rsidRPr="00E5675C" w:rsidRDefault="00E5675C" w:rsidP="00E5675C">
      <w:proofErr w:type="spellStart"/>
      <w:r w:rsidRPr="00E5675C">
        <w:rPr>
          <w:b/>
          <w:bCs/>
        </w:rPr>
        <w:t>peer_transit_gateway_id</w:t>
      </w:r>
      <w:proofErr w:type="spellEnd"/>
      <w:r w:rsidRPr="00E5675C">
        <w:rPr>
          <w:b/>
          <w:bCs/>
        </w:rPr>
        <w:t>:</w:t>
      </w:r>
      <w:r w:rsidRPr="00E5675C">
        <w:t xml:space="preserve"> must be the TGW </w:t>
      </w:r>
      <w:r w:rsidRPr="00E5675C">
        <w:rPr>
          <w:b/>
          <w:bCs/>
        </w:rPr>
        <w:t>ID in São Paulo</w:t>
      </w:r>
      <w:r w:rsidRPr="00E5675C">
        <w:t>. You’re referencing it as if Terraform can “see” it; that’s only true if:</w:t>
      </w:r>
    </w:p>
    <w:p w14:paraId="6D466563" w14:textId="77777777" w:rsidR="00E5675C" w:rsidRPr="00E5675C" w:rsidRDefault="00E5675C" w:rsidP="00E5675C">
      <w:pPr>
        <w:numPr>
          <w:ilvl w:val="0"/>
          <w:numId w:val="2"/>
        </w:numPr>
      </w:pPr>
      <w:r w:rsidRPr="00E5675C">
        <w:t>it’s in the same state, or</w:t>
      </w:r>
    </w:p>
    <w:p w14:paraId="40AC7629" w14:textId="77777777" w:rsidR="00E5675C" w:rsidRPr="00E5675C" w:rsidRDefault="00E5675C" w:rsidP="00E5675C">
      <w:pPr>
        <w:numPr>
          <w:ilvl w:val="0"/>
          <w:numId w:val="2"/>
        </w:numPr>
      </w:pPr>
      <w:r w:rsidRPr="00E5675C">
        <w:t xml:space="preserve">you import it via </w:t>
      </w:r>
      <w:proofErr w:type="spellStart"/>
      <w:r w:rsidRPr="00E5675C">
        <w:t>terraform_remote_state</w:t>
      </w:r>
      <w:proofErr w:type="spellEnd"/>
      <w:r w:rsidRPr="00E5675C">
        <w:t xml:space="preserve"> output, or</w:t>
      </w:r>
    </w:p>
    <w:p w14:paraId="333DCBA7" w14:textId="77777777" w:rsidR="00E5675C" w:rsidRPr="00E5675C" w:rsidRDefault="00E5675C" w:rsidP="00E5675C">
      <w:pPr>
        <w:numPr>
          <w:ilvl w:val="0"/>
          <w:numId w:val="2"/>
        </w:numPr>
      </w:pPr>
      <w:r w:rsidRPr="00E5675C">
        <w:t>you pass it in as a variable.</w:t>
      </w:r>
    </w:p>
    <w:p w14:paraId="64BA8774" w14:textId="67FA4803" w:rsidR="00E5675C" w:rsidRPr="00E5675C" w:rsidRDefault="00E5675C" w:rsidP="00E5675C">
      <w:r w:rsidRPr="00E5675C">
        <w:rPr>
          <w:b/>
          <w:bCs/>
        </w:rPr>
        <w:t xml:space="preserve">Missing piece (implied by your later </w:t>
      </w:r>
      <w:proofErr w:type="spellStart"/>
      <w:r w:rsidRPr="00E5675C">
        <w:rPr>
          <w:b/>
          <w:bCs/>
        </w:rPr>
        <w:t>depends_on</w:t>
      </w:r>
      <w:proofErr w:type="spellEnd"/>
      <w:r w:rsidRPr="00E5675C">
        <w:rPr>
          <w:b/>
          <w:bCs/>
        </w:rPr>
        <w:t>):</w:t>
      </w:r>
    </w:p>
    <w:p w14:paraId="62EB5969" w14:textId="77777777" w:rsidR="00E5675C" w:rsidRPr="00E5675C" w:rsidRDefault="00E5675C" w:rsidP="00E5675C">
      <w:pPr>
        <w:numPr>
          <w:ilvl w:val="0"/>
          <w:numId w:val="3"/>
        </w:numPr>
      </w:pPr>
      <w:r w:rsidRPr="00E5675C">
        <w:t xml:space="preserve">The </w:t>
      </w:r>
      <w:r w:rsidRPr="00E5675C">
        <w:rPr>
          <w:b/>
          <w:bCs/>
        </w:rPr>
        <w:t>accepter</w:t>
      </w:r>
      <w:r w:rsidRPr="00E5675C">
        <w:t xml:space="preserve"> resource must exist in São Paulo (aws_ec2_transit_gateway_peering_attachment_accepter) to accept the peering.</w:t>
      </w:r>
    </w:p>
    <w:p w14:paraId="4E329234" w14:textId="77777777" w:rsidR="00E5675C" w:rsidRDefault="00E5675C"/>
    <w:p w14:paraId="44EB8BF8" w14:textId="25D621C8" w:rsidR="00E5675C" w:rsidRDefault="00E5675C">
      <w:r>
        <w:rPr>
          <w:noProof/>
        </w:rPr>
        <w:drawing>
          <wp:inline distT="0" distB="0" distL="0" distR="0" wp14:anchorId="223FC6C5" wp14:editId="44024321">
            <wp:extent cx="8938895" cy="1501140"/>
            <wp:effectExtent l="0" t="0" r="0" b="3810"/>
            <wp:docPr id="1198623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8895" cy="150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7E52C" w14:textId="674EB1CC" w:rsidR="00E5675C" w:rsidRPr="00E5675C" w:rsidRDefault="00E5675C" w:rsidP="00E5675C">
      <w:r w:rsidRPr="00E5675C">
        <w:rPr>
          <w:b/>
          <w:bCs/>
        </w:rPr>
        <w:t>What it does:</w:t>
      </w:r>
      <w:r w:rsidRPr="00E5675C">
        <w:t xml:space="preserve"> inside the Tokyo TGW’s </w:t>
      </w:r>
      <w:r w:rsidRPr="00E5675C">
        <w:rPr>
          <w:b/>
          <w:bCs/>
        </w:rPr>
        <w:t>default association route table</w:t>
      </w:r>
      <w:r w:rsidRPr="00E5675C">
        <w:t>, it says:</w:t>
      </w:r>
    </w:p>
    <w:p w14:paraId="023FB9E8" w14:textId="77777777" w:rsidR="00E5675C" w:rsidRPr="00E5675C" w:rsidRDefault="00E5675C" w:rsidP="00E5675C">
      <w:pPr>
        <w:numPr>
          <w:ilvl w:val="0"/>
          <w:numId w:val="4"/>
        </w:numPr>
      </w:pPr>
      <w:r w:rsidRPr="00E5675C">
        <w:t xml:space="preserve">“To reach 10.80.0.0/16 (São Paulo VPC), forward traffic over the </w:t>
      </w:r>
      <w:r w:rsidRPr="00E5675C">
        <w:rPr>
          <w:b/>
          <w:bCs/>
        </w:rPr>
        <w:t>TGW peering attachment</w:t>
      </w:r>
      <w:r w:rsidRPr="00E5675C">
        <w:t>.”</w:t>
      </w:r>
    </w:p>
    <w:p w14:paraId="61CBA291" w14:textId="3EC8C745" w:rsidR="00E5675C" w:rsidRPr="00E5675C" w:rsidRDefault="00E5675C" w:rsidP="00E5675C">
      <w:r w:rsidRPr="00E5675C">
        <w:rPr>
          <w:b/>
          <w:bCs/>
        </w:rPr>
        <w:t xml:space="preserve">Why </w:t>
      </w:r>
      <w:proofErr w:type="spellStart"/>
      <w:r w:rsidRPr="00E5675C">
        <w:rPr>
          <w:b/>
          <w:bCs/>
        </w:rPr>
        <w:t>depends_on</w:t>
      </w:r>
      <w:proofErr w:type="spellEnd"/>
      <w:r w:rsidRPr="00E5675C">
        <w:rPr>
          <w:b/>
          <w:bCs/>
        </w:rPr>
        <w:t>:</w:t>
      </w:r>
      <w:r w:rsidRPr="00E5675C">
        <w:t xml:space="preserve"> Terraform might try to add the route before the peering is accepted. </w:t>
      </w:r>
      <w:proofErr w:type="gramStart"/>
      <w:r w:rsidRPr="00E5675C">
        <w:t>This forces</w:t>
      </w:r>
      <w:proofErr w:type="gramEnd"/>
      <w:r w:rsidRPr="00E5675C">
        <w:t xml:space="preserve"> ordering so the accepter exists/ran first.</w:t>
      </w:r>
    </w:p>
    <w:p w14:paraId="5C2871BD" w14:textId="5C633512" w:rsidR="00E5675C" w:rsidRPr="00E5675C" w:rsidRDefault="00E5675C" w:rsidP="00E5675C">
      <w:r w:rsidRPr="00E5675C">
        <w:rPr>
          <w:b/>
          <w:bCs/>
        </w:rPr>
        <w:t>Key idea:</w:t>
      </w:r>
      <w:r w:rsidRPr="00E5675C">
        <w:t xml:space="preserve"> TGW routing is separate from VPC routing. This is the </w:t>
      </w:r>
      <w:r w:rsidRPr="00E5675C">
        <w:rPr>
          <w:b/>
          <w:bCs/>
        </w:rPr>
        <w:t>TGW-side</w:t>
      </w:r>
      <w:r w:rsidRPr="00E5675C">
        <w:t xml:space="preserve"> route.</w:t>
      </w:r>
    </w:p>
    <w:p w14:paraId="0C3C7186" w14:textId="77777777" w:rsidR="00E5675C" w:rsidRDefault="00E5675C"/>
    <w:p w14:paraId="3AFE9EDC" w14:textId="71C6A2BD" w:rsidR="00E5675C" w:rsidRDefault="00E5675C">
      <w:r>
        <w:rPr>
          <w:noProof/>
        </w:rPr>
        <w:drawing>
          <wp:inline distT="0" distB="0" distL="0" distR="0" wp14:anchorId="73DE429B" wp14:editId="50AF57C3">
            <wp:extent cx="5989955" cy="1120140"/>
            <wp:effectExtent l="0" t="0" r="0" b="3810"/>
            <wp:docPr id="1184900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112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07CCC" w14:textId="78115220" w:rsidR="00E5675C" w:rsidRPr="00E5675C" w:rsidRDefault="00E5675C" w:rsidP="00E5675C">
      <w:r w:rsidRPr="00E5675C">
        <w:rPr>
          <w:b/>
          <w:bCs/>
        </w:rPr>
        <w:t>What it does:</w:t>
      </w:r>
      <w:r w:rsidRPr="00E5675C">
        <w:t xml:space="preserve"> in </w:t>
      </w:r>
      <w:r w:rsidRPr="00E5675C">
        <w:rPr>
          <w:b/>
          <w:bCs/>
        </w:rPr>
        <w:t>one specific Tokyo VPC route table</w:t>
      </w:r>
      <w:r w:rsidRPr="00E5675C">
        <w:t>, it says:</w:t>
      </w:r>
    </w:p>
    <w:p w14:paraId="30A06764" w14:textId="77777777" w:rsidR="00E5675C" w:rsidRPr="00E5675C" w:rsidRDefault="00E5675C" w:rsidP="00E5675C">
      <w:pPr>
        <w:numPr>
          <w:ilvl w:val="0"/>
          <w:numId w:val="5"/>
        </w:numPr>
      </w:pPr>
      <w:r w:rsidRPr="00E5675C">
        <w:lastRenderedPageBreak/>
        <w:t xml:space="preserve">“To reach 10.80.0.0/16, send to the </w:t>
      </w:r>
      <w:r w:rsidRPr="00E5675C">
        <w:rPr>
          <w:b/>
          <w:bCs/>
        </w:rPr>
        <w:t>TGW</w:t>
      </w:r>
      <w:r w:rsidRPr="00E5675C">
        <w:t>.”</w:t>
      </w:r>
    </w:p>
    <w:p w14:paraId="14AB3388" w14:textId="3DF466E6" w:rsidR="00E5675C" w:rsidRPr="00E5675C" w:rsidRDefault="00E5675C" w:rsidP="00E5675C">
      <w:r w:rsidRPr="00E5675C">
        <w:rPr>
          <w:b/>
          <w:bCs/>
        </w:rPr>
        <w:t>Why this is required:</w:t>
      </w:r>
      <w:r w:rsidRPr="00E5675C">
        <w:t xml:space="preserve"> instances in your Tokyo subnets use their subnet’s route table. Without this VPC route:</w:t>
      </w:r>
    </w:p>
    <w:p w14:paraId="06E4B7D6" w14:textId="77777777" w:rsidR="00E5675C" w:rsidRPr="00E5675C" w:rsidRDefault="00E5675C" w:rsidP="00E5675C">
      <w:pPr>
        <w:numPr>
          <w:ilvl w:val="0"/>
          <w:numId w:val="6"/>
        </w:numPr>
      </w:pPr>
      <w:r w:rsidRPr="00E5675C">
        <w:t>traffic destined for São Paulo never even reaches the TGW.</w:t>
      </w:r>
    </w:p>
    <w:p w14:paraId="0F6D2E8A" w14:textId="143AC2D9" w:rsidR="00E5675C" w:rsidRDefault="00E5675C" w:rsidP="00E5675C">
      <w:r w:rsidRPr="00E5675C">
        <w:rPr>
          <w:b/>
          <w:bCs/>
        </w:rPr>
        <w:t>Big red flag:</w:t>
      </w:r>
      <w:r w:rsidRPr="00E5675C">
        <w:t xml:space="preserve"> the route table ID is </w:t>
      </w:r>
      <w:r w:rsidRPr="00E5675C">
        <w:rPr>
          <w:b/>
          <w:bCs/>
        </w:rPr>
        <w:t>hard-coded</w:t>
      </w:r>
      <w:r w:rsidRPr="00E5675C">
        <w:t>. If you ever recreate route tables, that ID can change and break.</w:t>
      </w:r>
    </w:p>
    <w:p w14:paraId="523EF3E2" w14:textId="77777777" w:rsidR="00E5675C" w:rsidRDefault="00E5675C" w:rsidP="00E5675C"/>
    <w:p w14:paraId="43D998B7" w14:textId="3F13ADBF" w:rsidR="00E5675C" w:rsidRDefault="00E5675C" w:rsidP="00E5675C">
      <w:r w:rsidRPr="00E5675C">
        <w:drawing>
          <wp:inline distT="0" distB="0" distL="0" distR="0" wp14:anchorId="70FD5405" wp14:editId="418D49A3">
            <wp:extent cx="4732430" cy="777307"/>
            <wp:effectExtent l="0" t="0" r="0" b="3810"/>
            <wp:docPr id="12257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6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6B57" w14:textId="52DD8692" w:rsidR="00E5675C" w:rsidRPr="00E5675C" w:rsidRDefault="00E5675C" w:rsidP="00E5675C">
      <w:r w:rsidRPr="00E5675C">
        <w:rPr>
          <w:b/>
          <w:bCs/>
        </w:rPr>
        <w:t>Why you used it:</w:t>
      </w:r>
      <w:r w:rsidRPr="00E5675C">
        <w:t xml:space="preserve"> to find the </w:t>
      </w:r>
      <w:proofErr w:type="spellStart"/>
      <w:r w:rsidRPr="00E5675C">
        <w:t>rtb</w:t>
      </w:r>
      <w:proofErr w:type="spellEnd"/>
      <w:r w:rsidRPr="00E5675C">
        <w:t>-... to plug into Terraform.</w:t>
      </w:r>
    </w:p>
    <w:p w14:paraId="31C4C323" w14:textId="77777777" w:rsidR="00E5675C" w:rsidRDefault="00E5675C"/>
    <w:sectPr w:rsidR="00E5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5260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D5B51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C66F5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E7CD6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77579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07BB5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696380">
    <w:abstractNumId w:val="5"/>
  </w:num>
  <w:num w:numId="2" w16cid:durableId="387457268">
    <w:abstractNumId w:val="2"/>
  </w:num>
  <w:num w:numId="3" w16cid:durableId="1943801679">
    <w:abstractNumId w:val="4"/>
  </w:num>
  <w:num w:numId="4" w16cid:durableId="1946424328">
    <w:abstractNumId w:val="3"/>
  </w:num>
  <w:num w:numId="5" w16cid:durableId="65492130">
    <w:abstractNumId w:val="0"/>
  </w:num>
  <w:num w:numId="6" w16cid:durableId="191038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5C"/>
    <w:rsid w:val="007534AD"/>
    <w:rsid w:val="00786C9E"/>
    <w:rsid w:val="00896A52"/>
    <w:rsid w:val="00AE2A7F"/>
    <w:rsid w:val="00AF6989"/>
    <w:rsid w:val="00E5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1A4A"/>
  <w15:chartTrackingRefBased/>
  <w15:docId w15:val="{5A1335AF-F825-4040-9937-4D2EFFE0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2026-02-13T20:53:00Z</dcterms:created>
  <dcterms:modified xsi:type="dcterms:W3CDTF">2026-02-13T21:11:00Z</dcterms:modified>
</cp:coreProperties>
</file>