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LAST WILL AND TESTAMENT OF EDWIN HOLLOW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Draft prepared: 2025-11-02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I, Edwin Hollow, being of sound mind, hereby bequeath my entire estate,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including the Hollow Oak property and all associated holdings, to my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niece, Clara Hollow, in recognition of her lifelong devotion to our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family.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 separate provision has been made for my groundskeeper, Thomas Reyes,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detailed in the attached codicil.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Witnessed and filed with Blackthorn &amp; Marsh Investigations, Estate Division.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