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b w:val="1"/>
          <w:bCs w:val="1"/>
          <w:rtl w:val="0"/>
        </w:rPr>
        <w:t xml:space="preserve">I believe that my problem is not a lack of ambition — it’s that my mind is being fragmented by chaos, overstimulation, and an inconsistent work-state.</w:t>
        <w:br w:type="textWrapping"/>
      </w:r>
      <w:r w:rsidDel="00000000" w:rsidR="00000000" w:rsidRPr="00000000">
        <w:rPr>
          <w:rtl w:val="0"/>
        </w:rPr>
        <w:t xml:space="preserve"> This is foundational. If they think they are just lazy or undisciplined, they will blame themselves instead of seeking a better solution. The docs make clear that the buyer feels pulled apart by notifications, context switching, stimulant dependence, and “brain noise,” not a lack of desire to succeed.</w:t>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b w:val="1"/>
          <w:bCs w:val="1"/>
          <w:rtl w:val="0"/>
        </w:rPr>
        <w:t xml:space="preserve">I believe that feeling wired is not the same as being productive.</w:t>
        <w:br w:type="textWrapping"/>
      </w:r>
      <w:r w:rsidDel="00000000" w:rsidR="00000000" w:rsidRPr="00000000">
        <w:rPr>
          <w:rtl w:val="0"/>
        </w:rPr>
        <w:t xml:space="preserve"> This is one of the most important shifts. The prospect has to stop equating stimulation with performance. They need to believe that coffee, energy drinks, and similar habits can create the </w:t>
      </w:r>
      <w:r w:rsidDel="00000000" w:rsidR="00000000" w:rsidRPr="00000000">
        <w:rPr>
          <w:i w:val="1"/>
          <w:iCs w:val="1"/>
          <w:rtl w:val="0"/>
        </w:rPr>
        <w:t xml:space="preserve">feeling</w:t>
      </w:r>
      <w:r w:rsidDel="00000000" w:rsidR="00000000" w:rsidRPr="00000000">
        <w:rPr>
          <w:rtl w:val="0"/>
        </w:rPr>
        <w:t xml:space="preserve"> of productivity while actually producing jittery, messy, crash-prone output.</w:t>
        <w:br w:type="textWrapping"/>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I believe that what I really need is not more stimulation, but a cleaner, more controllable state of focus and execution.</w:t>
        <w:br w:type="textWrapping"/>
      </w:r>
      <w:r w:rsidDel="00000000" w:rsidR="00000000" w:rsidRPr="00000000">
        <w:rPr>
          <w:rtl w:val="0"/>
        </w:rPr>
        <w:t xml:space="preserve"> Mindor only makes sense once the buyer realizes the real goal is calm control, usable focus time, and deep-work endurance. Not hype. Not intensity. Not “being on edge.” A steadier state that helps them execute.</w:t>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I believe that a smarter stack can create a meaningfully different experience than coffee, energy drinks, or random stimulant habits alone.</w:t>
        <w:br w:type="textWrapping"/>
      </w:r>
      <w:r w:rsidDel="00000000" w:rsidR="00000000" w:rsidRPr="00000000">
        <w:rPr>
          <w:rtl w:val="0"/>
        </w:rPr>
        <w:t xml:space="preserve"> They must believe there is a real difference between “just another caffeine product” and a better-designed performance stack. The offer brief and research both point to this: Mindor has to be understood as a more balanced, more repeatable daily driver rather than another spike-and-crash tool.</w:t>
        <w:br w:type="textWrapping"/>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I believe that calmer focus can actually produce better output than harsher stimulation.</w:t>
        <w:br w:type="textWrapping"/>
      </w:r>
      <w:r w:rsidDel="00000000" w:rsidR="00000000" w:rsidRPr="00000000">
        <w:rPr>
          <w:rtl w:val="0"/>
        </w:rPr>
        <w:t xml:space="preserve"> This is the emotional and logical payoff. The prospect has to accept that being sharp, steady, and clear is more valuable than being hyped, restless, and fried. That belief opens them up to Mindor’s central promise: calm execution over stimulant chaos.</w:t>
        <w:br w:type="textWrapping"/>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 believe that Mindor is built for people like me — ambitious, mentally taxed, skeptical, and under pressure to perform consistently.</w:t>
        <w:br w:type="textWrapping"/>
      </w:r>
      <w:r w:rsidDel="00000000" w:rsidR="00000000" w:rsidRPr="00000000">
        <w:rPr>
          <w:rtl w:val="0"/>
        </w:rPr>
        <w:t xml:space="preserve"> This is the identity lock. They need to feel that Mindor is not a generic wellness drink or hypey nootropic gimmick, but a product designed for builders, operators, creators, and cognitive workers who need to trust their mind when it matters. </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