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34"/>
          <w:szCs w:val="34"/>
        </w:rPr>
      </w:pPr>
      <w:bookmarkStart w:colFirst="0" w:colLast="0" w:name="_os1fbhejntz" w:id="0"/>
      <w:bookmarkEnd w:id="0"/>
      <w:r w:rsidDel="00000000" w:rsidR="00000000" w:rsidRPr="00000000">
        <w:rPr>
          <w:b w:val="1"/>
          <w:bCs w:val="1"/>
          <w:color w:val="1f1f1f"/>
          <w:sz w:val="34"/>
          <w:szCs w:val="34"/>
          <w:rtl w:val="0"/>
        </w:rPr>
        <w:t xml:space="preserve">Core Prospect Belief Chain: Rejouva France Patches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before="0" w:lineRule="auto"/>
        <w:rPr>
          <w:b w:val="1"/>
          <w:bCs w:val="1"/>
          <w:color w:val="1f1f1f"/>
          <w:sz w:val="26"/>
          <w:szCs w:val="26"/>
        </w:rPr>
      </w:pPr>
      <w:bookmarkStart w:colFirst="0" w:colLast="0" w:name="_uq5qvvu2v6pg" w:id="1"/>
      <w:bookmarkEnd w:id="1"/>
      <w:r w:rsidDel="00000000" w:rsidR="00000000" w:rsidRPr="00000000">
        <w:rPr>
          <w:b w:val="1"/>
          <w:bCs w:val="1"/>
          <w:color w:val="1f1f1f"/>
          <w:sz w:val="26"/>
          <w:szCs w:val="26"/>
          <w:rtl w:val="0"/>
        </w:rPr>
        <w:t xml:space="preserve">Foundational "I Believe" Statements</w:t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Core Problem Origin:</w:t>
      </w:r>
      <w:r w:rsidDel="00000000" w:rsidR="00000000" w:rsidRPr="00000000">
        <w:rPr>
          <w:color w:val="1f1f1f"/>
          <w:rtl w:val="0"/>
        </w:rPr>
        <w:t xml:space="preserve"> I believe that my pronounced under-eye hollows, dark shadows, and morning bags are not a personal failure or a simple vanity flaw, but are the direct biological toll of a demanding corporate lifestyle, chronic sleep deficits, and prolonged screen time.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Surface Skincare Illusion:</w:t>
      </w:r>
      <w:r w:rsidDel="00000000" w:rsidR="00000000" w:rsidRPr="00000000">
        <w:rPr>
          <w:color w:val="1f1f1f"/>
          <w:rtl w:val="0"/>
        </w:rPr>
        <w:t xml:space="preserve"> I believe that my expensive, high-end luxury eye creams are physically and structurally incapable of repairing my periorbital tissue because their large, heavy molecules cannot pass through the skin's tight 500-Dalton barrier and merely coat the surface.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Category Limitations:</w:t>
      </w:r>
      <w:r w:rsidDel="00000000" w:rsidR="00000000" w:rsidRPr="00000000">
        <w:rPr>
          <w:color w:val="1f1f1f"/>
          <w:rtl w:val="0"/>
        </w:rPr>
        <w:t xml:space="preserve"> I believe that traditional mass-market hydrogel eye patches are completely impractical for my fast-paced morning routine because they constantly slide down the face, cause chemical stinging, dry out inside the jar, or leave flaky polymer residues that pill under my makeup.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Clinical Tissue Regenerator:</w:t>
      </w:r>
      <w:r w:rsidDel="00000000" w:rsidR="00000000" w:rsidRPr="00000000">
        <w:rPr>
          <w:color w:val="1f1f1f"/>
          <w:rtl w:val="0"/>
        </w:rPr>
        <w:t xml:space="preserve"> I believe that true periorbital restoration requires clinical-grade, biocompatible PDRN technology—originally engineered for hospital burn units—to bypass cellular exhaustion and supply raw nucleotide fragments that trigger rapid, energy-efficient tissue repair through the "Salvage Pathway".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Pharmacokinetic Barrier Solution:</w:t>
      </w:r>
      <w:r w:rsidDel="00000000" w:rsidR="00000000" w:rsidRPr="00000000">
        <w:rPr>
          <w:color w:val="1f1f1f"/>
          <w:rtl w:val="0"/>
        </w:rPr>
        <w:t xml:space="preserve"> I believe that I must use ultra-low molecular weight Pink Collagen engineered between 100Da and 243Da, because it is mathematically small enough to penetrate past the 500-Dalton skin barrier limit to actively signal a 184% increase in my skin's deep dermal density.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ind w:left="720" w:hanging="360"/>
      </w:pPr>
      <w:r w:rsidDel="00000000" w:rsidR="00000000" w:rsidRPr="00000000">
        <w:rPr>
          <w:b w:val="1"/>
          <w:bCs w:val="1"/>
          <w:color w:val="1f1f1f"/>
          <w:rtl w:val="0"/>
        </w:rPr>
        <w:t xml:space="preserve">The Active Hydrostatic Axis:</w:t>
      </w:r>
      <w:r w:rsidDel="00000000" w:rsidR="00000000" w:rsidRPr="00000000">
        <w:rPr>
          <w:color w:val="1f1f1f"/>
          <w:rtl w:val="0"/>
        </w:rPr>
        <w:t xml:space="preserve"> I believe that a high-viscosity, non-slip hydrogel patch is the only logical tool to physically drive my accumulated morning fluids back into the lymphatic system via hydrostatic compression and thermal-evaporative cooling while allowing me to move completely hands-free.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color w:val="1f1f1f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