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C902E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国资资产管理平台需求调研记录</w:t>
      </w:r>
    </w:p>
    <w:p w14:paraId="6FC811C2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2026年7月份前要给到一款通用型，适应集团化，符合国企需求的资产管理平台（下面统称“平台”）给到企业和国资委试用，让企业和国资委进行选择，现阶段主要是固定资产管理，后续再逐步迭代其他功能模块。</w:t>
      </w:r>
    </w:p>
    <w:p w14:paraId="5770C89E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后续要关注平台与省数字国资交换平台的财务主体的数据对接。</w:t>
      </w:r>
    </w:p>
    <w:p w14:paraId="663250F1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考虑到后续产品推广成功的可能性，可以提供日常资管工具让国企客户愿意用，让客户愿意付费，在功能设计上要考虑上这点，先让其用起来，然后后续提取数据进行监管就顺理成章。</w:t>
      </w:r>
    </w:p>
    <w:p w14:paraId="245C3BA9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对于资产监管驾驶舱的设计，现阶段先做集团层面的数据分析，后续再看需求做下钻分析。</w:t>
      </w:r>
    </w:p>
    <w:p w14:paraId="39FC9AAC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提供非技术支撑支持，指导填报，这块可以收取一定的服务费。</w:t>
      </w:r>
    </w:p>
    <w:p w14:paraId="11E15C5C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平台设计有信创要求，并且现有AI渗透之城项目支撑（划分国资专区），现阶段考虑信创服务资源，并按照二级等保来设计系统。</w:t>
      </w:r>
    </w:p>
    <w:p w14:paraId="6A941D6A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6FB615"/>
    <w:multiLevelType w:val="singleLevel"/>
    <w:tmpl w:val="D06FB61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4E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2026-06-11T08:10:34Z</dcterms:created>
  <dc:creator>Administrator</dc:creator>
  <cp:lastModifiedBy>华南师范大学石牌京东派</cp:lastModifiedBy>
  <dcterms:modified xsi:type="dcterms:W3CDTF">2026-06-11T08:36:41Z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eyJoZGlkIjoiNjgzODVlMmVkMGViOGZkYTllN2ExOGUwMGZmODA0M2EiLCJ1c2VySWQiOiIyOTU1NTIxMTMifQ==</vt:lpwstr>
  </property>
  <property fmtid="{D5CDD505-2E9C-101B-9397-08002B2CF9AE}" pid="4" name="ICV">
    <vt:lpwstr>D7A071CE46044F2FBC9777E79D1272C2_12</vt:lpwstr>
  </property>
</Properties>
</file>