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2A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一、项目背景与现状</w:t>
      </w:r>
    </w:p>
    <w:p w14:paraId="00EA811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一期平台的基本情况</w:t>
      </w:r>
    </w:p>
    <w:p w14:paraId="71BD5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一期平台主要接入了市属国企，基于省核资标准建设，目标是为企业提供监款与内控的统一管理支持。系统上线后覆盖了11家市属国企及其部分子公司。若穿透至二、三、四级子公司，企业数量可能达到四五百家，市国资委对下级企业具体数量亦未完全掌握。</w:t>
      </w:r>
    </w:p>
    <w:p w14:paraId="32855E7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省国资委的新要求</w:t>
      </w:r>
    </w:p>
    <w:p w14:paraId="3D7FA6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省国资委近期出台了新的数据交换要求，一期平台已无法满足，需进行全面升级。当前省里明确要求对接的为财务数据，该板块由久其公司负责开发，项目组与该板块无直接业务关联。其他板块（如采购等）的接入工作，省里尚未提出明确要求，目前仅为项目组自身的规划设想。</w:t>
      </w:r>
    </w:p>
    <w:p w14:paraId="582016E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资产清查工作的紧急部署</w:t>
      </w:r>
    </w:p>
    <w:p w14:paraId="30D8C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省里要求各地市开展国有资产清查工作，市国资委已下发19张清查表格。此项工作内容庞杂，绝大多数企业缺乏信息化系统支撑，数据或依赖人工填报，或从多个分散、独立的系统中提取，存在数据不实时、不精准等问题。该清查工作将持续至明年年底。</w:t>
      </w:r>
    </w:p>
    <w:p w14:paraId="4CF12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二、本次升级的覆盖范围</w:t>
      </w:r>
    </w:p>
    <w:p w14:paraId="27E73D8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二期平台的范围调整</w:t>
      </w:r>
    </w:p>
    <w:p w14:paraId="2951C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二期平台的范围将较一期有所扩大，涵盖不止市属国企，但亦不会覆盖全部区县国企。市属国企数量约为300至400家，若扩展至区县层面，总数预计在500家左右。项目组将本着实事求是的原则，合理确定覆盖范围。</w:t>
      </w:r>
    </w:p>
    <w:p w14:paraId="4204679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核心痛点：无法全面掌握资产情况</w:t>
      </w:r>
    </w:p>
    <w:p w14:paraId="428F2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当前，市国资委及企业自身均面临无法全面掌握国有资产整体情况的痛点。市国资委下发的19张表格内容尚属初步确定，涉及的资产类型极为分散，包括：土地资产、房屋建筑、股权债权、私募基金、存货、无形资产、特许经营权、数据资源资产、自然资源、大型机器设备、基础设施、货币资金、其他固定资产，以及各类勾稽关系表。资产类型的复杂多样，显著增加了管理难度。</w:t>
      </w:r>
    </w:p>
    <w:p w14:paraId="0DAA8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三、数据真实性与企业可控空间的平衡</w:t>
      </w:r>
    </w:p>
    <w:p w14:paraId="4945716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兼顾数据真实性与企业合理可控空间</w:t>
      </w:r>
    </w:p>
    <w:p w14:paraId="23F0B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市国资委需要获取一定程度的真实数据以掌握国有资产状况，但企业亦需保留必要的可控空间。若数据采集过于刚性、缺乏调整余地，企业将面临较大填报压力，甚至可能产生抵触情绪。</w:t>
      </w:r>
    </w:p>
    <w:p w14:paraId="6001207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穿透式管理的实施思路</w:t>
      </w:r>
    </w:p>
    <w:p w14:paraId="1574D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会议探讨了穿透式管理的可行性。初期不必追求全面穿透，可先以集团为中心，通过系统解决数据采集问题。数据来源不依赖于企业专门填报，而应嵌入日常业务经营过程（如资产租赁、出售、变更等），实现数据的隐性收集。此举既可减少企业额外负担，又可保障数据的及时性与真实性。</w:t>
      </w:r>
    </w:p>
    <w:p w14:paraId="226D995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系统应具备辅助企业完成工作的能力</w:t>
      </w:r>
    </w:p>
    <w:p w14:paraId="6A4B51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当前，各企业自行处理数据填报工作，方式各异。本次项目可借此机会，提出培养专业人才队伍，辅助国企推进信息化建设与业务赋能。即不仅提供工具，更帮助企业建立持续使用、维护系统的能力。</w:t>
      </w:r>
    </w:p>
    <w:p w14:paraId="508C8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四、系统建设的策略与方案</w:t>
      </w:r>
    </w:p>
    <w:p w14:paraId="7954288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采用现有成熟软件匹配需求，确保可落地</w:t>
      </w:r>
    </w:p>
    <w:p w14:paraId="2DA9D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鉴于7月底前时间紧迫，项目组确定采用现有成熟软件（且必须是可落地的）来匹配企业和国资委的需求，供双方选择。即优先展示已有成熟产品功能，由用户确认所需功能，对缺失部分再进行补充开发。</w:t>
      </w:r>
    </w:p>
    <w:p w14:paraId="4BC0933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7月底前须交付可展示成果</w:t>
      </w:r>
    </w:p>
    <w:p w14:paraId="63E63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7月份之前需完成系统建设并提交阶段性成果供领导审阅。但并非要求所有功能一次性完成，而是基于现有系统进行分阶段迭代更新，先交付可用版本，后续持续完善。</w:t>
      </w:r>
    </w:p>
    <w:p w14:paraId="7F4C024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以固定资产为核心，做精做强</w:t>
      </w:r>
    </w:p>
    <w:p w14:paraId="77BF9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现阶段聚焦于所有企业共有的固定资产，重点是土地、房屋、大型设备等。优先将此类资产管理功能做精做强，暂不追求全面覆盖。股权债权、存货、无形资产等其他类型资产可在后续迭代中逐步纳入。</w:t>
      </w:r>
    </w:p>
    <w:p w14:paraId="2F737F9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支持集团化分级管理</w:t>
      </w:r>
    </w:p>
    <w:p w14:paraId="70D52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系统应提供通用、适配集团化架构、符合国企实际需求的资产管理与经营系统。具体而言，各子公司可独立管理自身资产，集团层面实现自动汇总。现阶段仅需向市国资委报送集团级数据，但业务管理功能可下沉至最基层公司，既满足监管要求，又不干扰企业日常经营。</w:t>
      </w:r>
    </w:p>
    <w:p w14:paraId="474E587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为企业和集团预留数据审核空间</w:t>
      </w:r>
    </w:p>
    <w:p w14:paraId="51998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系统设计须保证数据在企业和集团层面均保留审核与微调空间，避免数据一经录入即直接上报、无法修改。企业应在正式上报前完成确认和必要调整，最终以企业盖章版本为准。此举既可保障数据最终真实性，也为企业保留了必要的操作灵活性。</w:t>
      </w:r>
    </w:p>
    <w:p w14:paraId="300D9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五、与现有财务系统的对接</w:t>
      </w:r>
    </w:p>
    <w:p w14:paraId="0BDE984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优先接入市属国企现有财务系统</w:t>
      </w:r>
    </w:p>
    <w:p w14:paraId="2D05A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会议确定，优先接入市属国企现有的财务系统，获取一定量的真实数据。绝大多数企业均拥有财务系统（版本不尽相同），接口具备可行性。通过接口可获取货币资金、应收应付等基础财务数据。</w:t>
      </w:r>
    </w:p>
    <w:p w14:paraId="79EE79B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关注合并报表带来的数据偏差问题</w:t>
      </w:r>
    </w:p>
    <w:p w14:paraId="2ADC6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需特别关注合并报表环节。多数国企的合并报表存在内部关联交易未抵销的情况，数据存在一定水分。若直接取用合并报表数据，误差较大。后续应进一步细化至下一级数据，逐步减少合并报表对真实数据呈现的影响。即先获取数据，再逐步校准。</w:t>
      </w:r>
    </w:p>
    <w:p w14:paraId="005DD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六、技术路线与资源部署</w:t>
      </w:r>
    </w:p>
    <w:p w14:paraId="3764114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满足信创要求，依托AI之城项目</w:t>
      </w:r>
    </w:p>
    <w:p w14:paraId="56ED6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项目需满足信创相关要求。目前市里推进的AI之城项目已规划设立国资专区，预计2027年可投入使用，届时可提供专属算力资源。</w:t>
      </w:r>
    </w:p>
    <w:p w14:paraId="2D996DC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现阶段租赁云服务资源，按二级等保建设</w:t>
      </w:r>
    </w:p>
    <w:p w14:paraId="34633A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在国资专区建成前，现阶段仅考虑租赁云服务资源进行快速部署和过渡。系统建设须满足二级等保要求，运营商可提供相应等级的安全环境。鉴于资产数据非高频变动，对算力需求较低，低配环境即可满足运行要求。</w:t>
      </w:r>
    </w:p>
    <w:p w14:paraId="47660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七、近期需要完成的工作</w:t>
      </w:r>
    </w:p>
    <w:p w14:paraId="6358E5C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尽快提交方案、原型、功能清单等资料</w:t>
      </w:r>
    </w:p>
    <w:p w14:paraId="38CA4D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时间紧迫，会议要求尽快完成系统方案、产品原型、功能清单等资料的编制工作。上述材料既用于内部决策，也用于向市国资委及企业进行汇报和演示。</w:t>
      </w:r>
    </w:p>
    <w:p w14:paraId="6982BD1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方案须包含服务配套内容</w:t>
      </w:r>
    </w:p>
    <w:p w14:paraId="7A01C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方案不能仅聚焦技术功能，还应涵盖二次开发能力、本地化运营与运维服务方案。系统上线后，企业将面临各类问题及定制化修改需求，缺乏本地化服务支撑将难以持续。同时，须配套设计业务与信息化支撑培训方案，明确如何对企业人员进行培训、协助其建立系统使用能力。</w:t>
      </w:r>
    </w:p>
    <w:p w14:paraId="171FCD8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借此机会培养企业人才队伍</w:t>
      </w:r>
    </w:p>
    <w:p w14:paraId="468E8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本次系统建设不仅是一个技术项目，更应成为人才培养的契机。通过项目实施，辅助国企推进信息化建设与业务赋能，帮助企业逐步建立自身的信息化人才队伍，确保项目结束后企业能够持续使用和优化系统。</w:t>
      </w:r>
    </w:p>
    <w:p w14:paraId="68B5E3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bookmarkStart w:id="0" w:name="_GoBack"/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八、总结共识</w:t>
      </w:r>
    </w:p>
    <w:bookmarkEnd w:id="0"/>
    <w:p w14:paraId="62F82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本次会议形成以下核心共识：第一，以固定资产管理为核心，做精做强，分阶段迭代推进；第二，采用现有成熟且可落地的软件匹配需求，由企业和国资委共同选择；第三，系统设计须为企业和集团预留数据审核与调整空间；第四，优先接入财务系统获取真实数据，后续逐步解决合并报表带来的误差问题；第五，强化本地化运营运维与培训服务，借此机会培养企业信息化人才队伍。项目组将按照上述思路，全力确保7月底前交付可供使用、能够汇报的阶段性成果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1FCD8C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5002B4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D5002B4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BBD6F4"/>
    <w:multiLevelType w:val="singleLevel"/>
    <w:tmpl w:val="39BBD6F4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E1322E"/>
    <w:rsid w:val="027F321C"/>
    <w:rsid w:val="0281282A"/>
    <w:rsid w:val="02C37A85"/>
    <w:rsid w:val="032A0A86"/>
    <w:rsid w:val="06C47189"/>
    <w:rsid w:val="0DB25F8E"/>
    <w:rsid w:val="17974B4F"/>
    <w:rsid w:val="187D363C"/>
    <w:rsid w:val="1F1D3483"/>
    <w:rsid w:val="24D34452"/>
    <w:rsid w:val="2C4B0A65"/>
    <w:rsid w:val="2FF87D20"/>
    <w:rsid w:val="3AE9714F"/>
    <w:rsid w:val="3FE5557A"/>
    <w:rsid w:val="40E1322E"/>
    <w:rsid w:val="418D0F5C"/>
    <w:rsid w:val="45674732"/>
    <w:rsid w:val="4E45017D"/>
    <w:rsid w:val="539C673B"/>
    <w:rsid w:val="5AFA7489"/>
    <w:rsid w:val="5C693288"/>
    <w:rsid w:val="5E2751A9"/>
    <w:rsid w:val="60441AFF"/>
    <w:rsid w:val="754E76F9"/>
    <w:rsid w:val="7E551467"/>
    <w:rsid w:val="7E6A5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7084</Words>
  <Characters>7111</Characters>
  <Lines>0</Lines>
  <Paragraphs>0</Paragraphs>
  <TotalTime>129</TotalTime>
  <ScaleCrop>false</ScaleCrop>
  <LinksUpToDate>false</LinksUpToDate>
  <CharactersWithSpaces>7112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2026-05-12T03:09:00Z</dcterms:created>
  <dc:creator>李米米</dc:creator>
  <cp:lastModifiedBy>李米米</cp:lastModifiedBy>
  <dcterms:modified xsi:type="dcterms:W3CDTF">2026-06-11T07:07:28Z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0E64EA3E922F447EB067C164816C6FCE_11</vt:lpwstr>
  </property>
  <property fmtid="{D5CDD505-2E9C-101B-9397-08002B2CF9AE}" pid="4" name="KSOTemplateDocerSaveRecord">
    <vt:lpwstr>eyJoZGlkIjoiMzcyNDNiNzgxZTRjMTUxZmYxMjg5M2RlYTkxNjlhMDgiLCJ1c2VySWQiOiIxMzQ5OTMxOTMxIn0=</vt:lpwstr>
  </property>
</Properties>
</file>