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5E9F27">
      <w:pPr>
        <w:pStyle w:val="31"/>
        <w:jc w:val="center"/>
      </w:pPr>
      <w:r>
        <w:rPr>
          <w:rFonts w:hint="eastAsia" w:eastAsia="宋体"/>
          <w:color w:val="1A237E"/>
          <w:lang w:val="en-US" w:eastAsia="zh-CN"/>
        </w:rPr>
        <w:t>湛江国资国企一体化数字平台（二期）</w:t>
      </w:r>
      <w:r>
        <w:rPr>
          <w:color w:val="1A237E"/>
        </w:rPr>
        <w:br w:type="textWrapping"/>
      </w:r>
      <w:r>
        <w:rPr>
          <w:rFonts w:hint="eastAsia" w:eastAsia="宋体"/>
          <w:color w:val="1A237E"/>
          <w:lang w:val="en-US" w:eastAsia="zh-CN"/>
        </w:rPr>
        <w:t>功能设计文档</w:t>
      </w:r>
      <w:r>
        <w:rPr>
          <w:color w:val="1A237E"/>
        </w:rPr>
        <w:t>v2</w:t>
      </w:r>
    </w:p>
    <w:p w14:paraId="30F5130E">
      <w:r>
        <w:rPr>
          <w:b w:val="0"/>
        </w:rPr>
        <w:t>2026-06-12 | 基于功能清单（二期）.xlsx 完善</w:t>
      </w:r>
    </w:p>
    <w:p w14:paraId="06BB04AB">
      <w:bookmarkStart w:id="0" w:name="_GoBack"/>
      <w:bookmarkEnd w:id="0"/>
    </w:p>
    <w:p w14:paraId="3556082A">
      <w:pPr>
        <w:pStyle w:val="3"/>
        <w:rPr>
          <w:rFonts w:hint="default" w:eastAsia="宋体"/>
          <w:lang w:val="en-US" w:eastAsia="zh-CN"/>
        </w:rPr>
      </w:pPr>
      <w:r>
        <w:t>一、</w:t>
      </w:r>
      <w:r>
        <w:rPr>
          <w:rFonts w:hint="eastAsia" w:eastAsia="宋体"/>
          <w:lang w:val="en-US" w:eastAsia="zh-CN"/>
        </w:rPr>
        <w:t>修订说明</w:t>
      </w:r>
    </w:p>
    <w:p w14:paraId="7D18DF08">
      <w:r>
        <w:rPr>
          <w:b w:val="0"/>
        </w:rPr>
        <w:t>本文档在 v1 设计文档基础上，依据《湛江市国资国企一体化数字平台功能清单（二期）.xlsx》的60项功能清单进行了全面补充和细化。</w:t>
      </w:r>
    </w:p>
    <w:p w14:paraId="6D963C75">
      <w:r>
        <w:rPr>
          <w:b w:val="0"/>
        </w:rPr>
        <w:t>主要变更：</w:t>
      </w:r>
    </w:p>
    <w:p w14:paraId="6BEF7151">
      <w:pPr>
        <w:pStyle w:val="16"/>
      </w:pPr>
      <w:r>
        <w:t>模块从 5个业务服务 扩展为 16个功能模块、60+功能点</w:t>
      </w:r>
    </w:p>
    <w:p w14:paraId="75A0BCE3">
      <w:pPr>
        <w:pStyle w:val="16"/>
      </w:pPr>
      <w:r>
        <w:t>新增：巡检管理、盘点管理、采购管理、维保维修管理、预警中心</w:t>
      </w:r>
    </w:p>
    <w:p w14:paraId="1301A20B">
      <w:pPr>
        <w:pStyle w:val="16"/>
      </w:pPr>
      <w:r>
        <w:t>补充：资产基础资料（位置/供应商/维保商）、资产标签、操作日志</w:t>
      </w:r>
    </w:p>
    <w:p w14:paraId="2A754589">
      <w:pPr>
        <w:pStyle w:val="16"/>
      </w:pPr>
      <w:r>
        <w:t>审批工作流从笼统描述升级为可配置审批引擎</w:t>
      </w:r>
    </w:p>
    <w:p w14:paraId="51B7F3DA">
      <w:pPr>
        <w:pStyle w:val="16"/>
      </w:pPr>
      <w:r>
        <w:t>交付周期从 7周 调整为 14周两阶段交付</w:t>
      </w:r>
    </w:p>
    <w:p w14:paraId="77B35950">
      <w:pPr>
        <w:pStyle w:val="3"/>
        <w:rPr>
          <w:rFonts w:hint="default" w:eastAsia="宋体"/>
          <w:lang w:val="en-US" w:eastAsia="zh-CN"/>
        </w:rPr>
      </w:pPr>
      <w:r>
        <w:t>二、</w:t>
      </w:r>
      <w:r>
        <w:rPr>
          <w:rFonts w:hint="eastAsia" w:eastAsia="宋体"/>
          <w:lang w:val="en-US" w:eastAsia="zh-CN"/>
        </w:rPr>
        <w:t>关键设计决策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48A61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C87E04D">
            <w:pPr>
              <w:spacing w:after="0" w:line="240" w:lineRule="auto"/>
            </w:pPr>
            <w:r>
              <w:rPr>
                <w:b/>
              </w:rPr>
              <w:t>#</w:t>
            </w:r>
          </w:p>
        </w:tc>
        <w:tc>
          <w:tcPr>
            <w:tcW w:w="2160" w:type="dxa"/>
          </w:tcPr>
          <w:p w14:paraId="173C5F26">
            <w:pPr>
              <w:spacing w:after="0" w:line="240" w:lineRule="auto"/>
            </w:pPr>
            <w:r>
              <w:rPr>
                <w:b/>
              </w:rPr>
              <w:t>决策项</w:t>
            </w:r>
          </w:p>
        </w:tc>
        <w:tc>
          <w:tcPr>
            <w:tcW w:w="2160" w:type="dxa"/>
          </w:tcPr>
          <w:p w14:paraId="353634AD">
            <w:pPr>
              <w:spacing w:after="0" w:line="240" w:lineRule="auto"/>
            </w:pPr>
            <w:r>
              <w:rPr>
                <w:b/>
              </w:rPr>
              <w:t>选择</w:t>
            </w:r>
          </w:p>
        </w:tc>
        <w:tc>
          <w:tcPr>
            <w:tcW w:w="2160" w:type="dxa"/>
          </w:tcPr>
          <w:p w14:paraId="02329EE4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6D60E6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6462471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1687977F">
            <w:pPr>
              <w:spacing w:after="0" w:line="240" w:lineRule="auto"/>
            </w:pPr>
            <w:r>
              <w:t>覆盖范围</w:t>
            </w:r>
          </w:p>
        </w:tc>
        <w:tc>
          <w:tcPr>
            <w:tcW w:w="2160" w:type="dxa"/>
          </w:tcPr>
          <w:p w14:paraId="2FD26C8A">
            <w:pPr>
              <w:spacing w:after="0" w:line="240" w:lineRule="auto"/>
            </w:pPr>
            <w:r>
              <w:t>功能清单16模块全部纳入</w:t>
            </w:r>
          </w:p>
        </w:tc>
        <w:tc>
          <w:tcPr>
            <w:tcW w:w="2160" w:type="dxa"/>
          </w:tcPr>
          <w:p w14:paraId="1B4A6EC1">
            <w:pPr>
              <w:spacing w:after="0" w:line="240" w:lineRule="auto"/>
            </w:pPr>
            <w:r>
              <w:t>企业内资产管理 + 国资监管上报全覆盖</w:t>
            </w:r>
          </w:p>
        </w:tc>
      </w:tr>
      <w:tr w14:paraId="3250A5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7B1ECAC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4753E033">
            <w:pPr>
              <w:spacing w:after="0" w:line="240" w:lineRule="auto"/>
            </w:pPr>
            <w:r>
              <w:t>交付周期</w:t>
            </w:r>
          </w:p>
        </w:tc>
        <w:tc>
          <w:tcPr>
            <w:tcW w:w="2160" w:type="dxa"/>
          </w:tcPr>
          <w:p w14:paraId="27D305FE">
            <w:pPr>
              <w:spacing w:after="0" w:line="240" w:lineRule="auto"/>
            </w:pPr>
            <w:r>
              <w:t>14周两阶段（8-9月）</w:t>
            </w:r>
          </w:p>
        </w:tc>
        <w:tc>
          <w:tcPr>
            <w:tcW w:w="2160" w:type="dxa"/>
          </w:tcPr>
          <w:p w14:paraId="5CB12D59">
            <w:pPr>
              <w:spacing w:after="0" w:line="240" w:lineRule="auto"/>
            </w:pPr>
            <w:r>
              <w:t>Phase 1(7月底)：台账+流转+采购+折旧+驾驶舱；Phase 2(8-9月)：巡检+盘点+维保+审批+预警+监管上报</w:t>
            </w:r>
          </w:p>
        </w:tc>
      </w:tr>
      <w:tr w14:paraId="578ECF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CFEABE3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3DA6D36C">
            <w:pPr>
              <w:spacing w:after="0" w:line="240" w:lineRule="auto"/>
            </w:pPr>
            <w:r>
              <w:t>系统架构</w:t>
            </w:r>
          </w:p>
        </w:tc>
        <w:tc>
          <w:tcPr>
            <w:tcW w:w="2160" w:type="dxa"/>
          </w:tcPr>
          <w:p w14:paraId="43DD2342">
            <w:pPr>
              <w:spacing w:after="0" w:line="240" w:lineRule="auto"/>
            </w:pPr>
            <w:r>
              <w:t>模块化单体 + 三域划分</w:t>
            </w:r>
          </w:p>
        </w:tc>
        <w:tc>
          <w:tcPr>
            <w:tcW w:w="2160" w:type="dxa"/>
          </w:tcPr>
          <w:p w14:paraId="25379936">
            <w:pPr>
              <w:spacing w:after="0" w:line="240" w:lineRule="auto"/>
            </w:pPr>
            <w:r>
              <w:t>企业资产管理域 / 国资监管域 / 平台基础域</w:t>
            </w:r>
          </w:p>
        </w:tc>
      </w:tr>
      <w:tr w14:paraId="07CDFD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4FF816B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489337EB">
            <w:pPr>
              <w:spacing w:after="0" w:line="240" w:lineRule="auto"/>
            </w:pPr>
            <w:r>
              <w:t>企业层vs监管层</w:t>
            </w:r>
          </w:p>
        </w:tc>
        <w:tc>
          <w:tcPr>
            <w:tcW w:w="2160" w:type="dxa"/>
          </w:tcPr>
          <w:p w14:paraId="4D3F77D4">
            <w:pPr>
              <w:spacing w:after="0" w:line="240" w:lineRule="auto"/>
            </w:pPr>
            <w:r>
              <w:t>平行独立、数据共享</w:t>
            </w:r>
          </w:p>
        </w:tc>
        <w:tc>
          <w:tcPr>
            <w:tcW w:w="2160" w:type="dxa"/>
          </w:tcPr>
          <w:p w14:paraId="26E409C7">
            <w:pPr>
              <w:spacing w:after="0" w:line="240" w:lineRule="auto"/>
            </w:pPr>
            <w:r>
              <w:t>企业域数据作为监管上报数据源，通过接口松耦合</w:t>
            </w:r>
          </w:p>
        </w:tc>
      </w:tr>
      <w:tr w14:paraId="559EFF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116528A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49724984">
            <w:pPr>
              <w:spacing w:after="0" w:line="240" w:lineRule="auto"/>
            </w:pPr>
            <w:r>
              <w:t>审批工作流</w:t>
            </w:r>
          </w:p>
        </w:tc>
        <w:tc>
          <w:tcPr>
            <w:tcW w:w="2160" w:type="dxa"/>
          </w:tcPr>
          <w:p w14:paraId="79734A7B">
            <w:pPr>
              <w:spacing w:after="0" w:line="240" w:lineRule="auto"/>
            </w:pPr>
            <w:r>
              <w:t>可配置审批引擎</w:t>
            </w:r>
          </w:p>
        </w:tc>
        <w:tc>
          <w:tcPr>
            <w:tcW w:w="2160" w:type="dxa"/>
          </w:tcPr>
          <w:p w14:paraId="703D8455">
            <w:pPr>
              <w:spacing w:after="0" w:line="240" w:lineRule="auto"/>
            </w:pPr>
            <w:r>
              <w:t>按业务类型定义审批链，支持条件分支</w:t>
            </w:r>
          </w:p>
        </w:tc>
      </w:tr>
      <w:tr w14:paraId="7F551F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34FA581">
            <w:pPr>
              <w:spacing w:after="0" w:line="240" w:lineRule="auto"/>
            </w:pPr>
            <w:r>
              <w:t>6</w:t>
            </w:r>
          </w:p>
        </w:tc>
        <w:tc>
          <w:tcPr>
            <w:tcW w:w="2160" w:type="dxa"/>
          </w:tcPr>
          <w:p w14:paraId="4FE2C0A7">
            <w:pPr>
              <w:spacing w:after="0" w:line="240" w:lineRule="auto"/>
            </w:pPr>
            <w:r>
              <w:t>资产管理深度</w:t>
            </w:r>
          </w:p>
        </w:tc>
        <w:tc>
          <w:tcPr>
            <w:tcW w:w="2160" w:type="dxa"/>
          </w:tcPr>
          <w:p w14:paraId="204AE891">
            <w:pPr>
              <w:spacing w:after="0" w:line="240" w:lineRule="auto"/>
            </w:pPr>
            <w:r>
              <w:t>全生命周期</w:t>
            </w:r>
          </w:p>
        </w:tc>
        <w:tc>
          <w:tcPr>
            <w:tcW w:w="2160" w:type="dxa"/>
          </w:tcPr>
          <w:p w14:paraId="1026B7A7">
            <w:pPr>
              <w:spacing w:after="0" w:line="240" w:lineRule="auto"/>
            </w:pPr>
            <w:r>
              <w:t>从采购申请到报废退出的完整闭环</w:t>
            </w:r>
          </w:p>
        </w:tc>
      </w:tr>
      <w:tr w14:paraId="2D73AD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2C75B50">
            <w:pPr>
              <w:spacing w:after="0" w:line="240" w:lineRule="auto"/>
            </w:pPr>
            <w:r>
              <w:t>7</w:t>
            </w:r>
          </w:p>
        </w:tc>
        <w:tc>
          <w:tcPr>
            <w:tcW w:w="2160" w:type="dxa"/>
          </w:tcPr>
          <w:p w14:paraId="4DD5C3DF">
            <w:pPr>
              <w:spacing w:after="0" w:line="240" w:lineRule="auto"/>
            </w:pPr>
            <w:r>
              <w:t>数据采集策略</w:t>
            </w:r>
          </w:p>
        </w:tc>
        <w:tc>
          <w:tcPr>
            <w:tcW w:w="2160" w:type="dxa"/>
          </w:tcPr>
          <w:p w14:paraId="7215FB86">
            <w:pPr>
              <w:spacing w:after="0" w:line="240" w:lineRule="auto"/>
            </w:pPr>
            <w:r>
              <w:t>混合模式</w:t>
            </w:r>
          </w:p>
        </w:tc>
        <w:tc>
          <w:tcPr>
            <w:tcW w:w="2160" w:type="dxa"/>
          </w:tcPr>
          <w:p w14:paraId="4E875346">
            <w:pPr>
              <w:spacing w:after="0" w:line="240" w:lineRule="auto"/>
            </w:pPr>
            <w:r>
              <w:t>Excel批量导入 + 财务系统对接 + 人工录入</w:t>
            </w:r>
          </w:p>
        </w:tc>
      </w:tr>
      <w:tr w14:paraId="271056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61D7F3D">
            <w:pPr>
              <w:spacing w:after="0" w:line="240" w:lineRule="auto"/>
            </w:pPr>
            <w:r>
              <w:t>8</w:t>
            </w:r>
          </w:p>
        </w:tc>
        <w:tc>
          <w:tcPr>
            <w:tcW w:w="2160" w:type="dxa"/>
          </w:tcPr>
          <w:p w14:paraId="5F1AFB89">
            <w:pPr>
              <w:spacing w:after="0" w:line="240" w:lineRule="auto"/>
            </w:pPr>
            <w:r>
              <w:t>部署模式</w:t>
            </w:r>
          </w:p>
        </w:tc>
        <w:tc>
          <w:tcPr>
            <w:tcW w:w="2160" w:type="dxa"/>
          </w:tcPr>
          <w:p w14:paraId="439A47C0">
            <w:pPr>
              <w:spacing w:after="0" w:line="240" w:lineRule="auto"/>
            </w:pPr>
            <w:r>
              <w:t>SaaS多租户</w:t>
            </w:r>
          </w:p>
        </w:tc>
        <w:tc>
          <w:tcPr>
            <w:tcW w:w="2160" w:type="dxa"/>
          </w:tcPr>
          <w:p w14:paraId="7E2414AD">
            <w:pPr>
              <w:spacing w:after="0" w:line="240" w:lineRule="auto"/>
            </w:pPr>
            <w:r>
              <w:t>统一部署，tenant_id数据隔离</w:t>
            </w:r>
          </w:p>
        </w:tc>
      </w:tr>
      <w:tr w14:paraId="1FD304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C15F423">
            <w:pPr>
              <w:spacing w:after="0" w:line="240" w:lineRule="auto"/>
            </w:pPr>
            <w:r>
              <w:t>9</w:t>
            </w:r>
          </w:p>
        </w:tc>
        <w:tc>
          <w:tcPr>
            <w:tcW w:w="2160" w:type="dxa"/>
          </w:tcPr>
          <w:p w14:paraId="64280A92">
            <w:pPr>
              <w:spacing w:after="0" w:line="240" w:lineRule="auto"/>
            </w:pPr>
            <w:r>
              <w:t>技术栈</w:t>
            </w:r>
          </w:p>
        </w:tc>
        <w:tc>
          <w:tcPr>
            <w:tcW w:w="2160" w:type="dxa"/>
          </w:tcPr>
          <w:p w14:paraId="55A2DA9D">
            <w:pPr>
              <w:spacing w:after="0" w:line="240" w:lineRule="auto"/>
            </w:pPr>
            <w:r>
              <w:t>Java/SpringBoot全栈</w:t>
            </w:r>
          </w:p>
        </w:tc>
        <w:tc>
          <w:tcPr>
            <w:tcW w:w="2160" w:type="dxa"/>
          </w:tcPr>
          <w:p w14:paraId="19B9EA70">
            <w:pPr>
              <w:spacing w:after="0" w:line="240" w:lineRule="auto"/>
            </w:pPr>
            <w:r>
              <w:t>SpringBoot 3 + Vue3 + Element Plus + PostgreSQL</w:t>
            </w:r>
          </w:p>
        </w:tc>
      </w:tr>
    </w:tbl>
    <w:p w14:paraId="46AED1A8"/>
    <w:p w14:paraId="21DBBBE4">
      <w:pPr>
        <w:pStyle w:val="3"/>
        <w:rPr>
          <w:rFonts w:hint="default" w:eastAsia="宋体"/>
          <w:lang w:val="en-US" w:eastAsia="zh-CN"/>
        </w:rPr>
      </w:pPr>
      <w:r>
        <w:t>三、</w:t>
      </w:r>
      <w:r>
        <w:rPr>
          <w:rFonts w:hint="eastAsia" w:eastAsia="宋体"/>
          <w:lang w:val="en-US" w:eastAsia="zh-CN"/>
        </w:rPr>
        <w:t>功能模块全景图</w:t>
      </w:r>
    </w:p>
    <w:p w14:paraId="6F658BA7">
      <w:pPr>
        <w:pStyle w:val="4"/>
        <w:rPr>
          <w:rFonts w:hint="default" w:eastAsia="宋体"/>
          <w:lang w:val="en-US" w:eastAsia="zh-CN"/>
        </w:rPr>
      </w:pPr>
      <w:r>
        <w:t xml:space="preserve">3.1 </w:t>
      </w:r>
      <w:r>
        <w:rPr>
          <w:rFonts w:hint="eastAsia" w:eastAsia="宋体"/>
          <w:lang w:val="en-US" w:eastAsia="zh-CN"/>
        </w:rPr>
        <w:t>系统三域架构</w:t>
      </w:r>
    </w:p>
    <w:p w14:paraId="235C6D73">
      <w:r>
        <w:rPr>
          <w:b w:val="0"/>
        </w:rPr>
        <w:t>系统划分为三个业务域，域内模块高内聚，域间通过明确的 Service 接口通信：</w:t>
      </w:r>
    </w:p>
    <w:p w14:paraId="5F23CA92">
      <w:pPr>
        <w:jc w:val="center"/>
      </w:pPr>
    </w:p>
    <w:p w14:paraId="49BB2DA6">
      <w:r>
        <w:drawing>
          <wp:inline distT="0" distB="0" distL="114300" distR="114300">
            <wp:extent cx="5669280" cy="5078730"/>
            <wp:effectExtent l="0" t="0" r="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7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C2FA0"/>
    <w:p w14:paraId="74C685FF">
      <w:pPr>
        <w:pStyle w:val="4"/>
        <w:rPr>
          <w:rFonts w:hint="default" w:eastAsia="宋体"/>
          <w:lang w:val="en-US" w:eastAsia="zh-CN"/>
        </w:rPr>
      </w:pPr>
      <w:r>
        <w:t xml:space="preserve">3.2 </w:t>
      </w:r>
      <w:r>
        <w:rPr>
          <w:rFonts w:hint="eastAsia" w:eastAsia="宋体"/>
          <w:lang w:val="en-US" w:eastAsia="zh-CN"/>
        </w:rPr>
        <w:t>域间关系说明</w:t>
      </w:r>
    </w:p>
    <w:p w14:paraId="6C0A4D8E">
      <w:r>
        <w:rPr>
          <w:b w:val="0"/>
        </w:rPr>
        <w:t>企业域 → 监管域：企业资产台账通过数据接口提供给监管上报服务，生成19类报表快照。企业域不感知监管上报的存在，松耦合。</w:t>
      </w:r>
    </w:p>
    <w:p w14:paraId="05C9D89C">
      <w:r>
        <w:rPr>
          <w:b w:val="0"/>
        </w:rPr>
        <w:t>审批工作流跨域共用：审批引擎作为独立模块，服务于调拨审批（企业域）、盘点差异审批（企业域）、上报审核（监管域）。</w:t>
      </w:r>
    </w:p>
    <w:p w14:paraId="41B5EE60">
      <w:r>
        <w:rPr>
          <w:b w:val="0"/>
        </w:rPr>
        <w:t>平台域横切能力：多租户隔离、RBAC权限、操作日志、数据导入导出由平台域统一提供，其他域自动继承。</w:t>
      </w:r>
    </w:p>
    <w:p w14:paraId="7CD4554E">
      <w:pPr>
        <w:pStyle w:val="4"/>
        <w:rPr>
          <w:rFonts w:hint="default" w:eastAsia="宋体"/>
          <w:lang w:val="en-US" w:eastAsia="zh-CN"/>
        </w:rPr>
      </w:pPr>
      <w:r>
        <w:t xml:space="preserve">3.3 </w:t>
      </w:r>
      <w:r>
        <w:rPr>
          <w:rFonts w:hint="eastAsia" w:eastAsia="宋体"/>
          <w:lang w:val="en-US" w:eastAsia="zh-CN"/>
        </w:rPr>
        <w:t>完整功能清单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88A91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BFCD6F4">
            <w:pPr>
              <w:spacing w:after="0" w:line="240" w:lineRule="auto"/>
            </w:pPr>
            <w:r>
              <w:rPr>
                <w:b/>
              </w:rPr>
              <w:t>序号</w:t>
            </w:r>
          </w:p>
        </w:tc>
        <w:tc>
          <w:tcPr>
            <w:tcW w:w="2160" w:type="dxa"/>
          </w:tcPr>
          <w:p w14:paraId="49F2F701">
            <w:pPr>
              <w:spacing w:after="0" w:line="240" w:lineRule="auto"/>
            </w:pPr>
            <w:r>
              <w:rPr>
                <w:b/>
              </w:rPr>
              <w:t>模块</w:t>
            </w:r>
          </w:p>
        </w:tc>
        <w:tc>
          <w:tcPr>
            <w:tcW w:w="2160" w:type="dxa"/>
          </w:tcPr>
          <w:p w14:paraId="2399A83C">
            <w:pPr>
              <w:spacing w:after="0" w:line="240" w:lineRule="auto"/>
            </w:pPr>
            <w:r>
              <w:rPr>
                <w:b/>
              </w:rPr>
              <w:t>功能</w:t>
            </w:r>
          </w:p>
        </w:tc>
        <w:tc>
          <w:tcPr>
            <w:tcW w:w="2160" w:type="dxa"/>
          </w:tcPr>
          <w:p w14:paraId="591EA653">
            <w:pPr>
              <w:spacing w:after="0" w:line="240" w:lineRule="auto"/>
            </w:pPr>
            <w:r>
              <w:rPr>
                <w:b/>
              </w:rPr>
              <w:t>域</w:t>
            </w:r>
          </w:p>
        </w:tc>
      </w:tr>
      <w:tr w14:paraId="22E11F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16B07E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7CDDD4DE">
            <w:pPr>
              <w:spacing w:after="0" w:line="240" w:lineRule="auto"/>
            </w:pPr>
            <w:r>
              <w:t>系统入口与安全</w:t>
            </w:r>
          </w:p>
        </w:tc>
        <w:tc>
          <w:tcPr>
            <w:tcW w:w="2160" w:type="dxa"/>
          </w:tcPr>
          <w:p w14:paraId="3D333027">
            <w:pPr>
              <w:spacing w:after="0" w:line="240" w:lineRule="auto"/>
            </w:pPr>
            <w:r>
              <w:t>用户登录、个人身份识别、访问控制</w:t>
            </w:r>
          </w:p>
        </w:tc>
        <w:tc>
          <w:tcPr>
            <w:tcW w:w="2160" w:type="dxa"/>
          </w:tcPr>
          <w:p w14:paraId="1858CB74">
            <w:pPr>
              <w:spacing w:after="0" w:line="240" w:lineRule="auto"/>
            </w:pPr>
            <w:r>
              <w:t>平台基础</w:t>
            </w:r>
          </w:p>
        </w:tc>
      </w:tr>
      <w:tr w14:paraId="6823FF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840FEA6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4916A26C">
            <w:pPr>
              <w:spacing w:after="0" w:line="240" w:lineRule="auto"/>
            </w:pPr>
            <w:r>
              <w:t>组织权限管理</w:t>
            </w:r>
          </w:p>
        </w:tc>
        <w:tc>
          <w:tcPr>
            <w:tcW w:w="2160" w:type="dxa"/>
          </w:tcPr>
          <w:p w14:paraId="39920543">
            <w:pPr>
              <w:spacing w:after="0" w:line="240" w:lineRule="auto"/>
            </w:pPr>
            <w:r>
              <w:t>用户管理、角色管理、权限管理、部门管理</w:t>
            </w:r>
          </w:p>
        </w:tc>
        <w:tc>
          <w:tcPr>
            <w:tcW w:w="2160" w:type="dxa"/>
          </w:tcPr>
          <w:p w14:paraId="28EC88B1">
            <w:pPr>
              <w:spacing w:after="0" w:line="240" w:lineRule="auto"/>
            </w:pPr>
            <w:r>
              <w:t>平台基础</w:t>
            </w:r>
          </w:p>
        </w:tc>
      </w:tr>
      <w:tr w14:paraId="6661E1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4B0D58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327938E0">
            <w:pPr>
              <w:spacing w:after="0" w:line="240" w:lineRule="auto"/>
            </w:pPr>
            <w:r>
              <w:t>数据导入导出</w:t>
            </w:r>
          </w:p>
        </w:tc>
        <w:tc>
          <w:tcPr>
            <w:tcW w:w="2160" w:type="dxa"/>
          </w:tcPr>
          <w:p w14:paraId="571008FB">
            <w:pPr>
              <w:spacing w:after="0" w:line="240" w:lineRule="auto"/>
            </w:pPr>
            <w:r>
              <w:t>资产批量导入、清单与报告导出</w:t>
            </w:r>
          </w:p>
        </w:tc>
        <w:tc>
          <w:tcPr>
            <w:tcW w:w="2160" w:type="dxa"/>
          </w:tcPr>
          <w:p w14:paraId="6CFCEA8B">
            <w:pPr>
              <w:spacing w:after="0" w:line="240" w:lineRule="auto"/>
            </w:pPr>
            <w:r>
              <w:t>平台基础</w:t>
            </w:r>
          </w:p>
        </w:tc>
      </w:tr>
      <w:tr w14:paraId="575091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279CC6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0F574F55">
            <w:pPr>
              <w:spacing w:after="0" w:line="240" w:lineRule="auto"/>
            </w:pPr>
            <w:r>
              <w:t>资产基础资料</w:t>
            </w:r>
          </w:p>
        </w:tc>
        <w:tc>
          <w:tcPr>
            <w:tcW w:w="2160" w:type="dxa"/>
          </w:tcPr>
          <w:p w14:paraId="57E61090">
            <w:pPr>
              <w:spacing w:after="0" w:line="240" w:lineRule="auto"/>
            </w:pPr>
            <w:r>
              <w:t>资产分类、存放位置、供应商档案、维保商档案</w:t>
            </w:r>
          </w:p>
        </w:tc>
        <w:tc>
          <w:tcPr>
            <w:tcW w:w="2160" w:type="dxa"/>
          </w:tcPr>
          <w:p w14:paraId="06E997C9">
            <w:pPr>
              <w:spacing w:after="0" w:line="240" w:lineRule="auto"/>
            </w:pPr>
            <w:r>
              <w:t>企业资产</w:t>
            </w:r>
          </w:p>
        </w:tc>
      </w:tr>
      <w:tr w14:paraId="1735DB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19CAA18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67AF90CA">
            <w:pPr>
              <w:spacing w:after="0" w:line="240" w:lineRule="auto"/>
            </w:pPr>
            <w:r>
              <w:t>资产台账管理</w:t>
            </w:r>
          </w:p>
        </w:tc>
        <w:tc>
          <w:tcPr>
            <w:tcW w:w="2160" w:type="dxa"/>
          </w:tcPr>
          <w:p w14:paraId="69A70094">
            <w:pPr>
              <w:spacing w:after="0" w:line="240" w:lineRule="auto"/>
            </w:pPr>
            <w:r>
              <w:t>资产登记、自动编号、清单查询、信息维护、详情卡片、标签管理、变更记录</w:t>
            </w:r>
          </w:p>
        </w:tc>
        <w:tc>
          <w:tcPr>
            <w:tcW w:w="2160" w:type="dxa"/>
          </w:tcPr>
          <w:p w14:paraId="0F81EA53">
            <w:pPr>
              <w:spacing w:after="0" w:line="240" w:lineRule="auto"/>
            </w:pPr>
            <w:r>
              <w:t>企业资产</w:t>
            </w:r>
          </w:p>
        </w:tc>
      </w:tr>
      <w:tr w14:paraId="338C0A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C84E55">
            <w:pPr>
              <w:spacing w:after="0" w:line="240" w:lineRule="auto"/>
            </w:pPr>
            <w:r>
              <w:t>6</w:t>
            </w:r>
          </w:p>
        </w:tc>
        <w:tc>
          <w:tcPr>
            <w:tcW w:w="2160" w:type="dxa"/>
          </w:tcPr>
          <w:p w14:paraId="2705EC49">
            <w:pPr>
              <w:spacing w:after="0" w:line="240" w:lineRule="auto"/>
            </w:pPr>
            <w:r>
              <w:t>资产流转管理</w:t>
            </w:r>
          </w:p>
        </w:tc>
        <w:tc>
          <w:tcPr>
            <w:tcW w:w="2160" w:type="dxa"/>
          </w:tcPr>
          <w:p w14:paraId="13A6FD54">
            <w:pPr>
              <w:spacing w:after="0" w:line="240" w:lineRule="auto"/>
            </w:pPr>
            <w:r>
              <w:t>入库管理、资产领用、资产调拨、资产报废、流转单据查询</w:t>
            </w:r>
          </w:p>
        </w:tc>
        <w:tc>
          <w:tcPr>
            <w:tcW w:w="2160" w:type="dxa"/>
          </w:tcPr>
          <w:p w14:paraId="228F8921">
            <w:pPr>
              <w:spacing w:after="0" w:line="240" w:lineRule="auto"/>
            </w:pPr>
            <w:r>
              <w:t>企业资产</w:t>
            </w:r>
          </w:p>
        </w:tc>
      </w:tr>
      <w:tr w14:paraId="0AE8C9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0B0015">
            <w:pPr>
              <w:spacing w:after="0" w:line="240" w:lineRule="auto"/>
            </w:pPr>
            <w:r>
              <w:t>7</w:t>
            </w:r>
          </w:p>
        </w:tc>
        <w:tc>
          <w:tcPr>
            <w:tcW w:w="2160" w:type="dxa"/>
          </w:tcPr>
          <w:p w14:paraId="54B05EF5">
            <w:pPr>
              <w:spacing w:after="0" w:line="240" w:lineRule="auto"/>
            </w:pPr>
            <w:r>
              <w:t>采购管理</w:t>
            </w:r>
          </w:p>
        </w:tc>
        <w:tc>
          <w:tcPr>
            <w:tcW w:w="2160" w:type="dxa"/>
          </w:tcPr>
          <w:p w14:paraId="523663AB">
            <w:pPr>
              <w:spacing w:after="0" w:line="240" w:lineRule="auto"/>
            </w:pPr>
            <w:r>
              <w:t>采购申请、采购验收、采购转资产</w:t>
            </w:r>
          </w:p>
        </w:tc>
        <w:tc>
          <w:tcPr>
            <w:tcW w:w="2160" w:type="dxa"/>
          </w:tcPr>
          <w:p w14:paraId="2E74F3B8">
            <w:pPr>
              <w:spacing w:after="0" w:line="240" w:lineRule="auto"/>
            </w:pPr>
            <w:r>
              <w:t>企业资产</w:t>
            </w:r>
          </w:p>
        </w:tc>
      </w:tr>
      <w:tr w14:paraId="0A156A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4D0B946">
            <w:pPr>
              <w:spacing w:after="0" w:line="240" w:lineRule="auto"/>
            </w:pPr>
            <w:r>
              <w:t>8</w:t>
            </w:r>
          </w:p>
        </w:tc>
        <w:tc>
          <w:tcPr>
            <w:tcW w:w="2160" w:type="dxa"/>
          </w:tcPr>
          <w:p w14:paraId="124C275B">
            <w:pPr>
              <w:spacing w:after="0" w:line="240" w:lineRule="auto"/>
            </w:pPr>
            <w:r>
              <w:t>巡检管理</w:t>
            </w:r>
          </w:p>
        </w:tc>
        <w:tc>
          <w:tcPr>
            <w:tcW w:w="2160" w:type="dxa"/>
          </w:tcPr>
          <w:p w14:paraId="7C4ACBA2">
            <w:pPr>
              <w:spacing w:after="0" w:line="240" w:lineRule="auto"/>
            </w:pPr>
            <w:r>
              <w:t>巡检任务制定、任务跟踪、现场登记、我的任务、异常处理</w:t>
            </w:r>
          </w:p>
        </w:tc>
        <w:tc>
          <w:tcPr>
            <w:tcW w:w="2160" w:type="dxa"/>
          </w:tcPr>
          <w:p w14:paraId="3ED50AA7">
            <w:pPr>
              <w:spacing w:after="0" w:line="240" w:lineRule="auto"/>
            </w:pPr>
            <w:r>
              <w:t>企业资产</w:t>
            </w:r>
          </w:p>
        </w:tc>
      </w:tr>
      <w:tr w14:paraId="4D5DD1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B75E5F0">
            <w:pPr>
              <w:spacing w:after="0" w:line="240" w:lineRule="auto"/>
            </w:pPr>
            <w:r>
              <w:t>9</w:t>
            </w:r>
          </w:p>
        </w:tc>
        <w:tc>
          <w:tcPr>
            <w:tcW w:w="2160" w:type="dxa"/>
          </w:tcPr>
          <w:p w14:paraId="7B34E79E">
            <w:pPr>
              <w:spacing w:after="0" w:line="240" w:lineRule="auto"/>
            </w:pPr>
            <w:r>
              <w:t>盘点管理</w:t>
            </w:r>
          </w:p>
        </w:tc>
        <w:tc>
          <w:tcPr>
            <w:tcW w:w="2160" w:type="dxa"/>
          </w:tcPr>
          <w:p w14:paraId="5D8A41D3">
            <w:pPr>
              <w:spacing w:after="0" w:line="240" w:lineRule="auto"/>
            </w:pPr>
            <w:r>
              <w:t>盘点任务制定、任务跟踪、现场登记、我的任务、差异识别、差异报告</w:t>
            </w:r>
          </w:p>
        </w:tc>
        <w:tc>
          <w:tcPr>
            <w:tcW w:w="2160" w:type="dxa"/>
          </w:tcPr>
          <w:p w14:paraId="3C5ECD51">
            <w:pPr>
              <w:spacing w:after="0" w:line="240" w:lineRule="auto"/>
            </w:pPr>
            <w:r>
              <w:t>企业资产</w:t>
            </w:r>
          </w:p>
        </w:tc>
      </w:tr>
      <w:tr w14:paraId="3DBF3A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AFC2394">
            <w:pPr>
              <w:spacing w:after="0" w:line="240" w:lineRule="auto"/>
            </w:pPr>
            <w:r>
              <w:t>10</w:t>
            </w:r>
          </w:p>
        </w:tc>
        <w:tc>
          <w:tcPr>
            <w:tcW w:w="2160" w:type="dxa"/>
          </w:tcPr>
          <w:p w14:paraId="3F251F34">
            <w:pPr>
              <w:spacing w:after="0" w:line="240" w:lineRule="auto"/>
            </w:pPr>
            <w:r>
              <w:t>维保维修管理</w:t>
            </w:r>
          </w:p>
        </w:tc>
        <w:tc>
          <w:tcPr>
            <w:tcW w:w="2160" w:type="dxa"/>
          </w:tcPr>
          <w:p w14:paraId="0B8C92C2">
            <w:pPr>
              <w:spacing w:after="0" w:line="240" w:lineRule="auto"/>
            </w:pPr>
            <w:r>
              <w:t>维保申请、维修登记、巡检异常转维修</w:t>
            </w:r>
          </w:p>
        </w:tc>
        <w:tc>
          <w:tcPr>
            <w:tcW w:w="2160" w:type="dxa"/>
          </w:tcPr>
          <w:p w14:paraId="1639ED9E">
            <w:pPr>
              <w:spacing w:after="0" w:line="240" w:lineRule="auto"/>
            </w:pPr>
            <w:r>
              <w:t>企业资产</w:t>
            </w:r>
          </w:p>
        </w:tc>
      </w:tr>
      <w:tr w14:paraId="6D02CD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E5AAC09">
            <w:pPr>
              <w:spacing w:after="0" w:line="240" w:lineRule="auto"/>
            </w:pPr>
            <w:r>
              <w:t>11</w:t>
            </w:r>
          </w:p>
        </w:tc>
        <w:tc>
          <w:tcPr>
            <w:tcW w:w="2160" w:type="dxa"/>
          </w:tcPr>
          <w:p w14:paraId="45EB19FD">
            <w:pPr>
              <w:spacing w:after="0" w:line="240" w:lineRule="auto"/>
            </w:pPr>
            <w:r>
              <w:t>财务折旧管理</w:t>
            </w:r>
          </w:p>
        </w:tc>
        <w:tc>
          <w:tcPr>
            <w:tcW w:w="2160" w:type="dxa"/>
          </w:tcPr>
          <w:p w14:paraId="4A3E6814">
            <w:pPr>
              <w:spacing w:after="0" w:line="240" w:lineRule="auto"/>
            </w:pPr>
            <w:r>
              <w:t>折旧规则设置、折旧计提、折旧确认</w:t>
            </w:r>
          </w:p>
        </w:tc>
        <w:tc>
          <w:tcPr>
            <w:tcW w:w="2160" w:type="dxa"/>
          </w:tcPr>
          <w:p w14:paraId="7CA2F337">
            <w:pPr>
              <w:spacing w:after="0" w:line="240" w:lineRule="auto"/>
            </w:pPr>
            <w:r>
              <w:t>企业资产</w:t>
            </w:r>
          </w:p>
        </w:tc>
      </w:tr>
      <w:tr w14:paraId="4EC32A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B2857D">
            <w:pPr>
              <w:spacing w:after="0" w:line="240" w:lineRule="auto"/>
            </w:pPr>
            <w:r>
              <w:t>12</w:t>
            </w:r>
          </w:p>
        </w:tc>
        <w:tc>
          <w:tcPr>
            <w:tcW w:w="2160" w:type="dxa"/>
          </w:tcPr>
          <w:p w14:paraId="4C892B77">
            <w:pPr>
              <w:spacing w:after="0" w:line="240" w:lineRule="auto"/>
            </w:pPr>
            <w:r>
              <w:t>工作台</w:t>
            </w:r>
          </w:p>
        </w:tc>
        <w:tc>
          <w:tcPr>
            <w:tcW w:w="2160" w:type="dxa"/>
          </w:tcPr>
          <w:p w14:paraId="242F7A4E">
            <w:pPr>
              <w:spacing w:after="0" w:line="240" w:lineRule="auto"/>
            </w:pPr>
            <w:r>
              <w:t>管理驾驶舱、资产结构分析、近期业务动态</w:t>
            </w:r>
          </w:p>
        </w:tc>
        <w:tc>
          <w:tcPr>
            <w:tcW w:w="2160" w:type="dxa"/>
          </w:tcPr>
          <w:p w14:paraId="4031B688">
            <w:pPr>
              <w:spacing w:after="0" w:line="240" w:lineRule="auto"/>
            </w:pPr>
            <w:r>
              <w:t>国资监管</w:t>
            </w:r>
          </w:p>
        </w:tc>
      </w:tr>
      <w:tr w14:paraId="6F8DE6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AF204B">
            <w:pPr>
              <w:spacing w:after="0" w:line="240" w:lineRule="auto"/>
            </w:pPr>
            <w:r>
              <w:t>13</w:t>
            </w:r>
          </w:p>
        </w:tc>
        <w:tc>
          <w:tcPr>
            <w:tcW w:w="2160" w:type="dxa"/>
          </w:tcPr>
          <w:p w14:paraId="580A7FAF">
            <w:pPr>
              <w:spacing w:after="0" w:line="240" w:lineRule="auto"/>
            </w:pPr>
            <w:r>
              <w:t>统计报表</w:t>
            </w:r>
          </w:p>
        </w:tc>
        <w:tc>
          <w:tcPr>
            <w:tcW w:w="2160" w:type="dxa"/>
          </w:tcPr>
          <w:p w14:paraId="357E0B0A">
            <w:pPr>
              <w:spacing w:after="0" w:line="240" w:lineRule="auto"/>
            </w:pPr>
            <w:r>
              <w:t>资产统计报表、巡检与盘点统计、折旧统计</w:t>
            </w:r>
          </w:p>
        </w:tc>
        <w:tc>
          <w:tcPr>
            <w:tcW w:w="2160" w:type="dxa"/>
          </w:tcPr>
          <w:p w14:paraId="377D7C9C">
            <w:pPr>
              <w:spacing w:after="0" w:line="240" w:lineRule="auto"/>
            </w:pPr>
            <w:r>
              <w:t>国资监管</w:t>
            </w:r>
          </w:p>
        </w:tc>
      </w:tr>
      <w:tr w14:paraId="282B96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526DB66">
            <w:pPr>
              <w:spacing w:after="0" w:line="240" w:lineRule="auto"/>
            </w:pPr>
            <w:r>
              <w:t>14</w:t>
            </w:r>
          </w:p>
        </w:tc>
        <w:tc>
          <w:tcPr>
            <w:tcW w:w="2160" w:type="dxa"/>
          </w:tcPr>
          <w:p w14:paraId="411163CE">
            <w:pPr>
              <w:spacing w:after="0" w:line="240" w:lineRule="auto"/>
            </w:pPr>
            <w:r>
              <w:t>监管上报</w:t>
            </w:r>
          </w:p>
        </w:tc>
        <w:tc>
          <w:tcPr>
            <w:tcW w:w="2160" w:type="dxa"/>
          </w:tcPr>
          <w:p w14:paraId="2B05B201">
            <w:pPr>
              <w:spacing w:after="0" w:line="240" w:lineRule="auto"/>
            </w:pPr>
            <w:r>
              <w:t>19类报表采集、审核链（企业→集团→国资委）、版本快照</w:t>
            </w:r>
          </w:p>
        </w:tc>
        <w:tc>
          <w:tcPr>
            <w:tcW w:w="2160" w:type="dxa"/>
          </w:tcPr>
          <w:p w14:paraId="3575D959">
            <w:pPr>
              <w:spacing w:after="0" w:line="240" w:lineRule="auto"/>
            </w:pPr>
            <w:r>
              <w:t>国资监管</w:t>
            </w:r>
          </w:p>
        </w:tc>
      </w:tr>
      <w:tr w14:paraId="78F399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E1EB457">
            <w:pPr>
              <w:spacing w:after="0" w:line="240" w:lineRule="auto"/>
            </w:pPr>
            <w:r>
              <w:t>15</w:t>
            </w:r>
          </w:p>
        </w:tc>
        <w:tc>
          <w:tcPr>
            <w:tcW w:w="2160" w:type="dxa"/>
          </w:tcPr>
          <w:p w14:paraId="68006D1B">
            <w:pPr>
              <w:spacing w:after="0" w:line="240" w:lineRule="auto"/>
            </w:pPr>
            <w:r>
              <w:t>审批工作流</w:t>
            </w:r>
          </w:p>
        </w:tc>
        <w:tc>
          <w:tcPr>
            <w:tcW w:w="2160" w:type="dxa"/>
          </w:tcPr>
          <w:p w14:paraId="27D41493">
            <w:pPr>
              <w:spacing w:after="0" w:line="240" w:lineRule="auto"/>
            </w:pPr>
            <w:r>
              <w:t>待我审批、我发起的申请、我已审批</w:t>
            </w:r>
          </w:p>
        </w:tc>
        <w:tc>
          <w:tcPr>
            <w:tcW w:w="2160" w:type="dxa"/>
          </w:tcPr>
          <w:p w14:paraId="25035253">
            <w:pPr>
              <w:spacing w:after="0" w:line="240" w:lineRule="auto"/>
            </w:pPr>
            <w:r>
              <w:t>国资监管</w:t>
            </w:r>
          </w:p>
        </w:tc>
      </w:tr>
      <w:tr w14:paraId="4CFB42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D604DB8">
            <w:pPr>
              <w:spacing w:after="0" w:line="240" w:lineRule="auto"/>
            </w:pPr>
            <w:r>
              <w:t>16</w:t>
            </w:r>
          </w:p>
        </w:tc>
        <w:tc>
          <w:tcPr>
            <w:tcW w:w="2160" w:type="dxa"/>
          </w:tcPr>
          <w:p w14:paraId="3F53E655">
            <w:pPr>
              <w:spacing w:after="0" w:line="240" w:lineRule="auto"/>
            </w:pPr>
            <w:r>
              <w:t>预警中心</w:t>
            </w:r>
          </w:p>
        </w:tc>
        <w:tc>
          <w:tcPr>
            <w:tcW w:w="2160" w:type="dxa"/>
          </w:tcPr>
          <w:p w14:paraId="366D0CC3">
            <w:pPr>
              <w:spacing w:after="0" w:line="240" w:lineRule="auto"/>
            </w:pPr>
            <w:r>
              <w:t>维保到期预警、巡检超期预警、借用超期预警、闲置资产预警</w:t>
            </w:r>
          </w:p>
        </w:tc>
        <w:tc>
          <w:tcPr>
            <w:tcW w:w="2160" w:type="dxa"/>
          </w:tcPr>
          <w:p w14:paraId="71237EC9">
            <w:pPr>
              <w:spacing w:after="0" w:line="240" w:lineRule="auto"/>
            </w:pPr>
            <w:r>
              <w:t>国资监管</w:t>
            </w:r>
          </w:p>
        </w:tc>
      </w:tr>
      <w:tr w14:paraId="25977D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BABC10">
            <w:pPr>
              <w:spacing w:after="0" w:line="240" w:lineRule="auto"/>
            </w:pPr>
            <w:r>
              <w:t>17</w:t>
            </w:r>
          </w:p>
        </w:tc>
        <w:tc>
          <w:tcPr>
            <w:tcW w:w="2160" w:type="dxa"/>
          </w:tcPr>
          <w:p w14:paraId="72D68330">
            <w:pPr>
              <w:spacing w:after="0" w:line="240" w:lineRule="auto"/>
            </w:pPr>
            <w:r>
              <w:t>审计追溯</w:t>
            </w:r>
          </w:p>
        </w:tc>
        <w:tc>
          <w:tcPr>
            <w:tcW w:w="2160" w:type="dxa"/>
          </w:tcPr>
          <w:p w14:paraId="7BFC7E47">
            <w:pPr>
              <w:spacing w:after="0" w:line="240" w:lineRule="auto"/>
            </w:pPr>
            <w:r>
              <w:t>操作日志、全生命周期追踪</w:t>
            </w:r>
          </w:p>
        </w:tc>
        <w:tc>
          <w:tcPr>
            <w:tcW w:w="2160" w:type="dxa"/>
          </w:tcPr>
          <w:p w14:paraId="1C93D92D">
            <w:pPr>
              <w:spacing w:after="0" w:line="240" w:lineRule="auto"/>
            </w:pPr>
            <w:r>
              <w:t>国资监管</w:t>
            </w:r>
          </w:p>
        </w:tc>
      </w:tr>
      <w:tr w14:paraId="7B6910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CEA8F2">
            <w:pPr>
              <w:spacing w:after="0" w:line="240" w:lineRule="auto"/>
            </w:pPr>
            <w:r>
              <w:t>18</w:t>
            </w:r>
          </w:p>
        </w:tc>
        <w:tc>
          <w:tcPr>
            <w:tcW w:w="2160" w:type="dxa"/>
          </w:tcPr>
          <w:p w14:paraId="0453939B">
            <w:pPr>
              <w:spacing w:after="0" w:line="240" w:lineRule="auto"/>
            </w:pPr>
            <w:r>
              <w:t>财务对接</w:t>
            </w:r>
          </w:p>
        </w:tc>
        <w:tc>
          <w:tcPr>
            <w:tcW w:w="2160" w:type="dxa"/>
          </w:tcPr>
          <w:p w14:paraId="149D39C0">
            <w:pPr>
              <w:spacing w:after="0" w:line="240" w:lineRule="auto"/>
            </w:pPr>
            <w:r>
              <w:t>财务系统接口适配、数据拉取、清洗校验、合并抵销校验</w:t>
            </w:r>
          </w:p>
        </w:tc>
        <w:tc>
          <w:tcPr>
            <w:tcW w:w="2160" w:type="dxa"/>
          </w:tcPr>
          <w:p w14:paraId="31A09818">
            <w:pPr>
              <w:spacing w:after="0" w:line="240" w:lineRule="auto"/>
            </w:pPr>
            <w:r>
              <w:t>国资监管</w:t>
            </w:r>
          </w:p>
        </w:tc>
      </w:tr>
    </w:tbl>
    <w:p w14:paraId="034EC588"/>
    <w:p w14:paraId="0B0079CB"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四</w:t>
      </w:r>
      <w:r>
        <w:t>、</w:t>
      </w:r>
      <w:r>
        <w:rPr>
          <w:rFonts w:hint="eastAsia" w:eastAsia="宋体"/>
          <w:lang w:val="en-US" w:eastAsia="zh-CN"/>
        </w:rPr>
        <w:t>核心数据模型</w:t>
      </w:r>
    </w:p>
    <w:p w14:paraId="1AC624EA">
      <w:pPr>
        <w:pStyle w:val="4"/>
        <w:rPr>
          <w:rFonts w:hint="default" w:eastAsia="宋体"/>
          <w:lang w:val="en-US" w:eastAsia="zh-CN"/>
        </w:rPr>
      </w:pPr>
      <w:r>
        <w:t xml:space="preserve">4.1 </w:t>
      </w:r>
      <w:r>
        <w:rPr>
          <w:rFonts w:hint="eastAsia" w:eastAsia="宋体"/>
          <w:lang w:val="en-US" w:eastAsia="zh-CN"/>
        </w:rPr>
        <w:t>核心实体关系图</w:t>
      </w:r>
    </w:p>
    <w:p w14:paraId="3CE59F39">
      <w:pPr>
        <w:jc w:val="center"/>
      </w:pPr>
    </w:p>
    <w:p w14:paraId="4185A33C">
      <w:r>
        <w:drawing>
          <wp:inline distT="0" distB="0" distL="114300" distR="114300">
            <wp:extent cx="5669280" cy="3675380"/>
            <wp:effectExtent l="0" t="0" r="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7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5F263"/>
    <w:p w14:paraId="7A08745D">
      <w:pPr>
        <w:pStyle w:val="4"/>
        <w:rPr>
          <w:rFonts w:hint="default" w:eastAsia="宋体"/>
          <w:lang w:val="en-US" w:eastAsia="zh-CN"/>
        </w:rPr>
      </w:pPr>
      <w:r>
        <w:t xml:space="preserve">4.2 </w:t>
      </w:r>
      <w:r>
        <w:rPr>
          <w:rFonts w:hint="eastAsia" w:eastAsia="宋体"/>
          <w:lang w:val="en-US" w:eastAsia="zh-CN"/>
        </w:rPr>
        <w:t>企业资产管理域</w:t>
      </w:r>
      <w:r>
        <w:t xml:space="preserve"> — </w:t>
      </w:r>
      <w:r>
        <w:rPr>
          <w:rFonts w:hint="eastAsia" w:eastAsia="宋体"/>
          <w:lang w:val="en-US" w:eastAsia="zh-CN"/>
        </w:rPr>
        <w:t>核心实体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"/>
        <w:gridCol w:w="3481"/>
        <w:gridCol w:w="3363"/>
        <w:gridCol w:w="1672"/>
      </w:tblGrid>
      <w:tr w14:paraId="0A95F0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6762A6">
            <w:pPr>
              <w:spacing w:after="0" w:line="240" w:lineRule="auto"/>
            </w:pPr>
            <w:r>
              <w:rPr>
                <w:b/>
              </w:rPr>
              <w:t>模块</w:t>
            </w:r>
          </w:p>
        </w:tc>
        <w:tc>
          <w:tcPr>
            <w:tcW w:w="2160" w:type="dxa"/>
          </w:tcPr>
          <w:p w14:paraId="55C1F159">
            <w:pPr>
              <w:spacing w:after="0" w:line="240" w:lineRule="auto"/>
            </w:pPr>
            <w:r>
              <w:rPr>
                <w:b/>
              </w:rPr>
              <w:t>核心实体</w:t>
            </w:r>
          </w:p>
        </w:tc>
        <w:tc>
          <w:tcPr>
            <w:tcW w:w="2160" w:type="dxa"/>
          </w:tcPr>
          <w:p w14:paraId="323AF556">
            <w:pPr>
              <w:spacing w:after="0" w:line="240" w:lineRule="auto"/>
            </w:pPr>
            <w:r>
              <w:rPr>
                <w:b/>
              </w:rPr>
              <w:t>关键字段</w:t>
            </w:r>
          </w:p>
        </w:tc>
        <w:tc>
          <w:tcPr>
            <w:tcW w:w="2160" w:type="dxa"/>
          </w:tcPr>
          <w:p w14:paraId="10708FF0">
            <w:pPr>
              <w:spacing w:after="0" w:line="240" w:lineRule="auto"/>
            </w:pPr>
            <w:r>
              <w:rPr>
                <w:b/>
              </w:rPr>
              <w:t>关系</w:t>
            </w:r>
          </w:p>
        </w:tc>
      </w:tr>
      <w:tr w14:paraId="185F71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98728A7">
            <w:pPr>
              <w:spacing w:after="0" w:line="240" w:lineRule="auto"/>
            </w:pPr>
            <w:r>
              <w:t>资产基础资料</w:t>
            </w:r>
          </w:p>
        </w:tc>
        <w:tc>
          <w:tcPr>
            <w:tcW w:w="2160" w:type="dxa"/>
          </w:tcPr>
          <w:p w14:paraId="4379BE5B">
            <w:pPr>
              <w:spacing w:after="0" w:line="240" w:lineRule="auto"/>
            </w:pPr>
            <w:r>
              <w:t>AssetCategory/Location/Supplier/MaintenanceProvider</w:t>
            </w:r>
          </w:p>
        </w:tc>
        <w:tc>
          <w:tcPr>
            <w:tcW w:w="2160" w:type="dxa"/>
          </w:tcPr>
          <w:p w14:paraId="7DE29E36">
            <w:pPr>
              <w:spacing w:after="0" w:line="240" w:lineRule="auto"/>
            </w:pPr>
            <w:r>
              <w:t>code,name,parent_id/name,address/name,contact</w:t>
            </w:r>
          </w:p>
        </w:tc>
        <w:tc>
          <w:tcPr>
            <w:tcW w:w="2160" w:type="dxa"/>
          </w:tcPr>
          <w:p w14:paraId="33B1C4FE">
            <w:pPr>
              <w:spacing w:after="0" w:line="240" w:lineRule="auto"/>
            </w:pPr>
            <w:r>
              <w:t>独立字典表</w:t>
            </w:r>
          </w:p>
        </w:tc>
      </w:tr>
      <w:tr w14:paraId="13EDF5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85315C0">
            <w:pPr>
              <w:spacing w:after="0" w:line="240" w:lineRule="auto"/>
            </w:pPr>
            <w:r>
              <w:t>资产台账</w:t>
            </w:r>
          </w:p>
        </w:tc>
        <w:tc>
          <w:tcPr>
            <w:tcW w:w="2160" w:type="dxa"/>
          </w:tcPr>
          <w:p w14:paraId="5E60271F">
            <w:pPr>
              <w:spacing w:after="0" w:line="240" w:lineRule="auto"/>
            </w:pPr>
            <w:r>
              <w:t>Asset/AssetLabel/AssetChangeLog</w:t>
            </w:r>
          </w:p>
        </w:tc>
        <w:tc>
          <w:tcPr>
            <w:tcW w:w="2160" w:type="dxa"/>
          </w:tcPr>
          <w:p w14:paraId="69D36EAC">
            <w:pPr>
              <w:spacing w:after="0" w:line="240" w:lineRule="auto"/>
            </w:pPr>
            <w:r>
              <w:t>name,asset_code,category,org_id,value,label_code</w:t>
            </w:r>
          </w:p>
        </w:tc>
        <w:tc>
          <w:tcPr>
            <w:tcW w:w="2160" w:type="dxa"/>
          </w:tcPr>
          <w:p w14:paraId="03B428F0">
            <w:pPr>
              <w:spacing w:after="0" w:line="240" w:lineRule="auto"/>
            </w:pPr>
            <w:r>
              <w:t>1:N关系</w:t>
            </w:r>
          </w:p>
        </w:tc>
      </w:tr>
      <w:tr w14:paraId="600E99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1B45EAA">
            <w:pPr>
              <w:spacing w:after="0" w:line="240" w:lineRule="auto"/>
            </w:pPr>
            <w:r>
              <w:t>资产流转</w:t>
            </w:r>
          </w:p>
        </w:tc>
        <w:tc>
          <w:tcPr>
            <w:tcW w:w="2160" w:type="dxa"/>
          </w:tcPr>
          <w:p w14:paraId="73707589">
            <w:pPr>
              <w:spacing w:after="0" w:line="240" w:lineRule="auto"/>
            </w:pPr>
            <w:r>
              <w:t>StockIn/Assignment/Transfer/Disposal</w:t>
            </w:r>
          </w:p>
        </w:tc>
        <w:tc>
          <w:tcPr>
            <w:tcW w:w="2160" w:type="dxa"/>
          </w:tcPr>
          <w:p w14:paraId="737585A0">
            <w:pPr>
              <w:spacing w:after="0" w:line="240" w:lineRule="auto"/>
            </w:pPr>
            <w:r>
              <w:t>asset_id,from_org,to_org,operator,status</w:t>
            </w:r>
          </w:p>
        </w:tc>
        <w:tc>
          <w:tcPr>
            <w:tcW w:w="2160" w:type="dxa"/>
          </w:tcPr>
          <w:p w14:paraId="0A05933C">
            <w:pPr>
              <w:spacing w:after="0" w:line="240" w:lineRule="auto"/>
            </w:pPr>
            <w:r>
              <w:t>流转单→Asset(N:1)</w:t>
            </w:r>
          </w:p>
        </w:tc>
      </w:tr>
      <w:tr w14:paraId="0B9788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29A9259">
            <w:pPr>
              <w:spacing w:after="0" w:line="240" w:lineRule="auto"/>
            </w:pPr>
            <w:r>
              <w:t>采购管理</w:t>
            </w:r>
          </w:p>
        </w:tc>
        <w:tc>
          <w:tcPr>
            <w:tcW w:w="2160" w:type="dxa"/>
          </w:tcPr>
          <w:p w14:paraId="00EE3CD8">
            <w:pPr>
              <w:spacing w:after="0" w:line="240" w:lineRule="auto"/>
            </w:pPr>
            <w:r>
              <w:t>PurchaseRequest/PurchaseAcceptance</w:t>
            </w:r>
          </w:p>
        </w:tc>
        <w:tc>
          <w:tcPr>
            <w:tcW w:w="2160" w:type="dxa"/>
          </w:tcPr>
          <w:p w14:paraId="472959CC">
            <w:pPr>
              <w:spacing w:after="0" w:line="240" w:lineRule="auto"/>
            </w:pPr>
            <w:r>
              <w:t>asset_name,quantity,budget,supplier_id</w:t>
            </w:r>
          </w:p>
        </w:tc>
        <w:tc>
          <w:tcPr>
            <w:tcW w:w="2160" w:type="dxa"/>
          </w:tcPr>
          <w:p w14:paraId="7049D778">
            <w:pPr>
              <w:spacing w:after="0" w:line="240" w:lineRule="auto"/>
            </w:pPr>
            <w:r>
              <w:t>Req→Accept(1:1)→Asset</w:t>
            </w:r>
          </w:p>
        </w:tc>
      </w:tr>
      <w:tr w14:paraId="616DB6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8944253">
            <w:pPr>
              <w:spacing w:after="0" w:line="240" w:lineRule="auto"/>
            </w:pPr>
            <w:r>
              <w:t>巡检管理</w:t>
            </w:r>
          </w:p>
        </w:tc>
        <w:tc>
          <w:tcPr>
            <w:tcW w:w="2160" w:type="dxa"/>
          </w:tcPr>
          <w:p w14:paraId="3E9FA6C2">
            <w:pPr>
              <w:spacing w:after="0" w:line="240" w:lineRule="auto"/>
            </w:pPr>
            <w:r>
              <w:t>InspectionTask/InspectionRecord/InspectionAnomaly</w:t>
            </w:r>
          </w:p>
        </w:tc>
        <w:tc>
          <w:tcPr>
            <w:tcW w:w="2160" w:type="dxa"/>
          </w:tcPr>
          <w:p w14:paraId="3873A46B">
            <w:pPr>
              <w:spacing w:after="0" w:line="240" w:lineRule="auto"/>
            </w:pPr>
            <w:r>
              <w:t>task_name,assignee,asset_scope(JSON),anomaly_type</w:t>
            </w:r>
          </w:p>
        </w:tc>
        <w:tc>
          <w:tcPr>
            <w:tcW w:w="2160" w:type="dxa"/>
          </w:tcPr>
          <w:p w14:paraId="66548056">
            <w:pPr>
              <w:spacing w:after="0" w:line="240" w:lineRule="auto"/>
            </w:pPr>
            <w:r>
              <w:t>Task→Records(1:N)</w:t>
            </w:r>
          </w:p>
        </w:tc>
      </w:tr>
      <w:tr w14:paraId="792FFB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600FE31">
            <w:pPr>
              <w:spacing w:after="0" w:line="240" w:lineRule="auto"/>
            </w:pPr>
            <w:r>
              <w:t>盘点管理</w:t>
            </w:r>
          </w:p>
        </w:tc>
        <w:tc>
          <w:tcPr>
            <w:tcW w:w="2160" w:type="dxa"/>
          </w:tcPr>
          <w:p w14:paraId="6F5040F6">
            <w:pPr>
              <w:spacing w:after="0" w:line="240" w:lineRule="auto"/>
            </w:pPr>
            <w:r>
              <w:t>InventoryTask/InventoryRecord/InventoryDiff</w:t>
            </w:r>
          </w:p>
        </w:tc>
        <w:tc>
          <w:tcPr>
            <w:tcW w:w="2160" w:type="dxa"/>
          </w:tcPr>
          <w:p w14:paraId="66F4CE40">
            <w:pPr>
              <w:spacing w:after="0" w:line="240" w:lineRule="auto"/>
            </w:pPr>
            <w:r>
              <w:t>task_name,scope,book_qty,actual_qty,diff_type</w:t>
            </w:r>
          </w:p>
        </w:tc>
        <w:tc>
          <w:tcPr>
            <w:tcW w:w="2160" w:type="dxa"/>
          </w:tcPr>
          <w:p w14:paraId="3D536D3C">
            <w:pPr>
              <w:spacing w:after="0" w:line="240" w:lineRule="auto"/>
            </w:pPr>
            <w:r>
              <w:t>Task→Records(1:N)</w:t>
            </w:r>
          </w:p>
        </w:tc>
      </w:tr>
      <w:tr w14:paraId="08C7DB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F2BAFB2">
            <w:pPr>
              <w:spacing w:after="0" w:line="240" w:lineRule="auto"/>
            </w:pPr>
            <w:r>
              <w:t>维保维修</w:t>
            </w:r>
          </w:p>
        </w:tc>
        <w:tc>
          <w:tcPr>
            <w:tcW w:w="2160" w:type="dxa"/>
          </w:tcPr>
          <w:p w14:paraId="7BCE5779">
            <w:pPr>
              <w:spacing w:after="0" w:line="240" w:lineRule="auto"/>
            </w:pPr>
            <w:r>
              <w:t>MaintenanceRequest/MaintenanceRecord</w:t>
            </w:r>
          </w:p>
        </w:tc>
        <w:tc>
          <w:tcPr>
            <w:tcW w:w="2160" w:type="dxa"/>
          </w:tcPr>
          <w:p w14:paraId="44B91087">
            <w:pPr>
              <w:spacing w:after="0" w:line="240" w:lineRule="auto"/>
            </w:pPr>
            <w:r>
              <w:t>asset_id,fault_description,provider_id,cost</w:t>
            </w:r>
          </w:p>
        </w:tc>
        <w:tc>
          <w:tcPr>
            <w:tcW w:w="2160" w:type="dxa"/>
          </w:tcPr>
          <w:p w14:paraId="3AEC2255">
            <w:pPr>
              <w:spacing w:after="0" w:line="240" w:lineRule="auto"/>
            </w:pPr>
            <w:r>
              <w:t>Req→Record(1:1)</w:t>
            </w:r>
          </w:p>
        </w:tc>
      </w:tr>
      <w:tr w14:paraId="579438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89AB5A2">
            <w:pPr>
              <w:spacing w:after="0" w:line="240" w:lineRule="auto"/>
            </w:pPr>
            <w:r>
              <w:t>折旧管理</w:t>
            </w:r>
          </w:p>
        </w:tc>
        <w:tc>
          <w:tcPr>
            <w:tcW w:w="2160" w:type="dxa"/>
          </w:tcPr>
          <w:p w14:paraId="1B6582CF">
            <w:pPr>
              <w:spacing w:after="0" w:line="240" w:lineRule="auto"/>
            </w:pPr>
            <w:r>
              <w:t>DepreciationRule/DepreciationRecord</w:t>
            </w:r>
          </w:p>
        </w:tc>
        <w:tc>
          <w:tcPr>
            <w:tcW w:w="2160" w:type="dxa"/>
          </w:tcPr>
          <w:p w14:paraId="38127885">
            <w:pPr>
              <w:spacing w:after="0" w:line="240" w:lineRule="auto"/>
            </w:pPr>
            <w:r>
              <w:t>asset_id,period,amount,accumulated,confirmed</w:t>
            </w:r>
          </w:p>
        </w:tc>
        <w:tc>
          <w:tcPr>
            <w:tcW w:w="2160" w:type="dxa"/>
          </w:tcPr>
          <w:p w14:paraId="6B9F4D8A">
            <w:pPr>
              <w:spacing w:after="0" w:line="240" w:lineRule="auto"/>
            </w:pPr>
            <w:r>
              <w:t>Record→Asset(N:1)</w:t>
            </w:r>
          </w:p>
        </w:tc>
      </w:tr>
    </w:tbl>
    <w:p w14:paraId="0C776844"/>
    <w:p w14:paraId="7C3D349A">
      <w:pPr>
        <w:pStyle w:val="4"/>
        <w:rPr>
          <w:rFonts w:hint="default" w:eastAsia="宋体"/>
          <w:lang w:val="en-US" w:eastAsia="zh-CN"/>
        </w:rPr>
      </w:pPr>
      <w:r>
        <w:t xml:space="preserve">4.3 </w:t>
      </w:r>
      <w:r>
        <w:rPr>
          <w:rFonts w:hint="eastAsia" w:eastAsia="宋体"/>
          <w:lang w:val="en-US" w:eastAsia="zh-CN"/>
        </w:rPr>
        <w:t>国资监管域</w:t>
      </w:r>
      <w:r>
        <w:t xml:space="preserve"> — </w:t>
      </w:r>
      <w:r>
        <w:rPr>
          <w:rFonts w:hint="eastAsia" w:eastAsia="宋体"/>
          <w:lang w:val="en-US" w:eastAsia="zh-CN"/>
        </w:rPr>
        <w:t>核心实体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"/>
        <w:gridCol w:w="3588"/>
        <w:gridCol w:w="4917"/>
      </w:tblGrid>
      <w:tr w14:paraId="4E6E6D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745AB3">
            <w:pPr>
              <w:spacing w:after="0" w:line="240" w:lineRule="auto"/>
            </w:pPr>
            <w:r>
              <w:rPr>
                <w:b/>
              </w:rPr>
              <w:t>模块</w:t>
            </w:r>
          </w:p>
        </w:tc>
        <w:tc>
          <w:tcPr>
            <w:tcW w:w="2880" w:type="dxa"/>
          </w:tcPr>
          <w:p w14:paraId="45CAA0EB">
            <w:pPr>
              <w:spacing w:after="0" w:line="240" w:lineRule="auto"/>
            </w:pPr>
            <w:r>
              <w:rPr>
                <w:b/>
              </w:rPr>
              <w:t>核心实体</w:t>
            </w:r>
          </w:p>
        </w:tc>
        <w:tc>
          <w:tcPr>
            <w:tcW w:w="2880" w:type="dxa"/>
          </w:tcPr>
          <w:p w14:paraId="64914AB2">
            <w:pPr>
              <w:spacing w:after="0" w:line="240" w:lineRule="auto"/>
            </w:pPr>
            <w:r>
              <w:rPr>
                <w:b/>
              </w:rPr>
              <w:t>关键字段</w:t>
            </w:r>
          </w:p>
        </w:tc>
      </w:tr>
      <w:tr w14:paraId="5B26C3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17FEFB">
            <w:pPr>
              <w:spacing w:after="0" w:line="240" w:lineRule="auto"/>
            </w:pPr>
            <w:r>
              <w:t>审批工作流</w:t>
            </w:r>
          </w:p>
        </w:tc>
        <w:tc>
          <w:tcPr>
            <w:tcW w:w="2880" w:type="dxa"/>
          </w:tcPr>
          <w:p w14:paraId="179159A1">
            <w:pPr>
              <w:spacing w:after="0" w:line="240" w:lineRule="auto"/>
            </w:pPr>
            <w:r>
              <w:t>ApprovalDef/ApprovalInstance/ApprovalNode</w:t>
            </w:r>
          </w:p>
        </w:tc>
        <w:tc>
          <w:tcPr>
            <w:tcW w:w="2880" w:type="dxa"/>
          </w:tcPr>
          <w:p w14:paraId="6D4957DE">
            <w:pPr>
              <w:spacing w:after="0" w:line="240" w:lineRule="auto"/>
            </w:pPr>
            <w:r>
              <w:t>def_name,biz_type,trigger_condition(JSON)/instance_status,current_node</w:t>
            </w:r>
          </w:p>
        </w:tc>
      </w:tr>
      <w:tr w14:paraId="5A2D78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353FFE">
            <w:pPr>
              <w:spacing w:after="0" w:line="240" w:lineRule="auto"/>
            </w:pPr>
            <w:r>
              <w:t>监管上报</w:t>
            </w:r>
          </w:p>
        </w:tc>
        <w:tc>
          <w:tcPr>
            <w:tcW w:w="2880" w:type="dxa"/>
          </w:tcPr>
          <w:p w14:paraId="5AC5A66D">
            <w:pPr>
              <w:spacing w:after="0" w:line="240" w:lineRule="auto"/>
            </w:pPr>
            <w:r>
              <w:t>ReportTemplate/ReportSnapshot/ReportSubmission</w:t>
            </w:r>
          </w:p>
        </w:tc>
        <w:tc>
          <w:tcPr>
            <w:tcW w:w="2880" w:type="dxa"/>
          </w:tcPr>
          <w:p w14:paraId="05B64C38">
            <w:pPr>
              <w:spacing w:after="0" w:line="240" w:lineRule="auto"/>
            </w:pPr>
            <w:r>
              <w:t>report_type,period,org_id,snapshot_data(JSONB),submit_status</w:t>
            </w:r>
          </w:p>
        </w:tc>
      </w:tr>
      <w:tr w14:paraId="35ADEC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B5E892">
            <w:pPr>
              <w:spacing w:after="0" w:line="240" w:lineRule="auto"/>
            </w:pPr>
            <w:r>
              <w:t>预警中心</w:t>
            </w:r>
          </w:p>
        </w:tc>
        <w:tc>
          <w:tcPr>
            <w:tcW w:w="2880" w:type="dxa"/>
          </w:tcPr>
          <w:p w14:paraId="057FD2B5">
            <w:pPr>
              <w:spacing w:after="0" w:line="240" w:lineRule="auto"/>
            </w:pPr>
            <w:r>
              <w:t>AlertRule/AlertRecord</w:t>
            </w:r>
          </w:p>
        </w:tc>
        <w:tc>
          <w:tcPr>
            <w:tcW w:w="2880" w:type="dxa"/>
          </w:tcPr>
          <w:p w14:paraId="6DD02BF4">
            <w:pPr>
              <w:spacing w:after="0" w:line="240" w:lineRule="auto"/>
            </w:pPr>
            <w:r>
              <w:t>alert_type,rule_config(JSON),enabled/triggered_at,alert_data(JSONB)</w:t>
            </w:r>
          </w:p>
        </w:tc>
      </w:tr>
      <w:tr w14:paraId="643EA4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E558B6">
            <w:pPr>
              <w:spacing w:after="0" w:line="240" w:lineRule="auto"/>
            </w:pPr>
            <w:r>
              <w:t>审计追溯</w:t>
            </w:r>
          </w:p>
        </w:tc>
        <w:tc>
          <w:tcPr>
            <w:tcW w:w="2880" w:type="dxa"/>
          </w:tcPr>
          <w:p w14:paraId="3F0EA22B">
            <w:pPr>
              <w:spacing w:after="0" w:line="240" w:lineRule="auto"/>
            </w:pPr>
            <w:r>
              <w:t>OperationLog/AssetLifecycleView</w:t>
            </w:r>
          </w:p>
        </w:tc>
        <w:tc>
          <w:tcPr>
            <w:tcW w:w="2880" w:type="dxa"/>
          </w:tcPr>
          <w:p w14:paraId="0060AD23">
            <w:pPr>
              <w:spacing w:after="0" w:line="240" w:lineRule="auto"/>
            </w:pPr>
            <w:r>
              <w:t>operator_id,action,target_type,before_data(JSONB),after_data(JSONB)</w:t>
            </w:r>
          </w:p>
        </w:tc>
      </w:tr>
      <w:tr w14:paraId="121C8A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28EF65">
            <w:pPr>
              <w:spacing w:after="0" w:line="240" w:lineRule="auto"/>
            </w:pPr>
            <w:r>
              <w:t>财务对接</w:t>
            </w:r>
          </w:p>
        </w:tc>
        <w:tc>
          <w:tcPr>
            <w:tcW w:w="2880" w:type="dxa"/>
          </w:tcPr>
          <w:p w14:paraId="4109A749">
            <w:pPr>
              <w:spacing w:after="0" w:line="240" w:lineRule="auto"/>
            </w:pPr>
            <w:r>
              <w:t>FinancialData/FinancialAdapterConfig</w:t>
            </w:r>
          </w:p>
        </w:tc>
        <w:tc>
          <w:tcPr>
            <w:tcW w:w="2880" w:type="dxa"/>
          </w:tcPr>
          <w:p w14:paraId="28E14C45">
            <w:pPr>
              <w:spacing w:after="0" w:line="240" w:lineRule="auto"/>
            </w:pPr>
            <w:r>
              <w:t>org_id,adapter_type,connection_config(JSON),last_sync_at</w:t>
            </w:r>
          </w:p>
        </w:tc>
      </w:tr>
    </w:tbl>
    <w:p w14:paraId="2B200FA5"/>
    <w:p w14:paraId="1BC7E3A7">
      <w:pPr>
        <w:pStyle w:val="3"/>
      </w:pPr>
      <w:r>
        <w:t>五、</w:t>
      </w:r>
      <w:r>
        <w:rPr>
          <w:rFonts w:hint="eastAsia" w:eastAsia="宋体"/>
          <w:lang w:val="en-US" w:eastAsia="zh-CN"/>
        </w:rPr>
        <w:t>审批工作流</w:t>
      </w:r>
      <w:r>
        <w:t>设计</w:t>
      </w:r>
    </w:p>
    <w:p w14:paraId="0A443569">
      <w:pPr>
        <w:pStyle w:val="4"/>
        <w:rPr>
          <w:rFonts w:hint="default" w:eastAsia="宋体"/>
          <w:lang w:val="en-US" w:eastAsia="zh-CN"/>
        </w:rPr>
      </w:pPr>
      <w:r>
        <w:t xml:space="preserve">5.1 </w:t>
      </w:r>
      <w:r>
        <w:rPr>
          <w:rFonts w:hint="eastAsia" w:eastAsia="宋体"/>
          <w:lang w:val="en-US" w:eastAsia="zh-CN"/>
        </w:rPr>
        <w:t>审批状态机</w:t>
      </w:r>
    </w:p>
    <w:p w14:paraId="0DB53C04">
      <w:pPr>
        <w:jc w:val="center"/>
      </w:pPr>
    </w:p>
    <w:p w14:paraId="2E7059E7">
      <w:r>
        <w:drawing>
          <wp:inline distT="0" distB="0" distL="114300" distR="114300">
            <wp:extent cx="5669280" cy="12713335"/>
            <wp:effectExtent l="0" t="0" r="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71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7EBC"/>
    <w:p w14:paraId="61F34D93">
      <w:pPr>
        <w:pStyle w:val="4"/>
        <w:rPr>
          <w:rFonts w:hint="eastAsia" w:eastAsia="宋体"/>
          <w:lang w:val="en-US" w:eastAsia="zh-CN"/>
        </w:rPr>
      </w:pPr>
      <w:r>
        <w:t xml:space="preserve">5.2 </w:t>
      </w:r>
      <w:r>
        <w:rPr>
          <w:rFonts w:hint="eastAsia" w:eastAsia="宋体"/>
          <w:lang w:val="en-US" w:eastAsia="zh-CN"/>
        </w:rPr>
        <w:t>支持的审批</w:t>
      </w:r>
      <w:r>
        <w:t>业务</w:t>
      </w:r>
      <w:r>
        <w:rPr>
          <w:rFonts w:hint="eastAsia" w:eastAsia="宋体"/>
          <w:lang w:val="en-US" w:eastAsia="zh-CN"/>
        </w:rPr>
        <w:t>类型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6DEB2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AFE885">
            <w:pPr>
              <w:spacing w:after="0" w:line="240" w:lineRule="auto"/>
            </w:pPr>
            <w:r>
              <w:rPr>
                <w:b/>
              </w:rPr>
              <w:t>业务类型</w:t>
            </w:r>
          </w:p>
        </w:tc>
        <w:tc>
          <w:tcPr>
            <w:tcW w:w="2880" w:type="dxa"/>
          </w:tcPr>
          <w:p w14:paraId="14FAC1CF">
            <w:pPr>
              <w:spacing w:after="0" w:line="240" w:lineRule="auto"/>
            </w:pPr>
            <w:r>
              <w:rPr>
                <w:b/>
              </w:rPr>
              <w:t>默认审批链</w:t>
            </w:r>
          </w:p>
        </w:tc>
        <w:tc>
          <w:tcPr>
            <w:tcW w:w="2880" w:type="dxa"/>
          </w:tcPr>
          <w:p w14:paraId="56C95564">
            <w:pPr>
              <w:spacing w:after="0" w:line="240" w:lineRule="auto"/>
            </w:pPr>
            <w:r>
              <w:rPr>
                <w:b/>
              </w:rPr>
              <w:t>条件分支</w:t>
            </w:r>
          </w:p>
        </w:tc>
      </w:tr>
      <w:tr w14:paraId="1003C1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2CE19A">
            <w:pPr>
              <w:spacing w:after="0" w:line="240" w:lineRule="auto"/>
            </w:pPr>
            <w:r>
              <w:t>资产调拨</w:t>
            </w:r>
          </w:p>
        </w:tc>
        <w:tc>
          <w:tcPr>
            <w:tcW w:w="2880" w:type="dxa"/>
          </w:tcPr>
          <w:p w14:paraId="19BF7D13">
            <w:pPr>
              <w:spacing w:after="0" w:line="240" w:lineRule="auto"/>
            </w:pPr>
            <w:r>
              <w:t>调入部门确认</w:t>
            </w:r>
          </w:p>
        </w:tc>
        <w:tc>
          <w:tcPr>
            <w:tcW w:w="2880" w:type="dxa"/>
          </w:tcPr>
          <w:p w14:paraId="0C66C441">
            <w:pPr>
              <w:spacing w:after="0" w:line="240" w:lineRule="auto"/>
            </w:pPr>
            <w:r>
              <w:t>—</w:t>
            </w:r>
          </w:p>
        </w:tc>
      </w:tr>
      <w:tr w14:paraId="25E004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8B0FEF">
            <w:pPr>
              <w:spacing w:after="0" w:line="240" w:lineRule="auto"/>
            </w:pPr>
            <w:r>
              <w:t>资产报废</w:t>
            </w:r>
          </w:p>
        </w:tc>
        <w:tc>
          <w:tcPr>
            <w:tcW w:w="2880" w:type="dxa"/>
          </w:tcPr>
          <w:p w14:paraId="6941EED1">
            <w:pPr>
              <w:spacing w:after="0" w:line="240" w:lineRule="auto"/>
            </w:pPr>
            <w:r>
              <w:t>部门负责人 → 财务审核</w:t>
            </w:r>
          </w:p>
        </w:tc>
        <w:tc>
          <w:tcPr>
            <w:tcW w:w="2880" w:type="dxa"/>
          </w:tcPr>
          <w:p w14:paraId="05051D4D">
            <w:pPr>
              <w:spacing w:after="0" w:line="240" w:lineRule="auto"/>
            </w:pPr>
            <w:r>
              <w:t>原值&gt;10万：追加分管领导</w:t>
            </w:r>
          </w:p>
        </w:tc>
      </w:tr>
      <w:tr w14:paraId="28A2A1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0ABDAD">
            <w:pPr>
              <w:spacing w:after="0" w:line="240" w:lineRule="auto"/>
            </w:pPr>
            <w:r>
              <w:t>盘点差异</w:t>
            </w:r>
          </w:p>
        </w:tc>
        <w:tc>
          <w:tcPr>
            <w:tcW w:w="2880" w:type="dxa"/>
          </w:tcPr>
          <w:p w14:paraId="36821B36">
            <w:pPr>
              <w:spacing w:after="0" w:line="240" w:lineRule="auto"/>
            </w:pPr>
            <w:r>
              <w:t>差异确认 → 财务调整</w:t>
            </w:r>
          </w:p>
        </w:tc>
        <w:tc>
          <w:tcPr>
            <w:tcW w:w="2880" w:type="dxa"/>
          </w:tcPr>
          <w:p w14:paraId="65FD2B22">
            <w:pPr>
              <w:spacing w:after="0" w:line="240" w:lineRule="auto"/>
            </w:pPr>
            <w:r>
              <w:t>—</w:t>
            </w:r>
          </w:p>
        </w:tc>
      </w:tr>
      <w:tr w14:paraId="03AD9F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109733">
            <w:pPr>
              <w:spacing w:after="0" w:line="240" w:lineRule="auto"/>
            </w:pPr>
            <w:r>
              <w:t>采购申请</w:t>
            </w:r>
          </w:p>
        </w:tc>
        <w:tc>
          <w:tcPr>
            <w:tcW w:w="2880" w:type="dxa"/>
          </w:tcPr>
          <w:p w14:paraId="247677DB">
            <w:pPr>
              <w:spacing w:after="0" w:line="240" w:lineRule="auto"/>
            </w:pPr>
            <w:r>
              <w:t>部门负责人 → 管理层</w:t>
            </w:r>
          </w:p>
        </w:tc>
        <w:tc>
          <w:tcPr>
            <w:tcW w:w="2880" w:type="dxa"/>
          </w:tcPr>
          <w:p w14:paraId="569B567D">
            <w:pPr>
              <w:spacing w:after="0" w:line="240" w:lineRule="auto"/>
            </w:pPr>
            <w:r>
              <w:t>金额&gt;5万：追加财务审核</w:t>
            </w:r>
          </w:p>
        </w:tc>
      </w:tr>
      <w:tr w14:paraId="27E306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F4C0D3">
            <w:pPr>
              <w:spacing w:after="0" w:line="240" w:lineRule="auto"/>
            </w:pPr>
            <w:r>
              <w:t>维保维修</w:t>
            </w:r>
          </w:p>
        </w:tc>
        <w:tc>
          <w:tcPr>
            <w:tcW w:w="2880" w:type="dxa"/>
          </w:tcPr>
          <w:p w14:paraId="052EC959">
            <w:pPr>
              <w:spacing w:after="0" w:line="240" w:lineRule="auto"/>
            </w:pPr>
            <w:r>
              <w:t>申请 → 部门确认</w:t>
            </w:r>
          </w:p>
        </w:tc>
        <w:tc>
          <w:tcPr>
            <w:tcW w:w="2880" w:type="dxa"/>
          </w:tcPr>
          <w:p w14:paraId="1CD5111B">
            <w:pPr>
              <w:spacing w:after="0" w:line="240" w:lineRule="auto"/>
            </w:pPr>
            <w:r>
              <w:t>—</w:t>
            </w:r>
          </w:p>
        </w:tc>
      </w:tr>
      <w:tr w14:paraId="2A1E5A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3B574E">
            <w:pPr>
              <w:spacing w:after="0" w:line="240" w:lineRule="auto"/>
            </w:pPr>
            <w:r>
              <w:t>监管上报</w:t>
            </w:r>
          </w:p>
        </w:tc>
        <w:tc>
          <w:tcPr>
            <w:tcW w:w="2880" w:type="dxa"/>
          </w:tcPr>
          <w:p w14:paraId="51AF30A9">
            <w:pPr>
              <w:spacing w:after="0" w:line="240" w:lineRule="auto"/>
            </w:pPr>
            <w:r>
              <w:t>企业提交 → 集团审核 → 国资委接收</w:t>
            </w:r>
          </w:p>
        </w:tc>
        <w:tc>
          <w:tcPr>
            <w:tcW w:w="2880" w:type="dxa"/>
          </w:tcPr>
          <w:p w14:paraId="6C75ACBC">
            <w:pPr>
              <w:spacing w:after="0" w:line="240" w:lineRule="auto"/>
            </w:pPr>
            <w:r>
              <w:t>—</w:t>
            </w:r>
          </w:p>
        </w:tc>
      </w:tr>
    </w:tbl>
    <w:p w14:paraId="4D8B2F86"/>
    <w:p w14:paraId="207B1DA5">
      <w:pPr>
        <w:pStyle w:val="3"/>
        <w:rPr>
          <w:rFonts w:hint="default" w:eastAsia="宋体"/>
          <w:lang w:val="en-US" w:eastAsia="zh-CN"/>
        </w:rPr>
      </w:pPr>
      <w:r>
        <w:t>六、</w:t>
      </w:r>
      <w:r>
        <w:rPr>
          <w:rFonts w:hint="eastAsia" w:eastAsia="宋体"/>
          <w:lang w:val="en-US" w:eastAsia="zh-CN"/>
        </w:rPr>
        <w:t>核心业务流程</w:t>
      </w:r>
    </w:p>
    <w:p w14:paraId="071F9E4C">
      <w:r>
        <w:rPr>
          <w:b w:val="0"/>
        </w:rPr>
        <w:t>以下流程图展示了巡检管理、盘点管理、采购管理、维保维修管理、监管上报、预警中心、审批工作流、资产全生命周期等八大核心业务流程。</w:t>
      </w:r>
    </w:p>
    <w:p w14:paraId="713FFB0A">
      <w:r>
        <w:rPr>
          <w:b w:val="0"/>
        </w:rPr>
        <w:t>（详细流程请参见上方"核心业务流程图"）</w:t>
      </w:r>
    </w:p>
    <w:p w14:paraId="5EABFFE0">
      <w:pPr>
        <w:pStyle w:val="3"/>
        <w:rPr>
          <w:rFonts w:hint="default" w:eastAsia="宋体"/>
          <w:lang w:val="en-US" w:eastAsia="zh-CN"/>
        </w:rPr>
      </w:pPr>
      <w:r>
        <w:t>七、</w:t>
      </w:r>
      <w:r>
        <w:rPr>
          <w:rFonts w:hint="eastAsia" w:eastAsia="宋体"/>
          <w:lang w:val="en-US" w:eastAsia="zh-CN"/>
        </w:rPr>
        <w:t>多租户与权限模型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069E6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F4AC9E">
            <w:pPr>
              <w:spacing w:after="0" w:line="240" w:lineRule="auto"/>
            </w:pPr>
            <w:r>
              <w:rPr>
                <w:b/>
              </w:rPr>
              <w:t>维度</w:t>
            </w:r>
          </w:p>
        </w:tc>
        <w:tc>
          <w:tcPr>
            <w:tcW w:w="4320" w:type="dxa"/>
          </w:tcPr>
          <w:p w14:paraId="0B570982">
            <w:pPr>
              <w:spacing w:after="0" w:line="240" w:lineRule="auto"/>
            </w:pPr>
            <w:r>
              <w:rPr>
                <w:b/>
              </w:rPr>
              <w:t>方案</w:t>
            </w:r>
          </w:p>
        </w:tc>
      </w:tr>
      <w:tr w14:paraId="74C89B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B25CA9">
            <w:pPr>
              <w:spacing w:after="0" w:line="240" w:lineRule="auto"/>
            </w:pPr>
            <w:r>
              <w:t>数据库级</w:t>
            </w:r>
          </w:p>
        </w:tc>
        <w:tc>
          <w:tcPr>
            <w:tcW w:w="4320" w:type="dxa"/>
          </w:tcPr>
          <w:p w14:paraId="7CE439C9">
            <w:pPr>
              <w:spacing w:after="0" w:line="240" w:lineRule="auto"/>
            </w:pPr>
            <w:r>
              <w:t>共享数据库 + tenant_id 字段隔离</w:t>
            </w:r>
          </w:p>
        </w:tc>
      </w:tr>
      <w:tr w14:paraId="343126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D2A1CC">
            <w:pPr>
              <w:spacing w:after="0" w:line="240" w:lineRule="auto"/>
            </w:pPr>
            <w:r>
              <w:t>应用级</w:t>
            </w:r>
          </w:p>
        </w:tc>
        <w:tc>
          <w:tcPr>
            <w:tcW w:w="4320" w:type="dxa"/>
          </w:tcPr>
          <w:p w14:paraId="738DD26B">
            <w:pPr>
              <w:spacing w:after="0" w:line="240" w:lineRule="auto"/>
            </w:pPr>
            <w:r>
              <w:t>TenantContext（ThreadLocal）自动注入，MyBatis-Plus 拦截器统一过滤</w:t>
            </w:r>
          </w:p>
        </w:tc>
      </w:tr>
      <w:tr w14:paraId="5A3D72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70B6BF">
            <w:pPr>
              <w:spacing w:after="0" w:line="240" w:lineRule="auto"/>
            </w:pPr>
            <w:r>
              <w:t>组织级</w:t>
            </w:r>
          </w:p>
        </w:tc>
        <w:tc>
          <w:tcPr>
            <w:tcW w:w="4320" w:type="dxa"/>
          </w:tcPr>
          <w:p w14:paraId="4DB85CFA">
            <w:pPr>
              <w:spacing w:after="0" w:line="240" w:lineRule="auto"/>
            </w:pPr>
            <w:r>
              <w:t>树形层级权限：上级可查看下级数据，同级隔离</w:t>
            </w:r>
          </w:p>
        </w:tc>
      </w:tr>
      <w:tr w14:paraId="336B87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8D2F2D">
            <w:pPr>
              <w:spacing w:after="0" w:line="240" w:lineRule="auto"/>
            </w:pPr>
            <w:r>
              <w:t>角色级</w:t>
            </w:r>
          </w:p>
        </w:tc>
        <w:tc>
          <w:tcPr>
            <w:tcW w:w="4320" w:type="dxa"/>
          </w:tcPr>
          <w:p w14:paraId="7159C33B">
            <w:pPr>
              <w:spacing w:after="0" w:line="240" w:lineRule="auto"/>
            </w:pPr>
            <w:r>
              <w:t>RBAC 四角色（国资委监管员/集团审核员/企业操作员/系统管理员）+ 可扩展自定义角色</w:t>
            </w:r>
          </w:p>
        </w:tc>
      </w:tr>
    </w:tbl>
    <w:p w14:paraId="0A26288E"/>
    <w:p w14:paraId="1428ABB7">
      <w:pPr>
        <w:pStyle w:val="3"/>
        <w:rPr>
          <w:rFonts w:hint="default" w:eastAsia="宋体"/>
          <w:lang w:val="en-US" w:eastAsia="zh-CN"/>
        </w:rPr>
      </w:pPr>
      <w:r>
        <w:t>八、</w:t>
      </w:r>
      <w:r>
        <w:rPr>
          <w:rFonts w:hint="eastAsia" w:eastAsia="宋体"/>
          <w:lang w:val="en-US" w:eastAsia="zh-CN"/>
        </w:rPr>
        <w:t>技术选型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F4794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5E2F7A">
            <w:pPr>
              <w:spacing w:after="0" w:line="240" w:lineRule="auto"/>
            </w:pPr>
            <w:r>
              <w:rPr>
                <w:b/>
              </w:rPr>
              <w:t>层次</w:t>
            </w:r>
          </w:p>
        </w:tc>
        <w:tc>
          <w:tcPr>
            <w:tcW w:w="2880" w:type="dxa"/>
          </w:tcPr>
          <w:p w14:paraId="6A780B4D">
            <w:pPr>
              <w:spacing w:after="0" w:line="240" w:lineRule="auto"/>
            </w:pPr>
            <w:r>
              <w:rPr>
                <w:b/>
              </w:rPr>
              <w:t>选型</w:t>
            </w:r>
          </w:p>
        </w:tc>
        <w:tc>
          <w:tcPr>
            <w:tcW w:w="2880" w:type="dxa"/>
          </w:tcPr>
          <w:p w14:paraId="5910282E">
            <w:pPr>
              <w:spacing w:after="0" w:line="240" w:lineRule="auto"/>
            </w:pPr>
            <w:r>
              <w:rPr>
                <w:b/>
              </w:rPr>
              <w:t>理由</w:t>
            </w:r>
          </w:p>
        </w:tc>
      </w:tr>
      <w:tr w14:paraId="713A7C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912353">
            <w:pPr>
              <w:spacing w:after="0" w:line="240" w:lineRule="auto"/>
            </w:pPr>
            <w:r>
              <w:t>前端框架</w:t>
            </w:r>
          </w:p>
        </w:tc>
        <w:tc>
          <w:tcPr>
            <w:tcW w:w="2880" w:type="dxa"/>
          </w:tcPr>
          <w:p w14:paraId="5399EF56">
            <w:pPr>
              <w:spacing w:after="0" w:line="240" w:lineRule="auto"/>
            </w:pPr>
            <w:r>
              <w:t>Vue 3 + TypeScript + Element Plus</w:t>
            </w:r>
          </w:p>
        </w:tc>
        <w:tc>
          <w:tcPr>
            <w:tcW w:w="2880" w:type="dxa"/>
          </w:tcPr>
          <w:p w14:paraId="14C6CA87">
            <w:pPr>
              <w:spacing w:after="0" w:line="240" w:lineRule="auto"/>
            </w:pPr>
            <w:r>
              <w:t>政务项目主流选型，组件库成熟</w:t>
            </w:r>
          </w:p>
        </w:tc>
      </w:tr>
      <w:tr w14:paraId="1475DE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D69AC7">
            <w:pPr>
              <w:spacing w:after="0" w:line="240" w:lineRule="auto"/>
            </w:pPr>
            <w:r>
              <w:t>可视化/驾驶舱</w:t>
            </w:r>
          </w:p>
        </w:tc>
        <w:tc>
          <w:tcPr>
            <w:tcW w:w="2880" w:type="dxa"/>
          </w:tcPr>
          <w:p w14:paraId="45E73865">
            <w:pPr>
              <w:spacing w:after="0" w:line="240" w:lineRule="auto"/>
            </w:pPr>
            <w:r>
              <w:t>ECharts 5</w:t>
            </w:r>
          </w:p>
        </w:tc>
        <w:tc>
          <w:tcPr>
            <w:tcW w:w="2880" w:type="dxa"/>
          </w:tcPr>
          <w:p w14:paraId="1077C17A">
            <w:pPr>
              <w:spacing w:after="0" w:line="240" w:lineRule="auto"/>
            </w:pPr>
            <w:r>
              <w:t>国产可视化库，大屏支持成熟</w:t>
            </w:r>
          </w:p>
        </w:tc>
      </w:tr>
      <w:tr w14:paraId="016F36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2C5B22">
            <w:pPr>
              <w:spacing w:after="0" w:line="240" w:lineRule="auto"/>
            </w:pPr>
            <w:r>
              <w:t>后端框架</w:t>
            </w:r>
          </w:p>
        </w:tc>
        <w:tc>
          <w:tcPr>
            <w:tcW w:w="2880" w:type="dxa"/>
          </w:tcPr>
          <w:p w14:paraId="7E856EFD">
            <w:pPr>
              <w:spacing w:after="0" w:line="240" w:lineRule="auto"/>
            </w:pPr>
            <w:r>
              <w:t>Spring Boot 3.x + MyBatis-Plus</w:t>
            </w:r>
          </w:p>
        </w:tc>
        <w:tc>
          <w:tcPr>
            <w:tcW w:w="2880" w:type="dxa"/>
          </w:tcPr>
          <w:p w14:paraId="4B50595B">
            <w:pPr>
              <w:spacing w:after="0" w:line="240" w:lineRule="auto"/>
            </w:pPr>
            <w:r>
              <w:t>政务信创标配，生态完善</w:t>
            </w:r>
          </w:p>
        </w:tc>
      </w:tr>
      <w:tr w14:paraId="79A1D5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95DD15">
            <w:pPr>
              <w:spacing w:after="0" w:line="240" w:lineRule="auto"/>
            </w:pPr>
            <w:r>
              <w:t>数据库</w:t>
            </w:r>
          </w:p>
        </w:tc>
        <w:tc>
          <w:tcPr>
            <w:tcW w:w="2880" w:type="dxa"/>
          </w:tcPr>
          <w:p w14:paraId="4EFEA905">
            <w:pPr>
              <w:spacing w:after="0" w:line="240" w:lineRule="auto"/>
            </w:pPr>
            <w:r>
              <w:t>PostgreSQL 15 + PostGIS</w:t>
            </w:r>
          </w:p>
        </w:tc>
        <w:tc>
          <w:tcPr>
            <w:tcW w:w="2880" w:type="dxa"/>
          </w:tcPr>
          <w:p w14:paraId="016FE10F">
            <w:pPr>
              <w:spacing w:after="0" w:line="240" w:lineRule="auto"/>
            </w:pPr>
            <w:r>
              <w:t>开源、信创兼容，JSONB 支持灵活配置</w:t>
            </w:r>
          </w:p>
        </w:tc>
      </w:tr>
      <w:tr w14:paraId="691BE5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4FD1D0">
            <w:pPr>
              <w:spacing w:after="0" w:line="240" w:lineRule="auto"/>
            </w:pPr>
            <w:r>
              <w:t>缓存</w:t>
            </w:r>
          </w:p>
        </w:tc>
        <w:tc>
          <w:tcPr>
            <w:tcW w:w="2880" w:type="dxa"/>
          </w:tcPr>
          <w:p w14:paraId="45FE4944">
            <w:pPr>
              <w:spacing w:after="0" w:line="240" w:lineRule="auto"/>
            </w:pPr>
            <w:r>
              <w:t>Redis 7</w:t>
            </w:r>
          </w:p>
        </w:tc>
        <w:tc>
          <w:tcPr>
            <w:tcW w:w="2880" w:type="dxa"/>
          </w:tcPr>
          <w:p w14:paraId="3B17FF11">
            <w:pPr>
              <w:spacing w:after="0" w:line="240" w:lineRule="auto"/>
            </w:pPr>
            <w:r>
              <w:t>Session共享、租户配置缓存、预警结果缓存</w:t>
            </w:r>
          </w:p>
        </w:tc>
      </w:tr>
      <w:tr w14:paraId="6903EA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5757AC">
            <w:pPr>
              <w:spacing w:after="0" w:line="240" w:lineRule="auto"/>
            </w:pPr>
            <w:r>
              <w:t>文件存储</w:t>
            </w:r>
          </w:p>
        </w:tc>
        <w:tc>
          <w:tcPr>
            <w:tcW w:w="2880" w:type="dxa"/>
          </w:tcPr>
          <w:p w14:paraId="4B39D296">
            <w:pPr>
              <w:spacing w:after="0" w:line="240" w:lineRule="auto"/>
            </w:pPr>
            <w:r>
              <w:t>MinIO</w:t>
            </w:r>
          </w:p>
        </w:tc>
        <w:tc>
          <w:tcPr>
            <w:tcW w:w="2880" w:type="dxa"/>
          </w:tcPr>
          <w:p w14:paraId="29309072">
            <w:pPr>
              <w:spacing w:after="0" w:line="240" w:lineRule="auto"/>
            </w:pPr>
            <w:r>
              <w:t>资产照片、巡检拍照、附件、报表导出</w:t>
            </w:r>
          </w:p>
        </w:tc>
      </w:tr>
      <w:tr w14:paraId="0AA541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5A4F38">
            <w:pPr>
              <w:spacing w:after="0" w:line="240" w:lineRule="auto"/>
            </w:pPr>
            <w:r>
              <w:t>报表引擎</w:t>
            </w:r>
          </w:p>
        </w:tc>
        <w:tc>
          <w:tcPr>
            <w:tcW w:w="2880" w:type="dxa"/>
          </w:tcPr>
          <w:p w14:paraId="61DF7471">
            <w:pPr>
              <w:spacing w:after="0" w:line="240" w:lineRule="auto"/>
            </w:pPr>
            <w:r>
              <w:t>JasperReports + Apache POI</w:t>
            </w:r>
          </w:p>
        </w:tc>
        <w:tc>
          <w:tcPr>
            <w:tcW w:w="2880" w:type="dxa"/>
          </w:tcPr>
          <w:p w14:paraId="7C472D50">
            <w:pPr>
              <w:spacing w:after="0" w:line="240" w:lineRule="auto"/>
            </w:pPr>
            <w:r>
              <w:t>复杂报表模板 + Excel导入导出</w:t>
            </w:r>
          </w:p>
        </w:tc>
      </w:tr>
      <w:tr w14:paraId="38590D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039ED4">
            <w:pPr>
              <w:spacing w:after="0" w:line="240" w:lineRule="auto"/>
            </w:pPr>
            <w:r>
              <w:t>定时任务</w:t>
            </w:r>
          </w:p>
        </w:tc>
        <w:tc>
          <w:tcPr>
            <w:tcW w:w="2880" w:type="dxa"/>
          </w:tcPr>
          <w:p w14:paraId="6F2AA72F">
            <w:pPr>
              <w:spacing w:after="0" w:line="240" w:lineRule="auto"/>
            </w:pPr>
            <w:r>
              <w:t>Spring @Scheduled</w:t>
            </w:r>
          </w:p>
        </w:tc>
        <w:tc>
          <w:tcPr>
            <w:tcW w:w="2880" w:type="dxa"/>
          </w:tcPr>
          <w:p w14:paraId="04A7668A">
            <w:pPr>
              <w:spacing w:after="0" w:line="240" w:lineRule="auto"/>
            </w:pPr>
            <w:r>
              <w:t>折旧计提、预警扫描（MVP够用）</w:t>
            </w:r>
          </w:p>
        </w:tc>
      </w:tr>
      <w:tr w14:paraId="7A059E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C136CF">
            <w:pPr>
              <w:spacing w:after="0" w:line="240" w:lineRule="auto"/>
            </w:pPr>
            <w:r>
              <w:t>容器化</w:t>
            </w:r>
          </w:p>
        </w:tc>
        <w:tc>
          <w:tcPr>
            <w:tcW w:w="2880" w:type="dxa"/>
          </w:tcPr>
          <w:p w14:paraId="2B53DE49">
            <w:pPr>
              <w:spacing w:after="0" w:line="240" w:lineRule="auto"/>
            </w:pPr>
            <w:r>
              <w:t>Docker + Docker Compose</w:t>
            </w:r>
          </w:p>
        </w:tc>
        <w:tc>
          <w:tcPr>
            <w:tcW w:w="2880" w:type="dxa"/>
          </w:tcPr>
          <w:p w14:paraId="5A0E9878">
            <w:pPr>
              <w:spacing w:after="0" w:line="240" w:lineRule="auto"/>
            </w:pPr>
            <w:r>
              <w:t>MVP够用，后续升级K8s</w:t>
            </w:r>
          </w:p>
        </w:tc>
      </w:tr>
      <w:tr w14:paraId="64A16B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EB1454">
            <w:pPr>
              <w:spacing w:after="0" w:line="240" w:lineRule="auto"/>
            </w:pPr>
            <w:r>
              <w:t>信创适配</w:t>
            </w:r>
          </w:p>
        </w:tc>
        <w:tc>
          <w:tcPr>
            <w:tcW w:w="2880" w:type="dxa"/>
          </w:tcPr>
          <w:p w14:paraId="606412C3">
            <w:pPr>
              <w:spacing w:after="0" w:line="240" w:lineRule="auto"/>
            </w:pPr>
            <w:r>
              <w:t>达梦/人大金仓 + 麒麟OS + 东方通</w:t>
            </w:r>
          </w:p>
        </w:tc>
        <w:tc>
          <w:tcPr>
            <w:tcW w:w="2880" w:type="dxa"/>
          </w:tcPr>
          <w:p w14:paraId="118A234C">
            <w:pPr>
              <w:spacing w:after="0" w:line="240" w:lineRule="auto"/>
            </w:pPr>
            <w:r>
              <w:t>基于PG协议兼容，迁移成本低</w:t>
            </w:r>
          </w:p>
        </w:tc>
      </w:tr>
    </w:tbl>
    <w:p w14:paraId="35C80966"/>
    <w:p w14:paraId="183F9A87">
      <w:pPr>
        <w:pStyle w:val="3"/>
      </w:pPr>
      <w:r>
        <w:t>九、</w:t>
      </w:r>
      <w:r>
        <w:rPr>
          <w:rFonts w:hint="eastAsia" w:eastAsia="宋体"/>
          <w:lang w:val="en-US" w:eastAsia="zh-CN"/>
        </w:rPr>
        <w:t>部署架构与代码</w:t>
      </w:r>
      <w:r>
        <w:t>组织</w:t>
      </w:r>
    </w:p>
    <w:p w14:paraId="73F4AB29">
      <w:pPr>
        <w:jc w:val="center"/>
      </w:pPr>
    </w:p>
    <w:p w14:paraId="1E1292B4">
      <w:r>
        <w:drawing>
          <wp:inline distT="0" distB="0" distL="114300" distR="114300">
            <wp:extent cx="5669280" cy="774763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74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419CC"/>
    <w:p w14:paraId="50539677">
      <w:pPr>
        <w:pStyle w:val="3"/>
      </w:pPr>
      <w:r>
        <w:t>十、分期交付计划（14周）</w:t>
      </w:r>
    </w:p>
    <w:p w14:paraId="0DAF5B59">
      <w:pPr>
        <w:jc w:val="center"/>
      </w:pPr>
    </w:p>
    <w:p w14:paraId="3FC82219">
      <w:r>
        <w:drawing>
          <wp:inline distT="0" distB="0" distL="114300" distR="114300">
            <wp:extent cx="5669280" cy="7440930"/>
            <wp:effectExtent l="0" t="0" r="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44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8BEF"/>
    <w:p w14:paraId="4553F0D4">
      <w:pPr>
        <w:pStyle w:val="4"/>
      </w:pPr>
      <w:r>
        <w:t>10.1 Phase 1 验收标准</w:t>
      </w:r>
    </w:p>
    <w:p w14:paraId="241F5389">
      <w:r>
        <w:rPr>
          <w:b w:val="0"/>
        </w:rPr>
        <w:t>企业可通过系统完成采购申请→资产入账→日常使用→折旧计提→报废退出的完整闭环，驾驶舱展示企业资产全貌。</w:t>
      </w:r>
    </w:p>
    <w:p w14:paraId="200F2820">
      <w:pPr>
        <w:pStyle w:val="4"/>
      </w:pPr>
      <w:r>
        <w:t>10.2 Phase 2 验收标准</w:t>
      </w:r>
    </w:p>
    <w:p w14:paraId="336F5DEA">
      <w:r>
        <w:rPr>
          <w:b w:val="0"/>
        </w:rPr>
        <w:t>企业可完成巡检盘点现场管理，数据可通过审批上报至国资委，系统具备完整的审计追溯能力。</w:t>
      </w:r>
    </w:p>
    <w:p w14:paraId="168B78A8">
      <w:pPr>
        <w:pStyle w:val="3"/>
      </w:pPr>
      <w:r>
        <w:t>十一、API 设计原则</w:t>
      </w:r>
    </w:p>
    <w:p w14:paraId="5663E487">
      <w:r>
        <w:rPr>
          <w:b w:val="0"/>
        </w:rPr>
        <w:t>统一响应格式：</w:t>
      </w:r>
    </w:p>
    <w:p w14:paraId="0FF77541">
      <w:r>
        <w:rPr>
          <w:b w:val="0"/>
        </w:rPr>
        <w:t>成功: { "success": true, "data": {...}, "meta": { "total": 100, "page": 1, "limit": 20 } }</w:t>
      </w:r>
    </w:p>
    <w:p w14:paraId="170C28C0">
      <w:r>
        <w:rPr>
          <w:b w:val="0"/>
        </w:rPr>
        <w:t>错误: { "success": false, "error": "资产编码已存在: ZC-2026-0001" }</w:t>
      </w:r>
    </w:p>
    <w:p w14:paraId="241951AC">
      <w:r>
        <w:rPr>
          <w:b w:val="0"/>
        </w:rPr>
        <w:t>主要API端点：/api/assets、/api/inspection-tasks、/api/inventory-tasks、/api/reports、/api/approval-instances、/api/alerts 等。</w:t>
      </w:r>
    </w:p>
    <w:p w14:paraId="5C52AF8D">
      <w:r>
        <w:rPr>
          <w:b w:val="0"/>
        </w:rPr>
        <w:t>多租户：所有 /api/** 请求通过 X-Tenant-Id Header 注入租户上下文。</w:t>
      </w:r>
    </w:p>
    <w:p w14:paraId="6321AECB">
      <w:pPr>
        <w:pStyle w:val="3"/>
        <w:rPr>
          <w:rFonts w:hint="default" w:eastAsia="宋体"/>
          <w:lang w:val="en-US" w:eastAsia="zh-CN"/>
        </w:rPr>
      </w:pPr>
      <w:r>
        <w:t>十二、错误</w:t>
      </w:r>
      <w:r>
        <w:rPr>
          <w:rFonts w:hint="eastAsia" w:eastAsia="宋体"/>
          <w:lang w:val="en-US" w:eastAsia="zh-CN"/>
        </w:rPr>
        <w:t>处理策略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2F9CB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A2B1A8">
            <w:pPr>
              <w:spacing w:after="0" w:line="240" w:lineRule="auto"/>
            </w:pPr>
            <w:r>
              <w:rPr>
                <w:b/>
              </w:rPr>
              <w:t>错误类型</w:t>
            </w:r>
          </w:p>
        </w:tc>
        <w:tc>
          <w:tcPr>
            <w:tcW w:w="2880" w:type="dxa"/>
          </w:tcPr>
          <w:p w14:paraId="3CE55200">
            <w:pPr>
              <w:spacing w:after="0" w:line="240" w:lineRule="auto"/>
            </w:pPr>
            <w:r>
              <w:rPr>
                <w:b/>
              </w:rPr>
              <w:t>HTTP状态码</w:t>
            </w:r>
          </w:p>
        </w:tc>
        <w:tc>
          <w:tcPr>
            <w:tcW w:w="2880" w:type="dxa"/>
          </w:tcPr>
          <w:p w14:paraId="73945730">
            <w:pPr>
              <w:spacing w:after="0" w:line="240" w:lineRule="auto"/>
            </w:pPr>
            <w:r>
              <w:rPr>
                <w:b/>
              </w:rPr>
              <w:t>处理方式</w:t>
            </w:r>
          </w:p>
        </w:tc>
      </w:tr>
      <w:tr w14:paraId="62ECAF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1AB845">
            <w:pPr>
              <w:spacing w:after="0" w:line="240" w:lineRule="auto"/>
            </w:pPr>
            <w:r>
              <w:t>参数校验失败</w:t>
            </w:r>
          </w:p>
        </w:tc>
        <w:tc>
          <w:tcPr>
            <w:tcW w:w="2880" w:type="dxa"/>
          </w:tcPr>
          <w:p w14:paraId="4F010976">
            <w:pPr>
              <w:spacing w:after="0" w:line="240" w:lineRule="auto"/>
            </w:pPr>
            <w:r>
              <w:t>400</w:t>
            </w:r>
          </w:p>
        </w:tc>
        <w:tc>
          <w:tcPr>
            <w:tcW w:w="2880" w:type="dxa"/>
          </w:tcPr>
          <w:p w14:paraId="23C9C4E1">
            <w:pPr>
              <w:spacing w:after="0" w:line="240" w:lineRule="auto"/>
            </w:pPr>
            <w:r>
              <w:t>GlobalExceptionHandler 统一拦截</w:t>
            </w:r>
          </w:p>
        </w:tc>
      </w:tr>
      <w:tr w14:paraId="240B2A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4CC2A5">
            <w:pPr>
              <w:spacing w:after="0" w:line="240" w:lineRule="auto"/>
            </w:pPr>
            <w:r>
              <w:t>业务逻辑错误</w:t>
            </w:r>
          </w:p>
        </w:tc>
        <w:tc>
          <w:tcPr>
            <w:tcW w:w="2880" w:type="dxa"/>
          </w:tcPr>
          <w:p w14:paraId="6780CC00">
            <w:pPr>
              <w:spacing w:after="0" w:line="240" w:lineRule="auto"/>
            </w:pPr>
            <w:r>
              <w:t>400</w:t>
            </w:r>
          </w:p>
        </w:tc>
        <w:tc>
          <w:tcPr>
            <w:tcW w:w="2880" w:type="dxa"/>
          </w:tcPr>
          <w:p w14:paraId="3B87F98B">
            <w:pPr>
              <w:spacing w:after="0" w:line="240" w:lineRule="auto"/>
            </w:pPr>
            <w:r>
              <w:t>BusinessException，返回中文错误信息</w:t>
            </w:r>
          </w:p>
        </w:tc>
      </w:tr>
      <w:tr w14:paraId="57E41A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045A4E">
            <w:pPr>
              <w:spacing w:after="0" w:line="240" w:lineRule="auto"/>
            </w:pPr>
            <w:r>
              <w:t>认证失败</w:t>
            </w:r>
          </w:p>
        </w:tc>
        <w:tc>
          <w:tcPr>
            <w:tcW w:w="2880" w:type="dxa"/>
          </w:tcPr>
          <w:p w14:paraId="7D6AE277">
            <w:pPr>
              <w:spacing w:after="0" w:line="240" w:lineRule="auto"/>
            </w:pPr>
            <w:r>
              <w:t>401</w:t>
            </w:r>
          </w:p>
        </w:tc>
        <w:tc>
          <w:tcPr>
            <w:tcW w:w="2880" w:type="dxa"/>
          </w:tcPr>
          <w:p w14:paraId="7B475D9F">
            <w:pPr>
              <w:spacing w:after="0" w:line="240" w:lineRule="auto"/>
            </w:pPr>
            <w:r>
              <w:t>Spring Security 拦截</w:t>
            </w:r>
          </w:p>
        </w:tc>
      </w:tr>
      <w:tr w14:paraId="037613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A2F227">
            <w:pPr>
              <w:spacing w:after="0" w:line="240" w:lineRule="auto"/>
            </w:pPr>
            <w:r>
              <w:t>权限不足</w:t>
            </w:r>
          </w:p>
        </w:tc>
        <w:tc>
          <w:tcPr>
            <w:tcW w:w="2880" w:type="dxa"/>
          </w:tcPr>
          <w:p w14:paraId="23FEEBB4">
            <w:pPr>
              <w:spacing w:after="0" w:line="240" w:lineRule="auto"/>
            </w:pPr>
            <w:r>
              <w:t>403</w:t>
            </w:r>
          </w:p>
        </w:tc>
        <w:tc>
          <w:tcPr>
            <w:tcW w:w="2880" w:type="dxa"/>
          </w:tcPr>
          <w:p w14:paraId="47E37453">
            <w:pPr>
              <w:spacing w:after="0" w:line="240" w:lineRule="auto"/>
            </w:pPr>
            <w:r>
              <w:t>返回"无权限访问"</w:t>
            </w:r>
          </w:p>
        </w:tc>
      </w:tr>
      <w:tr w14:paraId="66A759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9B7C11">
            <w:pPr>
              <w:spacing w:after="0" w:line="240" w:lineRule="auto"/>
            </w:pPr>
            <w:r>
              <w:t>资源不存在</w:t>
            </w:r>
          </w:p>
        </w:tc>
        <w:tc>
          <w:tcPr>
            <w:tcW w:w="2880" w:type="dxa"/>
          </w:tcPr>
          <w:p w14:paraId="2CF61916">
            <w:pPr>
              <w:spacing w:after="0" w:line="240" w:lineRule="auto"/>
            </w:pPr>
            <w:r>
              <w:t>404</w:t>
            </w:r>
          </w:p>
        </w:tc>
        <w:tc>
          <w:tcPr>
            <w:tcW w:w="2880" w:type="dxa"/>
          </w:tcPr>
          <w:p w14:paraId="6B9DFBB5">
            <w:pPr>
              <w:spacing w:after="0" w:line="240" w:lineRule="auto"/>
            </w:pPr>
            <w:r>
              <w:t>返回"XX不存在"</w:t>
            </w:r>
          </w:p>
        </w:tc>
      </w:tr>
      <w:tr w14:paraId="5A0F7A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46AD53">
            <w:pPr>
              <w:spacing w:after="0" w:line="240" w:lineRule="auto"/>
            </w:pPr>
            <w:r>
              <w:t>系统内部错误</w:t>
            </w:r>
          </w:p>
        </w:tc>
        <w:tc>
          <w:tcPr>
            <w:tcW w:w="2880" w:type="dxa"/>
          </w:tcPr>
          <w:p w14:paraId="72A9BD97">
            <w:pPr>
              <w:spacing w:after="0" w:line="240" w:lineRule="auto"/>
            </w:pPr>
            <w:r>
              <w:t>500</w:t>
            </w:r>
          </w:p>
        </w:tc>
        <w:tc>
          <w:tcPr>
            <w:tcW w:w="2880" w:type="dxa"/>
          </w:tcPr>
          <w:p w14:paraId="5891CD1B">
            <w:pPr>
              <w:spacing w:after="0" w:line="240" w:lineRule="auto"/>
            </w:pPr>
            <w:r>
              <w:t>记录详细日志，返回"系统内部错误"</w:t>
            </w:r>
          </w:p>
        </w:tc>
      </w:tr>
    </w:tbl>
    <w:p w14:paraId="26860B93"/>
    <w:p w14:paraId="748D9EBE">
      <w:pPr>
        <w:pStyle w:val="3"/>
        <w:rPr>
          <w:rFonts w:hint="eastAsia" w:eastAsia="宋体"/>
          <w:lang w:val="en-US" w:eastAsia="zh-CN"/>
        </w:rPr>
      </w:pPr>
      <w:r>
        <w:t>十三、测试</w:t>
      </w:r>
      <w:r>
        <w:rPr>
          <w:rFonts w:hint="eastAsia" w:eastAsia="宋体"/>
          <w:lang w:val="en-US" w:eastAsia="zh-CN"/>
        </w:rPr>
        <w:t>策略</w:t>
      </w:r>
    </w:p>
    <w:p w14:paraId="6BD6F764">
      <w:r>
        <w:rPr>
          <w:b w:val="0"/>
        </w:rPr>
        <w:t>目标覆盖率：≥ 80%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945B5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0521C6">
            <w:pPr>
              <w:spacing w:after="0" w:line="240" w:lineRule="auto"/>
            </w:pPr>
            <w:r>
              <w:rPr>
                <w:b/>
              </w:rPr>
              <w:t>测试类型</w:t>
            </w:r>
          </w:p>
        </w:tc>
        <w:tc>
          <w:tcPr>
            <w:tcW w:w="2880" w:type="dxa"/>
          </w:tcPr>
          <w:p w14:paraId="3E11290A">
            <w:pPr>
              <w:spacing w:after="0" w:line="240" w:lineRule="auto"/>
            </w:pPr>
            <w:r>
              <w:rPr>
                <w:b/>
              </w:rPr>
              <w:t>范围</w:t>
            </w:r>
          </w:p>
        </w:tc>
        <w:tc>
          <w:tcPr>
            <w:tcW w:w="2880" w:type="dxa"/>
          </w:tcPr>
          <w:p w14:paraId="03DB751F">
            <w:pPr>
              <w:spacing w:after="0" w:line="240" w:lineRule="auto"/>
            </w:pPr>
            <w:r>
              <w:rPr>
                <w:b/>
              </w:rPr>
              <w:t>工具</w:t>
            </w:r>
          </w:p>
        </w:tc>
      </w:tr>
      <w:tr w14:paraId="383AFC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5EBA17">
            <w:pPr>
              <w:spacing w:after="0" w:line="240" w:lineRule="auto"/>
            </w:pPr>
            <w:r>
              <w:t>单元测试</w:t>
            </w:r>
          </w:p>
        </w:tc>
        <w:tc>
          <w:tcPr>
            <w:tcW w:w="2880" w:type="dxa"/>
          </w:tcPr>
          <w:p w14:paraId="4B555EF4">
            <w:pPr>
              <w:spacing w:after="0" w:line="240" w:lineRule="auto"/>
            </w:pPr>
            <w:r>
              <w:t>Service 层业务逻辑、工具类、审批引擎</w:t>
            </w:r>
          </w:p>
        </w:tc>
        <w:tc>
          <w:tcPr>
            <w:tcW w:w="2880" w:type="dxa"/>
          </w:tcPr>
          <w:p w14:paraId="08CC8A7C">
            <w:pPr>
              <w:spacing w:after="0" w:line="240" w:lineRule="auto"/>
            </w:pPr>
            <w:r>
              <w:t>JUnit 5 + Mockito</w:t>
            </w:r>
          </w:p>
        </w:tc>
      </w:tr>
      <w:tr w14:paraId="15CB45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454ABB">
            <w:pPr>
              <w:spacing w:after="0" w:line="240" w:lineRule="auto"/>
            </w:pPr>
            <w:r>
              <w:t>集成测试</w:t>
            </w:r>
          </w:p>
        </w:tc>
        <w:tc>
          <w:tcPr>
            <w:tcW w:w="2880" w:type="dxa"/>
          </w:tcPr>
          <w:p w14:paraId="0BD08205">
            <w:pPr>
              <w:spacing w:after="0" w:line="240" w:lineRule="auto"/>
            </w:pPr>
            <w:r>
              <w:t>Controller API 端点、数据库操作、事务边界</w:t>
            </w:r>
          </w:p>
        </w:tc>
        <w:tc>
          <w:tcPr>
            <w:tcW w:w="2880" w:type="dxa"/>
          </w:tcPr>
          <w:p w14:paraId="75740EA3">
            <w:pPr>
              <w:spacing w:after="0" w:line="240" w:lineRule="auto"/>
            </w:pPr>
            <w:r>
              <w:t>Spring Boot Test + Testcontainers</w:t>
            </w:r>
          </w:p>
        </w:tc>
      </w:tr>
      <w:tr w14:paraId="1A28AD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61D5E9">
            <w:pPr>
              <w:spacing w:after="0" w:line="240" w:lineRule="auto"/>
            </w:pPr>
            <w:r>
              <w:t>前端测试（Phase 2）</w:t>
            </w:r>
          </w:p>
        </w:tc>
        <w:tc>
          <w:tcPr>
            <w:tcW w:w="2880" w:type="dxa"/>
          </w:tcPr>
          <w:p w14:paraId="2B49445B">
            <w:pPr>
              <w:spacing w:after="0" w:line="240" w:lineRule="auto"/>
            </w:pPr>
            <w:r>
              <w:t>关键页面交互、审批流程</w:t>
            </w:r>
          </w:p>
        </w:tc>
        <w:tc>
          <w:tcPr>
            <w:tcW w:w="2880" w:type="dxa"/>
          </w:tcPr>
          <w:p w14:paraId="3A819338">
            <w:pPr>
              <w:spacing w:after="0" w:line="240" w:lineRule="auto"/>
            </w:pPr>
            <w:r>
              <w:t>Vitest + Vue Test Utils</w:t>
            </w:r>
          </w:p>
        </w:tc>
      </w:tr>
      <w:tr w14:paraId="714F5E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21435E">
            <w:pPr>
              <w:spacing w:after="0" w:line="240" w:lineRule="auto"/>
            </w:pPr>
            <w:r>
              <w:t>E2E测试（Phase 2）</w:t>
            </w:r>
          </w:p>
        </w:tc>
        <w:tc>
          <w:tcPr>
            <w:tcW w:w="2880" w:type="dxa"/>
          </w:tcPr>
          <w:p w14:paraId="44AA2DE4">
            <w:pPr>
              <w:spacing w:after="0" w:line="240" w:lineRule="auto"/>
            </w:pPr>
            <w:r>
              <w:t>核心用户流程</w:t>
            </w:r>
          </w:p>
        </w:tc>
        <w:tc>
          <w:tcPr>
            <w:tcW w:w="2880" w:type="dxa"/>
          </w:tcPr>
          <w:p w14:paraId="5C310F38">
            <w:pPr>
              <w:spacing w:after="0" w:line="240" w:lineRule="auto"/>
            </w:pPr>
            <w:r>
              <w:t>Playwright</w:t>
            </w:r>
          </w:p>
        </w:tc>
      </w:tr>
    </w:tbl>
    <w:p w14:paraId="0A9F322F"/>
    <w:p w14:paraId="755E5807">
      <w:pPr>
        <w:pStyle w:val="3"/>
        <w:rPr>
          <w:rFonts w:hint="default"/>
          <w:lang w:val="en-US"/>
        </w:rPr>
      </w:pPr>
      <w:r>
        <w:rPr>
          <w:rFonts w:hint="eastAsia" w:eastAsia="宋体"/>
          <w:lang w:val="en-US" w:eastAsia="zh-CN"/>
        </w:rPr>
        <w:t>十四</w:t>
      </w:r>
      <w:r>
        <w:t>、风险</w:t>
      </w:r>
      <w:r>
        <w:rPr>
          <w:rFonts w:hint="eastAsia" w:eastAsia="宋体"/>
          <w:lang w:val="en-US" w:eastAsia="zh-CN"/>
        </w:rPr>
        <w:t>与缓解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526E8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53EB52">
            <w:pPr>
              <w:spacing w:after="0" w:line="240" w:lineRule="auto"/>
            </w:pPr>
            <w:r>
              <w:rPr>
                <w:b/>
              </w:rPr>
              <w:t>风险</w:t>
            </w:r>
          </w:p>
        </w:tc>
        <w:tc>
          <w:tcPr>
            <w:tcW w:w="2880" w:type="dxa"/>
          </w:tcPr>
          <w:p w14:paraId="4AC4EBFC">
            <w:pPr>
              <w:spacing w:after="0" w:line="240" w:lineRule="auto"/>
            </w:pPr>
            <w:r>
              <w:rPr>
                <w:b/>
              </w:rPr>
              <w:t>影响</w:t>
            </w:r>
          </w:p>
        </w:tc>
        <w:tc>
          <w:tcPr>
            <w:tcW w:w="2880" w:type="dxa"/>
          </w:tcPr>
          <w:p w14:paraId="4D45A16E">
            <w:pPr>
              <w:spacing w:after="0" w:line="240" w:lineRule="auto"/>
            </w:pPr>
            <w:r>
              <w:rPr>
                <w:b/>
              </w:rPr>
              <w:t>缓解措施</w:t>
            </w:r>
          </w:p>
        </w:tc>
      </w:tr>
      <w:tr w14:paraId="3B149F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D12882">
            <w:pPr>
              <w:spacing w:after="0" w:line="240" w:lineRule="auto"/>
            </w:pPr>
            <w:r>
              <w:t>14周范围大</w:t>
            </w:r>
          </w:p>
        </w:tc>
        <w:tc>
          <w:tcPr>
            <w:tcW w:w="2880" w:type="dxa"/>
          </w:tcPr>
          <w:p w14:paraId="26A19BE6">
            <w:pPr>
              <w:spacing w:after="0" w:line="240" w:lineRule="auto"/>
            </w:pPr>
            <w:r>
              <w:t>质量不达标</w:t>
            </w:r>
          </w:p>
        </w:tc>
        <w:tc>
          <w:tcPr>
            <w:tcW w:w="2880" w:type="dxa"/>
          </w:tcPr>
          <w:p w14:paraId="494D4798">
            <w:pPr>
              <w:spacing w:after="0" w:line="240" w:lineRule="auto"/>
            </w:pPr>
            <w:r>
              <w:t>分期交付，Phase 1聚焦核心闭环</w:t>
            </w:r>
          </w:p>
        </w:tc>
      </w:tr>
      <w:tr w14:paraId="75B162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6DF73F">
            <w:pPr>
              <w:spacing w:after="0" w:line="240" w:lineRule="auto"/>
            </w:pPr>
            <w:r>
              <w:t>审批引擎复杂度高</w:t>
            </w:r>
          </w:p>
        </w:tc>
        <w:tc>
          <w:tcPr>
            <w:tcW w:w="2880" w:type="dxa"/>
          </w:tcPr>
          <w:p w14:paraId="7AA0EF35">
            <w:pPr>
              <w:spacing w:after="0" w:line="240" w:lineRule="auto"/>
            </w:pPr>
            <w:r>
              <w:t>Phase 1延期</w:t>
            </w:r>
          </w:p>
        </w:tc>
        <w:tc>
          <w:tcPr>
            <w:tcW w:w="2880" w:type="dxa"/>
          </w:tcPr>
          <w:p w14:paraId="00746D70">
            <w:pPr>
              <w:spacing w:after="0" w:line="240" w:lineRule="auto"/>
            </w:pPr>
            <w:r>
              <w:t>Sprint 2先做固定链审批，Sprint 3再抽象</w:t>
            </w:r>
          </w:p>
        </w:tc>
      </w:tr>
      <w:tr w14:paraId="305FAF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0F5ACE">
            <w:pPr>
              <w:spacing w:after="0" w:line="240" w:lineRule="auto"/>
            </w:pPr>
            <w:r>
              <w:t>财务对接难度高</w:t>
            </w:r>
          </w:p>
        </w:tc>
        <w:tc>
          <w:tcPr>
            <w:tcW w:w="2880" w:type="dxa"/>
          </w:tcPr>
          <w:p w14:paraId="66D6F8B7">
            <w:pPr>
              <w:spacing w:after="0" w:line="240" w:lineRule="auto"/>
            </w:pPr>
            <w:r>
              <w:t>数据拿不到</w:t>
            </w:r>
          </w:p>
        </w:tc>
        <w:tc>
          <w:tcPr>
            <w:tcW w:w="2880" w:type="dxa"/>
          </w:tcPr>
          <w:p w14:paraId="4B050C80">
            <w:pPr>
              <w:spacing w:after="0" w:line="240" w:lineRule="auto"/>
            </w:pPr>
            <w:r>
              <w:t>适配器层设计灵活，Excel模板兜底</w:t>
            </w:r>
          </w:p>
        </w:tc>
      </w:tr>
      <w:tr w14:paraId="242AB0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1F2944">
            <w:pPr>
              <w:spacing w:after="0" w:line="240" w:lineRule="auto"/>
            </w:pPr>
            <w:r>
              <w:t>新模块测试不足</w:t>
            </w:r>
          </w:p>
        </w:tc>
        <w:tc>
          <w:tcPr>
            <w:tcW w:w="2880" w:type="dxa"/>
          </w:tcPr>
          <w:p w14:paraId="3032A228">
            <w:pPr>
              <w:spacing w:after="0" w:line="240" w:lineRule="auto"/>
            </w:pPr>
            <w:r>
              <w:t>Bug多</w:t>
            </w:r>
          </w:p>
        </w:tc>
        <w:tc>
          <w:tcPr>
            <w:tcW w:w="2880" w:type="dxa"/>
          </w:tcPr>
          <w:p w14:paraId="79A584CF">
            <w:pPr>
              <w:spacing w:after="0" w:line="240" w:lineRule="auto"/>
            </w:pPr>
            <w:r>
              <w:t>TDD强制，每个Sprint检查覆盖率</w:t>
            </w:r>
          </w:p>
        </w:tc>
      </w:tr>
      <w:tr w14:paraId="0CDCD1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01BA19">
            <w:pPr>
              <w:spacing w:after="0" w:line="240" w:lineRule="auto"/>
            </w:pPr>
            <w:r>
              <w:t>企业配合度不足</w:t>
            </w:r>
          </w:p>
        </w:tc>
        <w:tc>
          <w:tcPr>
            <w:tcW w:w="2880" w:type="dxa"/>
          </w:tcPr>
          <w:p w14:paraId="412538EE">
            <w:pPr>
              <w:spacing w:after="0" w:line="240" w:lineRule="auto"/>
            </w:pPr>
            <w:r>
              <w:t>数据进不来</w:t>
            </w:r>
          </w:p>
        </w:tc>
        <w:tc>
          <w:tcPr>
            <w:tcW w:w="2880" w:type="dxa"/>
          </w:tcPr>
          <w:p w14:paraId="2DFAAFA7">
            <w:pPr>
              <w:spacing w:after="0" w:line="240" w:lineRule="auto"/>
            </w:pPr>
            <w:r>
              <w:t>Excel批量导入降低门槛，驻场培训</w:t>
            </w:r>
          </w:p>
        </w:tc>
      </w:tr>
      <w:tr w14:paraId="0B08C2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6DF2E3">
            <w:pPr>
              <w:spacing w:after="0" w:line="240" w:lineRule="auto"/>
            </w:pPr>
            <w:r>
              <w:t>信创环境兼容</w:t>
            </w:r>
          </w:p>
        </w:tc>
        <w:tc>
          <w:tcPr>
            <w:tcW w:w="2880" w:type="dxa"/>
          </w:tcPr>
          <w:p w14:paraId="7526C663">
            <w:pPr>
              <w:spacing w:after="0" w:line="240" w:lineRule="auto"/>
            </w:pPr>
            <w:r>
              <w:t>部署受阻</w:t>
            </w:r>
          </w:p>
        </w:tc>
        <w:tc>
          <w:tcPr>
            <w:tcW w:w="2880" w:type="dxa"/>
          </w:tcPr>
          <w:p w14:paraId="19E70E39">
            <w:pPr>
              <w:spacing w:after="0" w:line="240" w:lineRule="auto"/>
            </w:pPr>
            <w:r>
              <w:t>技术栈信创兼容选型，MVP标准环境先跑</w:t>
            </w:r>
          </w:p>
        </w:tc>
      </w:tr>
    </w:tbl>
    <w:p w14:paraId="6358EE01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B17456"/>
    <w:rsid w:val="217D5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A237E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A237E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A237E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788</Words>
  <Characters>906</Characters>
  <Lines>0</Lines>
  <Paragraphs>0</Paragraphs>
  <TotalTime>45</TotalTime>
  <ScaleCrop>false</ScaleCrop>
  <LinksUpToDate>false</LinksUpToDate>
  <CharactersWithSpaces>947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华南师范大学石牌京东派</cp:lastModifiedBy>
  <dcterms:modified xsi:type="dcterms:W3CDTF">2026-06-12T08:13:31Z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eyJoZGlkIjoiNjgzODVlMmVkMGViOGZkYTllN2ExOGUwMGZmODA0M2EiLCJ1c2VySWQiOiIyOTU1NTIxMTMifQ==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EF859110479B44F1AFD785EA23D83A3F_12</vt:lpwstr>
  </property>
</Properties>
</file>