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55F34"/>
    <w:p w14:paraId="3642C090"/>
    <w:p w14:paraId="18B4EB45">
      <w:pPr>
        <w:spacing w:after="120"/>
        <w:jc w:val="center"/>
      </w:pPr>
      <w:r>
        <w:rPr>
          <w:rFonts w:ascii="微软雅黑" w:hAnsi="微软雅黑" w:eastAsia="微软雅黑"/>
          <w:b/>
          <w:color w:val="1A568E"/>
          <w:sz w:val="48"/>
        </w:rPr>
        <w:t>湛江国资国企一体化数字平台（二期）</w:t>
      </w:r>
    </w:p>
    <w:p w14:paraId="476F1430">
      <w:pPr>
        <w:spacing w:after="120"/>
        <w:jc w:val="center"/>
      </w:pPr>
      <w:r>
        <w:rPr>
          <w:rFonts w:ascii="微软雅黑" w:hAnsi="微软雅黑" w:eastAsia="微软雅黑"/>
          <w:b/>
          <w:color w:val="1A568E"/>
          <w:sz w:val="40"/>
        </w:rPr>
        <w:t>全周期报价分析报告</w:t>
      </w:r>
    </w:p>
    <w:p w14:paraId="36844D54"/>
    <w:p w14:paraId="7CFBEDBF">
      <w:pPr>
        <w:spacing w:after="120"/>
        <w:jc w:val="center"/>
      </w:pPr>
      <w:r>
        <w:rPr>
          <w:rFonts w:ascii="微软雅黑" w:hAnsi="微软雅黑" w:eastAsia="微软雅黑"/>
          <w:color w:val="666666"/>
          <w:sz w:val="24"/>
        </w:rPr>
        <w:t>覆盖范围：短期目标一 → 短期目标二 → 中期目标 → 远期目标</w:t>
      </w:r>
    </w:p>
    <w:p w14:paraId="198D651F">
      <w:pPr>
        <w:spacing w:after="400"/>
        <w:jc w:val="center"/>
      </w:pPr>
      <w:r>
        <w:rPr>
          <w:rFonts w:ascii="微软雅黑" w:hAnsi="微软雅黑" w:eastAsia="微软雅黑"/>
          <w:color w:val="C0392B"/>
          <w:sz w:val="24"/>
        </w:rPr>
        <w:t>目标毛利率：≥ 50%</w:t>
      </w:r>
    </w:p>
    <w:p w14:paraId="1082FBC2"/>
    <w:p w14:paraId="4F8741B6">
      <w:pPr>
        <w:spacing w:after="120"/>
        <w:jc w:val="center"/>
      </w:pPr>
      <w:r>
        <w:rPr>
          <w:rFonts w:ascii="微软雅黑" w:hAnsi="微软雅黑" w:eastAsia="微软雅黑"/>
          <w:b/>
          <w:sz w:val="28"/>
        </w:rPr>
        <w:t>智算畅科（广东）技术有限公司</w:t>
      </w:r>
    </w:p>
    <w:p w14:paraId="3FFBE718">
      <w:pPr>
        <w:spacing w:after="120"/>
        <w:jc w:val="center"/>
      </w:pPr>
      <w:r>
        <w:rPr>
          <w:rFonts w:ascii="微软雅黑" w:hAnsi="微软雅黑" w:eastAsia="微软雅黑"/>
          <w:color w:val="666666"/>
          <w:sz w:val="22"/>
        </w:rPr>
        <w:t>2026年6月</w:t>
      </w:r>
    </w:p>
    <w:p w14:paraId="7E2AF040">
      <w:r>
        <w:br w:type="page"/>
      </w:r>
    </w:p>
    <w:p w14:paraId="08B127E7">
      <w:pPr>
        <w:pStyle w:val="3"/>
      </w:pPr>
      <w:r>
        <w:t>目  录</w:t>
      </w:r>
    </w:p>
    <w:p w14:paraId="59FA206B">
      <w:pPr>
        <w:spacing w:after="160"/>
      </w:pPr>
      <w:r>
        <w:rPr>
          <w:rFonts w:ascii="微软雅黑" w:hAnsi="微软雅黑" w:eastAsia="微软雅黑"/>
          <w:sz w:val="24"/>
        </w:rPr>
        <w:t>一、项目范围概述</w:t>
      </w:r>
    </w:p>
    <w:p w14:paraId="6A3D8FA6">
      <w:pPr>
        <w:spacing w:after="160"/>
      </w:pPr>
      <w:r>
        <w:rPr>
          <w:rFonts w:ascii="微软雅黑" w:hAnsi="微软雅黑" w:eastAsia="微软雅黑"/>
          <w:sz w:val="24"/>
        </w:rPr>
        <w:t>二、成本测算方法说明</w:t>
      </w:r>
    </w:p>
    <w:p w14:paraId="73213F18">
      <w:pPr>
        <w:spacing w:after="160"/>
      </w:pPr>
      <w:r>
        <w:rPr>
          <w:rFonts w:ascii="微软雅黑" w:hAnsi="微软雅黑" w:eastAsia="微软雅黑"/>
          <w:sz w:val="24"/>
        </w:rPr>
        <w:t>三、分阶段人力成本明细</w:t>
      </w:r>
    </w:p>
    <w:p w14:paraId="40DB24E2">
      <w:pPr>
        <w:spacing w:after="160"/>
      </w:pPr>
      <w:r>
        <w:rPr>
          <w:rFonts w:ascii="微软雅黑" w:hAnsi="微软雅黑" w:eastAsia="微软雅黑"/>
          <w:sz w:val="24"/>
        </w:rPr>
        <w:t>四、基础设施与其他直接成本</w:t>
      </w:r>
    </w:p>
    <w:p w14:paraId="27543D87">
      <w:pPr>
        <w:spacing w:after="160"/>
      </w:pPr>
      <w:r>
        <w:rPr>
          <w:rFonts w:ascii="微软雅黑" w:hAnsi="微软雅黑" w:eastAsia="微软雅黑"/>
          <w:sz w:val="24"/>
        </w:rPr>
        <w:t>五、全周期成本汇总</w:t>
      </w:r>
    </w:p>
    <w:p w14:paraId="02274DB3">
      <w:pPr>
        <w:spacing w:after="160"/>
      </w:pPr>
      <w:r>
        <w:rPr>
          <w:rFonts w:ascii="微软雅黑" w:hAnsi="微软雅黑" w:eastAsia="微软雅黑"/>
          <w:sz w:val="24"/>
        </w:rPr>
        <w:t>六、报价方案建议</w:t>
      </w:r>
    </w:p>
    <w:p w14:paraId="769D8C14">
      <w:pPr>
        <w:spacing w:after="160"/>
      </w:pPr>
      <w:r>
        <w:rPr>
          <w:rFonts w:ascii="微软雅黑" w:hAnsi="微软雅黑" w:eastAsia="微软雅黑"/>
          <w:sz w:val="24"/>
        </w:rPr>
        <w:t>七、溢价支撑点分析</w:t>
      </w:r>
    </w:p>
    <w:p w14:paraId="68C5C384">
      <w:pPr>
        <w:spacing w:after="160"/>
      </w:pPr>
      <w:r>
        <w:rPr>
          <w:rFonts w:ascii="微软雅黑" w:hAnsi="微软雅黑" w:eastAsia="微软雅黑"/>
          <w:sz w:val="24"/>
        </w:rPr>
        <w:t>八、分阶段签约策略</w:t>
      </w:r>
    </w:p>
    <w:p w14:paraId="4E8D41F4">
      <w:pPr>
        <w:spacing w:after="160"/>
      </w:pPr>
      <w:r>
        <w:rPr>
          <w:rFonts w:ascii="微软雅黑" w:hAnsi="微软雅黑" w:eastAsia="微软雅黑"/>
          <w:sz w:val="24"/>
        </w:rPr>
        <w:t>九、核心风险与应对措施</w:t>
      </w:r>
    </w:p>
    <w:p w14:paraId="0123911D">
      <w:pPr>
        <w:spacing w:after="160"/>
      </w:pPr>
      <w:r>
        <w:rPr>
          <w:rFonts w:ascii="微软雅黑" w:hAnsi="微软雅黑" w:eastAsia="微软雅黑"/>
          <w:sz w:val="24"/>
        </w:rPr>
        <w:t>十、总结与建议</w:t>
      </w:r>
    </w:p>
    <w:p w14:paraId="36060223">
      <w:r>
        <w:br w:type="page"/>
      </w:r>
    </w:p>
    <w:p w14:paraId="26597F7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一、项目范围概述</w:t>
      </w:r>
    </w:p>
    <w:p w14:paraId="2854AA8A">
      <w:pPr>
        <w:spacing w:after="120"/>
      </w:pPr>
      <w:r>
        <w:rPr>
          <w:rFonts w:ascii="微软雅黑" w:hAnsi="微软雅黑" w:eastAsia="微软雅黑"/>
        </w:rPr>
        <w:t>本项目为湛江国资国企一体化数字平台二期建设，采用四阶段递进式交付，覆盖企业资产管理全生命周期与国资监管全场景。</w:t>
      </w:r>
    </w:p>
    <w:p w14:paraId="09C84308">
      <w:pPr>
        <w:spacing w:after="120"/>
      </w:pPr>
      <w:r>
        <w:rPr>
          <w:rFonts w:ascii="微软雅黑" w:hAnsi="微软雅黑" w:eastAsia="微软雅黑"/>
          <w:b/>
          <w:sz w:val="24"/>
        </w:rPr>
        <w:t>项目规模：</w:t>
      </w:r>
    </w:p>
    <w:p w14:paraId="1DB716E7">
      <w:pPr>
        <w:spacing w:after="120"/>
      </w:pPr>
      <w:r>
        <w:rPr>
          <w:rFonts w:ascii="微软雅黑" w:hAnsi="微软雅黑" w:eastAsia="微软雅黑"/>
        </w:rPr>
        <w:t>• 功能模块：16 大模块</w:t>
      </w:r>
    </w:p>
    <w:p w14:paraId="4078456D">
      <w:pPr>
        <w:spacing w:after="120"/>
      </w:pPr>
      <w:r>
        <w:rPr>
          <w:rFonts w:ascii="微软雅黑" w:hAnsi="微软雅黑" w:eastAsia="微软雅黑"/>
        </w:rPr>
        <w:t>• 功能点：60+</w:t>
      </w:r>
    </w:p>
    <w:p w14:paraId="761A7B58">
      <w:pPr>
        <w:spacing w:after="120"/>
      </w:pPr>
      <w:r>
        <w:rPr>
          <w:rFonts w:ascii="微软雅黑" w:hAnsi="微软雅黑" w:eastAsia="微软雅黑"/>
        </w:rPr>
        <w:t>• 技术栈：SpringBoot 3 + Vue 3 + Element Plus + PostgreSQL 15 + Redis 7 + MinIO</w:t>
      </w:r>
    </w:p>
    <w:p w14:paraId="36660C87">
      <w:pPr>
        <w:spacing w:after="120"/>
      </w:pPr>
      <w:r>
        <w:rPr>
          <w:rFonts w:ascii="微软雅黑" w:hAnsi="微软雅黑" w:eastAsia="微软雅黑"/>
        </w:rPr>
        <w:t>• 部署模式：SaaS 多租户</w:t>
      </w:r>
    </w:p>
    <w:p w14:paraId="4B281E7F">
      <w:pPr>
        <w:spacing w:after="120"/>
      </w:pPr>
      <w:r>
        <w:rPr>
          <w:rFonts w:ascii="微软雅黑" w:hAnsi="微软雅黑" w:eastAsia="微软雅黑"/>
        </w:rPr>
        <w:t>• 信创要求：适配达梦/人大金仓/麒麟OS/东方通</w:t>
      </w:r>
    </w:p>
    <w:p w14:paraId="4C88F009">
      <w:pPr>
        <w:spacing w:after="120"/>
      </w:pPr>
      <w:r>
        <w:rPr>
          <w:rFonts w:ascii="微软雅黑" w:hAnsi="微软雅黑" w:eastAsia="微软雅黑"/>
        </w:rPr>
        <w:t>• 安全要求：二级等保</w:t>
      </w:r>
    </w:p>
    <w:p w14:paraId="7DFC468C">
      <w:pPr>
        <w:spacing w:after="120"/>
      </w:pPr>
      <w:r>
        <w:rPr>
          <w:rFonts w:ascii="微软雅黑" w:hAnsi="微软雅黑" w:eastAsia="微软雅黑"/>
        </w:rPr>
        <w:t>• 服务模式：软件 + 资产盘点 + 培训 + 本地化运维</w:t>
      </w:r>
    </w:p>
    <w:p w14:paraId="30F73A23"/>
    <w:p w14:paraId="7DF235F5">
      <w:pPr>
        <w:spacing w:after="120"/>
      </w:pPr>
      <w:r>
        <w:rPr>
          <w:rFonts w:ascii="微软雅黑" w:hAnsi="微软雅黑" w:eastAsia="微软雅黑"/>
          <w:b/>
          <w:sz w:val="24"/>
        </w:rPr>
        <w:t>四阶段划分：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99A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8E"/>
          </w:tcPr>
          <w:p w14:paraId="2725354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268" w:type="dxa"/>
            <w:shd w:val="clear" w:color="auto" w:fill="1A568E"/>
          </w:tcPr>
          <w:p w14:paraId="5493EA4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时间节点</w:t>
            </w:r>
          </w:p>
        </w:tc>
        <w:tc>
          <w:tcPr>
            <w:tcW w:w="2268" w:type="dxa"/>
            <w:shd w:val="clear" w:color="auto" w:fill="1A568E"/>
          </w:tcPr>
          <w:p w14:paraId="34F486B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核心目标</w:t>
            </w:r>
          </w:p>
        </w:tc>
        <w:tc>
          <w:tcPr>
            <w:tcW w:w="2268" w:type="dxa"/>
            <w:shd w:val="clear" w:color="auto" w:fill="1A568E"/>
          </w:tcPr>
          <w:p w14:paraId="437B3DB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交付模块数</w:t>
            </w:r>
          </w:p>
        </w:tc>
      </w:tr>
      <w:tr w14:paraId="0B16A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5D8E85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短期目标一</w:t>
            </w:r>
          </w:p>
        </w:tc>
        <w:tc>
          <w:tcPr>
            <w:tcW w:w="2268" w:type="dxa"/>
          </w:tcPr>
          <w:p w14:paraId="7C5C87B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2026年7月底前</w:t>
            </w:r>
          </w:p>
        </w:tc>
        <w:tc>
          <w:tcPr>
            <w:tcW w:w="2268" w:type="dxa"/>
          </w:tcPr>
          <w:p w14:paraId="551D84D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固定资产管理基础版本上线</w:t>
            </w:r>
          </w:p>
        </w:tc>
        <w:tc>
          <w:tcPr>
            <w:tcW w:w="2268" w:type="dxa"/>
          </w:tcPr>
          <w:p w14:paraId="59CCD3B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9个</w:t>
            </w:r>
          </w:p>
        </w:tc>
      </w:tr>
      <w:tr w14:paraId="0F2E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6DC5D48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短期目标二</w:t>
            </w:r>
          </w:p>
        </w:tc>
        <w:tc>
          <w:tcPr>
            <w:tcW w:w="2268" w:type="dxa"/>
            <w:shd w:val="clear" w:color="auto" w:fill="F0F5FA"/>
          </w:tcPr>
          <w:p w14:paraId="701BFFC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2026年8月</w:t>
            </w:r>
          </w:p>
        </w:tc>
        <w:tc>
          <w:tcPr>
            <w:tcW w:w="2268" w:type="dxa"/>
            <w:shd w:val="clear" w:color="auto" w:fill="F0F5FA"/>
          </w:tcPr>
          <w:p w14:paraId="06D2F0D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建立数据审核与上报流程</w:t>
            </w:r>
          </w:p>
        </w:tc>
        <w:tc>
          <w:tcPr>
            <w:tcW w:w="2268" w:type="dxa"/>
            <w:shd w:val="clear" w:color="auto" w:fill="F0F5FA"/>
          </w:tcPr>
          <w:p w14:paraId="09D2F87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7个</w:t>
            </w:r>
          </w:p>
        </w:tc>
      </w:tr>
      <w:tr w14:paraId="5DC4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4EAA05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中期目标</w:t>
            </w:r>
          </w:p>
        </w:tc>
        <w:tc>
          <w:tcPr>
            <w:tcW w:w="2268" w:type="dxa"/>
          </w:tcPr>
          <w:p w14:paraId="53CBEA5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2026年9-12月</w:t>
            </w:r>
          </w:p>
        </w:tc>
        <w:tc>
          <w:tcPr>
            <w:tcW w:w="2268" w:type="dxa"/>
          </w:tcPr>
          <w:p w14:paraId="25C45A4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财务对接与资产类型扩展</w:t>
            </w:r>
          </w:p>
        </w:tc>
        <w:tc>
          <w:tcPr>
            <w:tcW w:w="2268" w:type="dxa"/>
          </w:tcPr>
          <w:p w14:paraId="1E7EBA4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7个</w:t>
            </w:r>
          </w:p>
        </w:tc>
      </w:tr>
      <w:tr w14:paraId="23A54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460C01E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远期目标</w:t>
            </w:r>
          </w:p>
        </w:tc>
        <w:tc>
          <w:tcPr>
            <w:tcW w:w="2268" w:type="dxa"/>
            <w:shd w:val="clear" w:color="auto" w:fill="F0F5FA"/>
          </w:tcPr>
          <w:p w14:paraId="223F23D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2027年</w:t>
            </w:r>
          </w:p>
        </w:tc>
        <w:tc>
          <w:tcPr>
            <w:tcW w:w="2268" w:type="dxa"/>
            <w:shd w:val="clear" w:color="auto" w:fill="F0F5FA"/>
          </w:tcPr>
          <w:p w14:paraId="54410D0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合并报表智能辅助与风险预警</w:t>
            </w:r>
          </w:p>
        </w:tc>
        <w:tc>
          <w:tcPr>
            <w:tcW w:w="2268" w:type="dxa"/>
            <w:shd w:val="clear" w:color="auto" w:fill="F0F5FA"/>
          </w:tcPr>
          <w:p w14:paraId="187F9C0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7个</w:t>
            </w:r>
          </w:p>
        </w:tc>
      </w:tr>
    </w:tbl>
    <w:p w14:paraId="580E7B69"/>
    <w:p w14:paraId="18B1741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二、成本测算方法说明</w:t>
      </w:r>
    </w:p>
    <w:p w14:paraId="48484353">
      <w:pPr>
        <w:spacing w:after="120"/>
      </w:pPr>
      <w:r>
        <w:rPr>
          <w:rFonts w:ascii="微软雅黑" w:hAnsi="微软雅黑" w:eastAsia="微软雅黑"/>
          <w:b/>
        </w:rPr>
        <w:t>1. 人力成本基准</w:t>
      </w:r>
    </w:p>
    <w:p w14:paraId="5239F88E">
      <w:pPr>
        <w:spacing w:after="120"/>
      </w:pPr>
      <w:r>
        <w:rPr>
          <w:rFonts w:ascii="微软雅黑" w:hAnsi="微软雅黑" w:eastAsia="微软雅黑"/>
        </w:rPr>
        <w:t>• 按湛江/粤西地区 IT 行业人力成本为基准，含社保公积金</w:t>
      </w:r>
    </w:p>
    <w:p w14:paraId="3D29B17C">
      <w:pPr>
        <w:spacing w:after="120"/>
      </w:pPr>
      <w:r>
        <w:rPr>
          <w:rFonts w:ascii="微软雅黑" w:hAnsi="微软雅黑" w:eastAsia="微软雅黑"/>
        </w:rPr>
        <w:t>• 特殊角色（高级后端/AI工程师）按广州本部标准上浮 30-40%</w:t>
      </w:r>
    </w:p>
    <w:p w14:paraId="0F6A30E3">
      <w:pPr>
        <w:spacing w:after="120"/>
      </w:pPr>
      <w:r>
        <w:rPr>
          <w:rFonts w:ascii="微软雅黑" w:hAnsi="微软雅黑" w:eastAsia="微软雅黑"/>
        </w:rPr>
        <w:t>• 人员复用场景按实际投入比例折算（如项目经理跨阶段复用按 50%-100% 投入）</w:t>
      </w:r>
    </w:p>
    <w:p w14:paraId="7D4EAAA4">
      <w:pPr>
        <w:spacing w:after="120"/>
      </w:pPr>
      <w:r>
        <w:rPr>
          <w:rFonts w:ascii="微软雅黑" w:hAnsi="微软雅黑" w:eastAsia="微软雅黑"/>
          <w:b/>
        </w:rPr>
        <w:t>2. 毛利率计算</w:t>
      </w:r>
    </w:p>
    <w:p w14:paraId="222BBE8F">
      <w:pPr>
        <w:spacing w:after="120"/>
      </w:pPr>
      <w:r>
        <w:rPr>
          <w:rFonts w:ascii="微软雅黑" w:hAnsi="微软雅黑" w:eastAsia="微软雅黑"/>
        </w:rPr>
        <w:t>毛利率 =（报价收入 − 项目总成本）÷ 报价收入 × 100%</w:t>
      </w:r>
    </w:p>
    <w:p w14:paraId="11220C54">
      <w:pPr>
        <w:spacing w:after="120"/>
      </w:pPr>
      <w:r>
        <w:rPr>
          <w:rFonts w:ascii="微软雅黑" w:hAnsi="微软雅黑" w:eastAsia="微软雅黑"/>
        </w:rPr>
        <w:t>目标毛利率 ≥ 50%</w:t>
      </w:r>
    </w:p>
    <w:p w14:paraId="3F14A279">
      <w:pPr>
        <w:spacing w:after="120"/>
      </w:pPr>
      <w:r>
        <w:rPr>
          <w:rFonts w:ascii="微软雅黑" w:hAnsi="微软雅黑" w:eastAsia="微软雅黑"/>
          <w:b/>
        </w:rPr>
        <w:t>3. 成本不含</w:t>
      </w:r>
    </w:p>
    <w:p w14:paraId="76BC6A07">
      <w:pPr>
        <w:spacing w:after="120"/>
      </w:pPr>
      <w:r>
        <w:rPr>
          <w:rFonts w:ascii="微软雅黑" w:hAnsi="微软雅黑" w:eastAsia="微软雅黑"/>
        </w:rPr>
        <w:t>• 商务费用（招投标、差旅招待等，视项目而定）</w:t>
      </w:r>
    </w:p>
    <w:p w14:paraId="443CB02E">
      <w:pPr>
        <w:spacing w:after="120"/>
      </w:pPr>
      <w:r>
        <w:rPr>
          <w:rFonts w:ascii="微软雅黑" w:hAnsi="微软雅黑" w:eastAsia="微软雅黑"/>
        </w:rPr>
        <w:t>• 硬件采购费用（服务器、网络设备等，建议客户自购或单列）</w:t>
      </w:r>
    </w:p>
    <w:p w14:paraId="045026AF">
      <w:pPr>
        <w:spacing w:after="120"/>
      </w:pPr>
      <w:r>
        <w:rPr>
          <w:rFonts w:ascii="微软雅黑" w:hAnsi="微软雅黑" w:eastAsia="微软雅黑"/>
        </w:rPr>
        <w:t>• 软件授权费（达梦/人大金仓等信创数据库授权，建议客户自购）</w:t>
      </w:r>
    </w:p>
    <w:p w14:paraId="3E97F8F5">
      <w:r>
        <w:br w:type="page"/>
      </w:r>
    </w:p>
    <w:p w14:paraId="314A53E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三、分阶段人力成本明细</w:t>
      </w:r>
    </w:p>
    <w:p w14:paraId="5DF4357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短期目标一：固定资产管理基础版本上线（2026年7月底前）</w:t>
      </w:r>
    </w:p>
    <w:p w14:paraId="76619AF4">
      <w:pPr>
        <w:spacing w:after="120"/>
      </w:pPr>
      <w:r>
        <w:rPr>
          <w:rFonts w:ascii="微软雅黑" w:hAnsi="微软雅黑" w:eastAsia="微软雅黑"/>
          <w:sz w:val="20"/>
        </w:rPr>
        <w:t>交付内容：系统入口与安全、组织权限管理（RBAC）、资产基础资料、资产台账管理、资产流转管理（入库/领用/调拨/报废）、采购管理、财务折旧计提、数据导入导出、管理驾驶舱与工作台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1814"/>
        <w:gridCol w:w="1814"/>
        <w:gridCol w:w="1814"/>
        <w:gridCol w:w="1814"/>
      </w:tblGrid>
      <w:tr w14:paraId="120C5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A568E"/>
          </w:tcPr>
          <w:p w14:paraId="1095DF2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1814" w:type="dxa"/>
            <w:shd w:val="clear" w:color="auto" w:fill="1A568E"/>
          </w:tcPr>
          <w:p w14:paraId="198792B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w="1814" w:type="dxa"/>
            <w:shd w:val="clear" w:color="auto" w:fill="1A568E"/>
          </w:tcPr>
          <w:p w14:paraId="7AB4093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投入周期(月)</w:t>
            </w:r>
          </w:p>
        </w:tc>
        <w:tc>
          <w:tcPr>
            <w:tcW w:w="1814" w:type="dxa"/>
            <w:shd w:val="clear" w:color="auto" w:fill="1A568E"/>
          </w:tcPr>
          <w:p w14:paraId="613F395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人月单价(万元)</w:t>
            </w:r>
          </w:p>
        </w:tc>
        <w:tc>
          <w:tcPr>
            <w:tcW w:w="1814" w:type="dxa"/>
            <w:shd w:val="clear" w:color="auto" w:fill="1A568E"/>
          </w:tcPr>
          <w:p w14:paraId="2F70AB9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小计(万元)</w:t>
            </w:r>
          </w:p>
        </w:tc>
      </w:tr>
      <w:tr w14:paraId="3A1F4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0BC7F6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项目经理</w:t>
            </w:r>
          </w:p>
        </w:tc>
        <w:tc>
          <w:tcPr>
            <w:tcW w:w="1814" w:type="dxa"/>
          </w:tcPr>
          <w:p w14:paraId="14743DD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</w:tcPr>
          <w:p w14:paraId="08265FC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1.5</w:t>
            </w:r>
          </w:p>
        </w:tc>
        <w:tc>
          <w:tcPr>
            <w:tcW w:w="1814" w:type="dxa"/>
          </w:tcPr>
          <w:p w14:paraId="2CE9219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2.5</w:t>
            </w:r>
          </w:p>
        </w:tc>
        <w:tc>
          <w:tcPr>
            <w:tcW w:w="1814" w:type="dxa"/>
          </w:tcPr>
          <w:p w14:paraId="03E7B8F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3.75</w:t>
            </w:r>
          </w:p>
        </w:tc>
      </w:tr>
      <w:tr w14:paraId="0A40B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1C84174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后端开发(Java/SpringBoot)</w:t>
            </w:r>
          </w:p>
        </w:tc>
        <w:tc>
          <w:tcPr>
            <w:tcW w:w="1814" w:type="dxa"/>
            <w:shd w:val="clear" w:color="auto" w:fill="F0F5FA"/>
          </w:tcPr>
          <w:p w14:paraId="26916FD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1814" w:type="dxa"/>
            <w:shd w:val="clear" w:color="auto" w:fill="F0F5FA"/>
          </w:tcPr>
          <w:p w14:paraId="5F25453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1.5</w:t>
            </w:r>
          </w:p>
        </w:tc>
        <w:tc>
          <w:tcPr>
            <w:tcW w:w="1814" w:type="dxa"/>
            <w:shd w:val="clear" w:color="auto" w:fill="F0F5FA"/>
          </w:tcPr>
          <w:p w14:paraId="03CCCF3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2.0</w:t>
            </w:r>
          </w:p>
        </w:tc>
        <w:tc>
          <w:tcPr>
            <w:tcW w:w="1814" w:type="dxa"/>
            <w:shd w:val="clear" w:color="auto" w:fill="F0F5FA"/>
          </w:tcPr>
          <w:p w14:paraId="4B4C738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6.00</w:t>
            </w:r>
          </w:p>
        </w:tc>
      </w:tr>
      <w:tr w14:paraId="07B8D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5A206F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前端开发(Vue3)</w:t>
            </w:r>
          </w:p>
        </w:tc>
        <w:tc>
          <w:tcPr>
            <w:tcW w:w="1814" w:type="dxa"/>
          </w:tcPr>
          <w:p w14:paraId="47D7C5A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1.5</w:t>
            </w:r>
          </w:p>
        </w:tc>
        <w:tc>
          <w:tcPr>
            <w:tcW w:w="1814" w:type="dxa"/>
          </w:tcPr>
          <w:p w14:paraId="4C4B20C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1.5</w:t>
            </w:r>
          </w:p>
        </w:tc>
        <w:tc>
          <w:tcPr>
            <w:tcW w:w="1814" w:type="dxa"/>
          </w:tcPr>
          <w:p w14:paraId="53817C9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1.8</w:t>
            </w:r>
          </w:p>
        </w:tc>
        <w:tc>
          <w:tcPr>
            <w:tcW w:w="1814" w:type="dxa"/>
          </w:tcPr>
          <w:p w14:paraId="0D73117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4.05</w:t>
            </w:r>
          </w:p>
        </w:tc>
      </w:tr>
      <w:tr w14:paraId="6AA5F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5F31ACB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UI 设计</w:t>
            </w:r>
          </w:p>
        </w:tc>
        <w:tc>
          <w:tcPr>
            <w:tcW w:w="1814" w:type="dxa"/>
            <w:shd w:val="clear" w:color="auto" w:fill="F0F5FA"/>
          </w:tcPr>
          <w:p w14:paraId="61EC118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w="1814" w:type="dxa"/>
            <w:shd w:val="clear" w:color="auto" w:fill="F0F5FA"/>
          </w:tcPr>
          <w:p w14:paraId="65F6A0D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w="1814" w:type="dxa"/>
            <w:shd w:val="clear" w:color="auto" w:fill="F0F5FA"/>
          </w:tcPr>
          <w:p w14:paraId="475DFB3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1.8</w:t>
            </w:r>
          </w:p>
        </w:tc>
        <w:tc>
          <w:tcPr>
            <w:tcW w:w="1814" w:type="dxa"/>
            <w:shd w:val="clear" w:color="auto" w:fill="F0F5FA"/>
          </w:tcPr>
          <w:p w14:paraId="7FC77CF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0.45</w:t>
            </w:r>
          </w:p>
        </w:tc>
      </w:tr>
      <w:tr w14:paraId="41D24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C59122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测试工程师</w:t>
            </w:r>
          </w:p>
        </w:tc>
        <w:tc>
          <w:tcPr>
            <w:tcW w:w="1814" w:type="dxa"/>
          </w:tcPr>
          <w:p w14:paraId="17141F0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w="1814" w:type="dxa"/>
          </w:tcPr>
          <w:p w14:paraId="00879B3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w="1814" w:type="dxa"/>
          </w:tcPr>
          <w:p w14:paraId="0564734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1.5</w:t>
            </w:r>
          </w:p>
        </w:tc>
        <w:tc>
          <w:tcPr>
            <w:tcW w:w="1814" w:type="dxa"/>
          </w:tcPr>
          <w:p w14:paraId="783C20A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0.375</w:t>
            </w:r>
          </w:p>
        </w:tc>
      </w:tr>
      <w:tr w14:paraId="4FBCB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74D1B9F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阶段小计</w:t>
            </w:r>
          </w:p>
        </w:tc>
        <w:tc>
          <w:tcPr>
            <w:tcW w:w="1814" w:type="dxa"/>
            <w:shd w:val="clear" w:color="auto" w:fill="F0F5FA"/>
          </w:tcPr>
          <w:p w14:paraId="2339A039">
            <w:pPr>
              <w:spacing w:after="0"/>
            </w:pPr>
          </w:p>
        </w:tc>
        <w:tc>
          <w:tcPr>
            <w:tcW w:w="1814" w:type="dxa"/>
            <w:shd w:val="clear" w:color="auto" w:fill="F0F5FA"/>
          </w:tcPr>
          <w:p w14:paraId="733195FA">
            <w:pPr>
              <w:spacing w:after="0"/>
            </w:pPr>
          </w:p>
        </w:tc>
        <w:tc>
          <w:tcPr>
            <w:tcW w:w="1814" w:type="dxa"/>
            <w:shd w:val="clear" w:color="auto" w:fill="F0F5FA"/>
          </w:tcPr>
          <w:p w14:paraId="229E6D1C">
            <w:pPr>
              <w:spacing w:after="0"/>
            </w:pPr>
          </w:p>
        </w:tc>
        <w:tc>
          <w:tcPr>
            <w:tcW w:w="1814" w:type="dxa"/>
            <w:shd w:val="clear" w:color="auto" w:fill="F0F5FA"/>
          </w:tcPr>
          <w:p w14:paraId="57370BE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14.6万</w:t>
            </w:r>
          </w:p>
        </w:tc>
      </w:tr>
    </w:tbl>
    <w:p w14:paraId="1EFD39F0"/>
    <w:p w14:paraId="7CCC276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短期目标二：建立数据审核与上报流程（2026年8月）</w:t>
      </w:r>
    </w:p>
    <w:p w14:paraId="616EA646">
      <w:pPr>
        <w:spacing w:after="120"/>
      </w:pPr>
      <w:r>
        <w:rPr>
          <w:rFonts w:ascii="微软雅黑" w:hAnsi="微软雅黑" w:eastAsia="微软雅黑"/>
          <w:sz w:val="20"/>
        </w:rPr>
        <w:t>交付内容：巡检管理、盘点管理、维保维修管理、审批工作流引擎（可配置+条件分支）、监管上报（19类报表采集）、审核链（企业→集团→国资委）、版本快照与数据追溯</w:t>
      </w:r>
    </w:p>
    <w:p w14:paraId="4A1A3D36">
      <w:pPr>
        <w:spacing w:after="120"/>
      </w:pPr>
      <w:r>
        <w:rPr>
          <w:rFonts w:ascii="微软雅黑" w:hAnsi="微软雅黑" w:eastAsia="微软雅黑"/>
          <w:b/>
          <w:color w:val="C0392B"/>
        </w:rPr>
        <w:t>本阶段核心难点：审批引擎需要实现可配置审批链 + 条件分支，是技术复杂度最高的模块。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1744F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A568E"/>
          </w:tcPr>
          <w:p w14:paraId="6321805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1814" w:type="dxa"/>
            <w:shd w:val="clear" w:color="auto" w:fill="1A568E"/>
          </w:tcPr>
          <w:p w14:paraId="600B28D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w="1814" w:type="dxa"/>
            <w:shd w:val="clear" w:color="auto" w:fill="1A568E"/>
          </w:tcPr>
          <w:p w14:paraId="15DCFE0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投入周期(月)</w:t>
            </w:r>
          </w:p>
        </w:tc>
        <w:tc>
          <w:tcPr>
            <w:tcW w:w="1814" w:type="dxa"/>
            <w:shd w:val="clear" w:color="auto" w:fill="1A568E"/>
          </w:tcPr>
          <w:p w14:paraId="67222C5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人月单价(万元)</w:t>
            </w:r>
          </w:p>
        </w:tc>
        <w:tc>
          <w:tcPr>
            <w:tcW w:w="1814" w:type="dxa"/>
            <w:shd w:val="clear" w:color="auto" w:fill="1A568E"/>
          </w:tcPr>
          <w:p w14:paraId="059CA3A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小计(万元)</w:t>
            </w:r>
          </w:p>
        </w:tc>
      </w:tr>
      <w:tr w14:paraId="7A558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30A9C8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项目经理</w:t>
            </w:r>
          </w:p>
        </w:tc>
        <w:tc>
          <w:tcPr>
            <w:tcW w:w="1814" w:type="dxa"/>
          </w:tcPr>
          <w:p w14:paraId="7E76F07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</w:tcPr>
          <w:p w14:paraId="65E3DA6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1814" w:type="dxa"/>
          </w:tcPr>
          <w:p w14:paraId="2C658AD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2.5</w:t>
            </w:r>
          </w:p>
        </w:tc>
        <w:tc>
          <w:tcPr>
            <w:tcW w:w="1814" w:type="dxa"/>
          </w:tcPr>
          <w:p w14:paraId="08C3BC5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5.00</w:t>
            </w:r>
          </w:p>
        </w:tc>
      </w:tr>
      <w:tr w14:paraId="53079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133EC76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后端开发(含审批引擎)</w:t>
            </w:r>
          </w:p>
        </w:tc>
        <w:tc>
          <w:tcPr>
            <w:tcW w:w="1814" w:type="dxa"/>
            <w:shd w:val="clear" w:color="auto" w:fill="F0F5FA"/>
          </w:tcPr>
          <w:p w14:paraId="5917C14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1814" w:type="dxa"/>
            <w:shd w:val="clear" w:color="auto" w:fill="F0F5FA"/>
          </w:tcPr>
          <w:p w14:paraId="6C7F0C6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1814" w:type="dxa"/>
            <w:shd w:val="clear" w:color="auto" w:fill="F0F5FA"/>
          </w:tcPr>
          <w:p w14:paraId="755B259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2.0</w:t>
            </w:r>
          </w:p>
        </w:tc>
        <w:tc>
          <w:tcPr>
            <w:tcW w:w="1814" w:type="dxa"/>
            <w:shd w:val="clear" w:color="auto" w:fill="F0F5FA"/>
          </w:tcPr>
          <w:p w14:paraId="7DD55FF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8.00</w:t>
            </w:r>
          </w:p>
        </w:tc>
      </w:tr>
      <w:tr w14:paraId="4B733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1F3F30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前端开发(Vue3)</w:t>
            </w:r>
          </w:p>
        </w:tc>
        <w:tc>
          <w:tcPr>
            <w:tcW w:w="1814" w:type="dxa"/>
          </w:tcPr>
          <w:p w14:paraId="659A95A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</w:tcPr>
          <w:p w14:paraId="75E550E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1814" w:type="dxa"/>
          </w:tcPr>
          <w:p w14:paraId="56C2712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1.8</w:t>
            </w:r>
          </w:p>
        </w:tc>
        <w:tc>
          <w:tcPr>
            <w:tcW w:w="1814" w:type="dxa"/>
          </w:tcPr>
          <w:p w14:paraId="4CAF852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3.60</w:t>
            </w:r>
          </w:p>
        </w:tc>
      </w:tr>
      <w:tr w14:paraId="00CE7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5B31C08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测试工程师</w:t>
            </w:r>
          </w:p>
        </w:tc>
        <w:tc>
          <w:tcPr>
            <w:tcW w:w="1814" w:type="dxa"/>
            <w:shd w:val="clear" w:color="auto" w:fill="F0F5FA"/>
          </w:tcPr>
          <w:p w14:paraId="38CDCEB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  <w:shd w:val="clear" w:color="auto" w:fill="F0F5FA"/>
          </w:tcPr>
          <w:p w14:paraId="012B228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1.5</w:t>
            </w:r>
          </w:p>
        </w:tc>
        <w:tc>
          <w:tcPr>
            <w:tcW w:w="1814" w:type="dxa"/>
            <w:shd w:val="clear" w:color="auto" w:fill="F0F5FA"/>
          </w:tcPr>
          <w:p w14:paraId="4CBC0EC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1.5</w:t>
            </w:r>
          </w:p>
        </w:tc>
        <w:tc>
          <w:tcPr>
            <w:tcW w:w="1814" w:type="dxa"/>
            <w:shd w:val="clear" w:color="auto" w:fill="F0F5FA"/>
          </w:tcPr>
          <w:p w14:paraId="7BD4BDE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2.25</w:t>
            </w:r>
          </w:p>
        </w:tc>
      </w:tr>
      <w:tr w14:paraId="1970C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26FF55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阶段小计</w:t>
            </w:r>
          </w:p>
        </w:tc>
        <w:tc>
          <w:tcPr>
            <w:tcW w:w="1814" w:type="dxa"/>
          </w:tcPr>
          <w:p w14:paraId="09588284">
            <w:pPr>
              <w:spacing w:after="0"/>
            </w:pPr>
          </w:p>
        </w:tc>
        <w:tc>
          <w:tcPr>
            <w:tcW w:w="1814" w:type="dxa"/>
          </w:tcPr>
          <w:p w14:paraId="712B6CB8">
            <w:pPr>
              <w:spacing w:after="0"/>
            </w:pPr>
          </w:p>
        </w:tc>
        <w:tc>
          <w:tcPr>
            <w:tcW w:w="1814" w:type="dxa"/>
          </w:tcPr>
          <w:p w14:paraId="52D7DFEA">
            <w:pPr>
              <w:spacing w:after="0"/>
            </w:pPr>
          </w:p>
        </w:tc>
        <w:tc>
          <w:tcPr>
            <w:tcW w:w="1814" w:type="dxa"/>
          </w:tcPr>
          <w:p w14:paraId="3C1F957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18.85万</w:t>
            </w:r>
          </w:p>
        </w:tc>
      </w:tr>
    </w:tbl>
    <w:p w14:paraId="5CC6717A"/>
    <w:p w14:paraId="629C8E9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 中期目标：财务对接与资产类型扩展（2026年9-12月）</w:t>
      </w:r>
    </w:p>
    <w:p w14:paraId="58208823">
      <w:pPr>
        <w:spacing w:after="120"/>
      </w:pPr>
      <w:r>
        <w:rPr>
          <w:rFonts w:ascii="微软雅黑" w:hAnsi="微软雅黑" w:eastAsia="微软雅黑"/>
          <w:sz w:val="20"/>
        </w:rPr>
        <w:t>交付内容：财务系统接口适配对接、财务数据拉取与清洗校验、合并报表抵销校验、资产类型全面扩展、统计报表体系完善、预警中心（到期/超期/闲置预警）、审计追溯与操作日志</w:t>
      </w:r>
    </w:p>
    <w:p w14:paraId="2EC960E4">
      <w:pPr>
        <w:spacing w:after="120"/>
      </w:pPr>
      <w:r>
        <w:rPr>
          <w:rFonts w:ascii="微软雅黑" w:hAnsi="微软雅黑" w:eastAsia="微软雅黑"/>
          <w:b/>
          <w:color w:val="C0392B"/>
        </w:rPr>
        <w:t>⚠ 本阶段最大变数：财务对接。每家国企的财务系统不同（用友/金蝶/SAP等），适配工作量可能远超预期。建议合同限定适配套数。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523DF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A568E"/>
          </w:tcPr>
          <w:p w14:paraId="2D2997C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1814" w:type="dxa"/>
            <w:shd w:val="clear" w:color="auto" w:fill="1A568E"/>
          </w:tcPr>
          <w:p w14:paraId="5AACD27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w="1814" w:type="dxa"/>
            <w:shd w:val="clear" w:color="auto" w:fill="1A568E"/>
          </w:tcPr>
          <w:p w14:paraId="7E9AE1F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投入周期(月)</w:t>
            </w:r>
          </w:p>
        </w:tc>
        <w:tc>
          <w:tcPr>
            <w:tcW w:w="1814" w:type="dxa"/>
            <w:shd w:val="clear" w:color="auto" w:fill="1A568E"/>
          </w:tcPr>
          <w:p w14:paraId="6EB20C4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人月单价(万元)</w:t>
            </w:r>
          </w:p>
        </w:tc>
        <w:tc>
          <w:tcPr>
            <w:tcW w:w="1814" w:type="dxa"/>
            <w:shd w:val="clear" w:color="auto" w:fill="1A568E"/>
          </w:tcPr>
          <w:p w14:paraId="67898FA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小计(万元)</w:t>
            </w:r>
          </w:p>
        </w:tc>
      </w:tr>
      <w:tr w14:paraId="7CE0C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BA48BD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项目经理</w:t>
            </w:r>
          </w:p>
        </w:tc>
        <w:tc>
          <w:tcPr>
            <w:tcW w:w="1814" w:type="dxa"/>
          </w:tcPr>
          <w:p w14:paraId="4CCD833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</w:tcPr>
          <w:p w14:paraId="067A226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1814" w:type="dxa"/>
          </w:tcPr>
          <w:p w14:paraId="3C4F1E8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2.5</w:t>
            </w:r>
          </w:p>
        </w:tc>
        <w:tc>
          <w:tcPr>
            <w:tcW w:w="1814" w:type="dxa"/>
          </w:tcPr>
          <w:p w14:paraId="2841283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10.00</w:t>
            </w:r>
          </w:p>
        </w:tc>
      </w:tr>
      <w:tr w14:paraId="2A53F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67D2AE0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高级后端(财务对接)</w:t>
            </w:r>
          </w:p>
        </w:tc>
        <w:tc>
          <w:tcPr>
            <w:tcW w:w="1814" w:type="dxa"/>
            <w:shd w:val="clear" w:color="auto" w:fill="F0F5FA"/>
          </w:tcPr>
          <w:p w14:paraId="2238246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  <w:shd w:val="clear" w:color="auto" w:fill="F0F5FA"/>
          </w:tcPr>
          <w:p w14:paraId="3CB41B7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1814" w:type="dxa"/>
            <w:shd w:val="clear" w:color="auto" w:fill="F0F5FA"/>
          </w:tcPr>
          <w:p w14:paraId="45BA405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2.8</w:t>
            </w:r>
          </w:p>
        </w:tc>
        <w:tc>
          <w:tcPr>
            <w:tcW w:w="1814" w:type="dxa"/>
            <w:shd w:val="clear" w:color="auto" w:fill="F0F5FA"/>
          </w:tcPr>
          <w:p w14:paraId="10DE154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11.20</w:t>
            </w:r>
          </w:p>
        </w:tc>
      </w:tr>
      <w:tr w14:paraId="6CD0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33A219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后端开发(Java)</w:t>
            </w:r>
          </w:p>
        </w:tc>
        <w:tc>
          <w:tcPr>
            <w:tcW w:w="1814" w:type="dxa"/>
          </w:tcPr>
          <w:p w14:paraId="738CDBA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</w:tcPr>
          <w:p w14:paraId="781BA5D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1814" w:type="dxa"/>
          </w:tcPr>
          <w:p w14:paraId="439FDC8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2.0</w:t>
            </w:r>
          </w:p>
        </w:tc>
        <w:tc>
          <w:tcPr>
            <w:tcW w:w="1814" w:type="dxa"/>
          </w:tcPr>
          <w:p w14:paraId="0304B5D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8.00</w:t>
            </w:r>
          </w:p>
        </w:tc>
      </w:tr>
      <w:tr w14:paraId="158F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4B42D90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前端开发(Vue3)</w:t>
            </w:r>
          </w:p>
        </w:tc>
        <w:tc>
          <w:tcPr>
            <w:tcW w:w="1814" w:type="dxa"/>
            <w:shd w:val="clear" w:color="auto" w:fill="F0F5FA"/>
          </w:tcPr>
          <w:p w14:paraId="54D478D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  <w:shd w:val="clear" w:color="auto" w:fill="F0F5FA"/>
          </w:tcPr>
          <w:p w14:paraId="4398CF2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1814" w:type="dxa"/>
            <w:shd w:val="clear" w:color="auto" w:fill="F0F5FA"/>
          </w:tcPr>
          <w:p w14:paraId="1767A7C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1.8</w:t>
            </w:r>
          </w:p>
        </w:tc>
        <w:tc>
          <w:tcPr>
            <w:tcW w:w="1814" w:type="dxa"/>
            <w:shd w:val="clear" w:color="auto" w:fill="F0F5FA"/>
          </w:tcPr>
          <w:p w14:paraId="1A8B7A1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7.20</w:t>
            </w:r>
          </w:p>
        </w:tc>
      </w:tr>
      <w:tr w14:paraId="34FBB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265BAD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测试工程师</w:t>
            </w:r>
          </w:p>
        </w:tc>
        <w:tc>
          <w:tcPr>
            <w:tcW w:w="1814" w:type="dxa"/>
          </w:tcPr>
          <w:p w14:paraId="7702CA0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</w:tcPr>
          <w:p w14:paraId="1C782E1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1814" w:type="dxa"/>
          </w:tcPr>
          <w:p w14:paraId="46A3A93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1.5</w:t>
            </w:r>
          </w:p>
        </w:tc>
        <w:tc>
          <w:tcPr>
            <w:tcW w:w="1814" w:type="dxa"/>
          </w:tcPr>
          <w:p w14:paraId="56BCA03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4.50</w:t>
            </w:r>
          </w:p>
        </w:tc>
      </w:tr>
      <w:tr w14:paraId="19742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4BFD5AB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阶段小计</w:t>
            </w:r>
          </w:p>
        </w:tc>
        <w:tc>
          <w:tcPr>
            <w:tcW w:w="1814" w:type="dxa"/>
            <w:shd w:val="clear" w:color="auto" w:fill="F0F5FA"/>
          </w:tcPr>
          <w:p w14:paraId="0074CC35">
            <w:pPr>
              <w:spacing w:after="0"/>
            </w:pPr>
          </w:p>
        </w:tc>
        <w:tc>
          <w:tcPr>
            <w:tcW w:w="1814" w:type="dxa"/>
            <w:shd w:val="clear" w:color="auto" w:fill="F0F5FA"/>
          </w:tcPr>
          <w:p w14:paraId="0D2E3A9D">
            <w:pPr>
              <w:spacing w:after="0"/>
            </w:pPr>
          </w:p>
        </w:tc>
        <w:tc>
          <w:tcPr>
            <w:tcW w:w="1814" w:type="dxa"/>
            <w:shd w:val="clear" w:color="auto" w:fill="F0F5FA"/>
          </w:tcPr>
          <w:p w14:paraId="0B45ADD9">
            <w:pPr>
              <w:spacing w:after="0"/>
            </w:pPr>
          </w:p>
        </w:tc>
        <w:tc>
          <w:tcPr>
            <w:tcW w:w="1814" w:type="dxa"/>
            <w:shd w:val="clear" w:color="auto" w:fill="F0F5FA"/>
          </w:tcPr>
          <w:p w14:paraId="7883B9B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40.90万</w:t>
            </w:r>
          </w:p>
        </w:tc>
      </w:tr>
    </w:tbl>
    <w:p w14:paraId="03A41A00"/>
    <w:p w14:paraId="38DDF36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3.4 远期目标：合并报表智能辅助与风险预警（2027年）</w:t>
      </w:r>
    </w:p>
    <w:p w14:paraId="4047BC78">
      <w:pPr>
        <w:spacing w:after="120"/>
      </w:pPr>
      <w:r>
        <w:rPr>
          <w:rFonts w:ascii="微软雅黑" w:hAnsi="微软雅黑" w:eastAsia="微软雅黑"/>
          <w:sz w:val="20"/>
        </w:rPr>
        <w:t>交付内容：合并报表AI辅助生成、风险预警模型深化、AI辅助资产价值评估、资产盘活与优化建议、信创环境全面适配迁移、国资专区无缝接入、数据资产入表支撑</w:t>
      </w:r>
    </w:p>
    <w:p w14:paraId="718C08E8">
      <w:pPr>
        <w:spacing w:after="120"/>
      </w:pPr>
      <w:r>
        <w:rPr>
          <w:rFonts w:ascii="微软雅黑" w:hAnsi="微软雅黑" w:eastAsia="微软雅黑"/>
          <w:b/>
          <w:color w:val="C0392B"/>
        </w:rPr>
        <w:t>⚠ 本阶段含 7 项 AI/智能化能力，是建立产品核心壁垒的关键，也是报价溢价的主要支撑。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27C8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A568E"/>
          </w:tcPr>
          <w:p w14:paraId="5A9A27D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1814" w:type="dxa"/>
            <w:shd w:val="clear" w:color="auto" w:fill="1A568E"/>
          </w:tcPr>
          <w:p w14:paraId="4453FC4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w="1814" w:type="dxa"/>
            <w:shd w:val="clear" w:color="auto" w:fill="1A568E"/>
          </w:tcPr>
          <w:p w14:paraId="39BFB36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投入周期(月)</w:t>
            </w:r>
          </w:p>
        </w:tc>
        <w:tc>
          <w:tcPr>
            <w:tcW w:w="1814" w:type="dxa"/>
            <w:shd w:val="clear" w:color="auto" w:fill="1A568E"/>
          </w:tcPr>
          <w:p w14:paraId="31D707E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人月单价(万元)</w:t>
            </w:r>
          </w:p>
        </w:tc>
        <w:tc>
          <w:tcPr>
            <w:tcW w:w="1814" w:type="dxa"/>
            <w:shd w:val="clear" w:color="auto" w:fill="1A568E"/>
          </w:tcPr>
          <w:p w14:paraId="0D269C0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小计(万元)</w:t>
            </w:r>
          </w:p>
        </w:tc>
      </w:tr>
      <w:tr w14:paraId="27DC1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BB04E9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项目经理</w:t>
            </w:r>
          </w:p>
        </w:tc>
        <w:tc>
          <w:tcPr>
            <w:tcW w:w="1814" w:type="dxa"/>
          </w:tcPr>
          <w:p w14:paraId="51B39FA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w="1814" w:type="dxa"/>
          </w:tcPr>
          <w:p w14:paraId="7DC4806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1814" w:type="dxa"/>
          </w:tcPr>
          <w:p w14:paraId="79F4CFA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2.5</w:t>
            </w:r>
          </w:p>
        </w:tc>
        <w:tc>
          <w:tcPr>
            <w:tcW w:w="1814" w:type="dxa"/>
          </w:tcPr>
          <w:p w14:paraId="4AD3D5D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10.00</w:t>
            </w:r>
          </w:p>
        </w:tc>
      </w:tr>
      <w:tr w14:paraId="0B70A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3A31307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AI/算法工程师</w:t>
            </w:r>
          </w:p>
        </w:tc>
        <w:tc>
          <w:tcPr>
            <w:tcW w:w="1814" w:type="dxa"/>
            <w:shd w:val="clear" w:color="auto" w:fill="F0F5FA"/>
          </w:tcPr>
          <w:p w14:paraId="04C3C75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  <w:shd w:val="clear" w:color="auto" w:fill="F0F5FA"/>
          </w:tcPr>
          <w:p w14:paraId="46DDBEF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w="1814" w:type="dxa"/>
            <w:shd w:val="clear" w:color="auto" w:fill="F0F5FA"/>
          </w:tcPr>
          <w:p w14:paraId="40537D3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3.5</w:t>
            </w:r>
          </w:p>
        </w:tc>
        <w:tc>
          <w:tcPr>
            <w:tcW w:w="1814" w:type="dxa"/>
            <w:shd w:val="clear" w:color="auto" w:fill="F0F5FA"/>
          </w:tcPr>
          <w:p w14:paraId="015252D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21.00</w:t>
            </w:r>
          </w:p>
        </w:tc>
      </w:tr>
      <w:tr w14:paraId="15418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62CC6E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高级后端开发</w:t>
            </w:r>
          </w:p>
        </w:tc>
        <w:tc>
          <w:tcPr>
            <w:tcW w:w="1814" w:type="dxa"/>
          </w:tcPr>
          <w:p w14:paraId="62A97F0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</w:tcPr>
          <w:p w14:paraId="0B8100C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1814" w:type="dxa"/>
          </w:tcPr>
          <w:p w14:paraId="659EC43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2.8</w:t>
            </w:r>
          </w:p>
        </w:tc>
        <w:tc>
          <w:tcPr>
            <w:tcW w:w="1814" w:type="dxa"/>
          </w:tcPr>
          <w:p w14:paraId="420C4B0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22.40</w:t>
            </w:r>
          </w:p>
        </w:tc>
      </w:tr>
      <w:tr w14:paraId="4CD9A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0B2078A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前端开发(Vue3)</w:t>
            </w:r>
          </w:p>
        </w:tc>
        <w:tc>
          <w:tcPr>
            <w:tcW w:w="1814" w:type="dxa"/>
            <w:shd w:val="clear" w:color="auto" w:fill="F0F5FA"/>
          </w:tcPr>
          <w:p w14:paraId="0C9038B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  <w:shd w:val="clear" w:color="auto" w:fill="F0F5FA"/>
          </w:tcPr>
          <w:p w14:paraId="0491B32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w="1814" w:type="dxa"/>
            <w:shd w:val="clear" w:color="auto" w:fill="F0F5FA"/>
          </w:tcPr>
          <w:p w14:paraId="066EC3A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1.8</w:t>
            </w:r>
          </w:p>
        </w:tc>
        <w:tc>
          <w:tcPr>
            <w:tcW w:w="1814" w:type="dxa"/>
            <w:shd w:val="clear" w:color="auto" w:fill="F0F5FA"/>
          </w:tcPr>
          <w:p w14:paraId="4657C34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10.80</w:t>
            </w:r>
          </w:p>
        </w:tc>
      </w:tr>
      <w:tr w14:paraId="06FC7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0942CE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数据工程师</w:t>
            </w:r>
          </w:p>
        </w:tc>
        <w:tc>
          <w:tcPr>
            <w:tcW w:w="1814" w:type="dxa"/>
          </w:tcPr>
          <w:p w14:paraId="59525E3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</w:tcPr>
          <w:p w14:paraId="59ED79D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1814" w:type="dxa"/>
          </w:tcPr>
          <w:p w14:paraId="3C25525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2.5</w:t>
            </w:r>
          </w:p>
        </w:tc>
        <w:tc>
          <w:tcPr>
            <w:tcW w:w="1814" w:type="dxa"/>
          </w:tcPr>
          <w:p w14:paraId="74486E6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10.00</w:t>
            </w:r>
          </w:p>
        </w:tc>
      </w:tr>
      <w:tr w14:paraId="1E0DC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3BE25D6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测试工程师</w:t>
            </w:r>
          </w:p>
        </w:tc>
        <w:tc>
          <w:tcPr>
            <w:tcW w:w="1814" w:type="dxa"/>
            <w:shd w:val="clear" w:color="auto" w:fill="F0F5FA"/>
          </w:tcPr>
          <w:p w14:paraId="074BFD8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  <w:shd w:val="clear" w:color="auto" w:fill="F0F5FA"/>
          </w:tcPr>
          <w:p w14:paraId="2DE24AE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1814" w:type="dxa"/>
            <w:shd w:val="clear" w:color="auto" w:fill="F0F5FA"/>
          </w:tcPr>
          <w:p w14:paraId="47BD0DA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1.5</w:t>
            </w:r>
          </w:p>
        </w:tc>
        <w:tc>
          <w:tcPr>
            <w:tcW w:w="1814" w:type="dxa"/>
            <w:shd w:val="clear" w:color="auto" w:fill="F0F5FA"/>
          </w:tcPr>
          <w:p w14:paraId="6488276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7.50</w:t>
            </w:r>
          </w:p>
        </w:tc>
      </w:tr>
      <w:tr w14:paraId="19A0B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9022B9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阶段小计</w:t>
            </w:r>
          </w:p>
        </w:tc>
        <w:tc>
          <w:tcPr>
            <w:tcW w:w="1814" w:type="dxa"/>
          </w:tcPr>
          <w:p w14:paraId="1E35F7E7">
            <w:pPr>
              <w:spacing w:after="0"/>
            </w:pPr>
          </w:p>
        </w:tc>
        <w:tc>
          <w:tcPr>
            <w:tcW w:w="1814" w:type="dxa"/>
          </w:tcPr>
          <w:p w14:paraId="45A9A1B5">
            <w:pPr>
              <w:spacing w:after="0"/>
            </w:pPr>
          </w:p>
        </w:tc>
        <w:tc>
          <w:tcPr>
            <w:tcW w:w="1814" w:type="dxa"/>
          </w:tcPr>
          <w:p w14:paraId="7C9D52DA">
            <w:pPr>
              <w:spacing w:after="0"/>
            </w:pPr>
          </w:p>
        </w:tc>
        <w:tc>
          <w:tcPr>
            <w:tcW w:w="1814" w:type="dxa"/>
          </w:tcPr>
          <w:p w14:paraId="08C643D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81.70万</w:t>
            </w:r>
          </w:p>
        </w:tc>
      </w:tr>
    </w:tbl>
    <w:p w14:paraId="1637A290"/>
    <w:p w14:paraId="3543BB64">
      <w:r>
        <w:br w:type="page"/>
      </w:r>
    </w:p>
    <w:p w14:paraId="2317D09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四、基础设施与其他直接成本</w:t>
      </w:r>
    </w:p>
    <w:p w14:paraId="0EDCE35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基础设施成本（全周期）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364C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A568E"/>
          </w:tcPr>
          <w:p w14:paraId="1368BDA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1814" w:type="dxa"/>
            <w:shd w:val="clear" w:color="auto" w:fill="1A568E"/>
          </w:tcPr>
          <w:p w14:paraId="7DD1A26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短期(1.5月)</w:t>
            </w:r>
          </w:p>
        </w:tc>
        <w:tc>
          <w:tcPr>
            <w:tcW w:w="1814" w:type="dxa"/>
            <w:shd w:val="clear" w:color="auto" w:fill="1A568E"/>
          </w:tcPr>
          <w:p w14:paraId="774344D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中期(4月)</w:t>
            </w:r>
          </w:p>
        </w:tc>
        <w:tc>
          <w:tcPr>
            <w:tcW w:w="1814" w:type="dxa"/>
            <w:shd w:val="clear" w:color="auto" w:fill="1A568E"/>
          </w:tcPr>
          <w:p w14:paraId="15CE525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远期(8月)</w:t>
            </w:r>
          </w:p>
        </w:tc>
        <w:tc>
          <w:tcPr>
            <w:tcW w:w="1814" w:type="dxa"/>
            <w:shd w:val="clear" w:color="auto" w:fill="1A568E"/>
          </w:tcPr>
          <w:p w14:paraId="27E36D6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全周期合计(万元)</w:t>
            </w:r>
          </w:p>
        </w:tc>
      </w:tr>
      <w:tr w14:paraId="38C52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CE25E0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云服务器(ECS×2 + RDS + Redis)</w:t>
            </w:r>
          </w:p>
        </w:tc>
        <w:tc>
          <w:tcPr>
            <w:tcW w:w="1814" w:type="dxa"/>
          </w:tcPr>
          <w:p w14:paraId="40AD33F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1814" w:type="dxa"/>
          </w:tcPr>
          <w:p w14:paraId="5B19E1B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1814" w:type="dxa"/>
          </w:tcPr>
          <w:p w14:paraId="12436A5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1814" w:type="dxa"/>
          </w:tcPr>
          <w:p w14:paraId="2B53489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</w:tr>
      <w:tr w14:paraId="67998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03F5712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对象存储(MinIO/OSS)</w:t>
            </w:r>
          </w:p>
        </w:tc>
        <w:tc>
          <w:tcPr>
            <w:tcW w:w="1814" w:type="dxa"/>
            <w:shd w:val="clear" w:color="auto" w:fill="F0F5FA"/>
          </w:tcPr>
          <w:p w14:paraId="551BCA1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w="1814" w:type="dxa"/>
            <w:shd w:val="clear" w:color="auto" w:fill="F0F5FA"/>
          </w:tcPr>
          <w:p w14:paraId="4857E64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  <w:shd w:val="clear" w:color="auto" w:fill="F0F5FA"/>
          </w:tcPr>
          <w:p w14:paraId="0194B20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1.5</w:t>
            </w:r>
          </w:p>
        </w:tc>
        <w:tc>
          <w:tcPr>
            <w:tcW w:w="1814" w:type="dxa"/>
            <w:shd w:val="clear" w:color="auto" w:fill="F0F5FA"/>
          </w:tcPr>
          <w:p w14:paraId="03BFAA2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</w:tr>
      <w:tr w14:paraId="43727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9682B0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域名/SSL/短信/邮件</w:t>
            </w:r>
          </w:p>
        </w:tc>
        <w:tc>
          <w:tcPr>
            <w:tcW w:w="1814" w:type="dxa"/>
          </w:tcPr>
          <w:p w14:paraId="66A9BF3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0.3</w:t>
            </w:r>
          </w:p>
        </w:tc>
        <w:tc>
          <w:tcPr>
            <w:tcW w:w="1814" w:type="dxa"/>
          </w:tcPr>
          <w:p w14:paraId="65DE7ED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w="1814" w:type="dxa"/>
          </w:tcPr>
          <w:p w14:paraId="15D5F00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0.7</w:t>
            </w:r>
          </w:p>
        </w:tc>
        <w:tc>
          <w:tcPr>
            <w:tcW w:w="1814" w:type="dxa"/>
          </w:tcPr>
          <w:p w14:paraId="375A7C1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1.5</w:t>
            </w:r>
          </w:p>
        </w:tc>
      </w:tr>
      <w:tr w14:paraId="01062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55005EE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CI/CD 工具</w:t>
            </w:r>
          </w:p>
        </w:tc>
        <w:tc>
          <w:tcPr>
            <w:tcW w:w="1814" w:type="dxa"/>
            <w:shd w:val="clear" w:color="auto" w:fill="F0F5FA"/>
          </w:tcPr>
          <w:p w14:paraId="5EEF614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w="1814" w:type="dxa"/>
            <w:shd w:val="clear" w:color="auto" w:fill="F0F5FA"/>
          </w:tcPr>
          <w:p w14:paraId="2B108B2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w="1814" w:type="dxa"/>
            <w:shd w:val="clear" w:color="auto" w:fill="F0F5FA"/>
          </w:tcPr>
          <w:p w14:paraId="127924C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w="1814" w:type="dxa"/>
            <w:shd w:val="clear" w:color="auto" w:fill="F0F5FA"/>
          </w:tcPr>
          <w:p w14:paraId="343B8F5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 w14:paraId="1C79E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181938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小计</w:t>
            </w:r>
          </w:p>
        </w:tc>
        <w:tc>
          <w:tcPr>
            <w:tcW w:w="1814" w:type="dxa"/>
          </w:tcPr>
          <w:p w14:paraId="2D2C844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2.8</w:t>
            </w:r>
          </w:p>
        </w:tc>
        <w:tc>
          <w:tcPr>
            <w:tcW w:w="1814" w:type="dxa"/>
          </w:tcPr>
          <w:p w14:paraId="745C62A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5.0</w:t>
            </w:r>
          </w:p>
        </w:tc>
        <w:tc>
          <w:tcPr>
            <w:tcW w:w="1814" w:type="dxa"/>
          </w:tcPr>
          <w:p w14:paraId="01D08F3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7.7</w:t>
            </w:r>
          </w:p>
        </w:tc>
        <w:tc>
          <w:tcPr>
            <w:tcW w:w="1814" w:type="dxa"/>
          </w:tcPr>
          <w:p w14:paraId="5DE2D29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≈15.5万</w:t>
            </w:r>
          </w:p>
        </w:tc>
      </w:tr>
    </w:tbl>
    <w:p w14:paraId="4FA3A8D4"/>
    <w:p w14:paraId="63239BE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其他直接成本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48A3E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A568E"/>
          </w:tcPr>
          <w:p w14:paraId="2C48519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1814" w:type="dxa"/>
            <w:shd w:val="clear" w:color="auto" w:fill="1A568E"/>
          </w:tcPr>
          <w:p w14:paraId="5A692B2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短期</w:t>
            </w:r>
          </w:p>
        </w:tc>
        <w:tc>
          <w:tcPr>
            <w:tcW w:w="1814" w:type="dxa"/>
            <w:shd w:val="clear" w:color="auto" w:fill="1A568E"/>
          </w:tcPr>
          <w:p w14:paraId="407A8BD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中期</w:t>
            </w:r>
          </w:p>
        </w:tc>
        <w:tc>
          <w:tcPr>
            <w:tcW w:w="1814" w:type="dxa"/>
            <w:shd w:val="clear" w:color="auto" w:fill="1A568E"/>
          </w:tcPr>
          <w:p w14:paraId="7C2DF1F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远期</w:t>
            </w:r>
          </w:p>
        </w:tc>
        <w:tc>
          <w:tcPr>
            <w:tcW w:w="1814" w:type="dxa"/>
            <w:shd w:val="clear" w:color="auto" w:fill="1A568E"/>
          </w:tcPr>
          <w:p w14:paraId="43F5A70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合计(万元)</w:t>
            </w:r>
          </w:p>
        </w:tc>
      </w:tr>
      <w:tr w14:paraId="3379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17B1BE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驻场差旅(湛江本地化服务)</w:t>
            </w:r>
          </w:p>
        </w:tc>
        <w:tc>
          <w:tcPr>
            <w:tcW w:w="1814" w:type="dxa"/>
          </w:tcPr>
          <w:p w14:paraId="6E634FF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1814" w:type="dxa"/>
          </w:tcPr>
          <w:p w14:paraId="3617922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1814" w:type="dxa"/>
          </w:tcPr>
          <w:p w14:paraId="279C76C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1814" w:type="dxa"/>
          </w:tcPr>
          <w:p w14:paraId="34E2723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</w:tr>
      <w:tr w14:paraId="6F7C1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2FD8444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企业培训与资产盘点服务</w:t>
            </w:r>
          </w:p>
        </w:tc>
        <w:tc>
          <w:tcPr>
            <w:tcW w:w="1814" w:type="dxa"/>
            <w:shd w:val="clear" w:color="auto" w:fill="F0F5FA"/>
          </w:tcPr>
          <w:p w14:paraId="71A3B92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1814" w:type="dxa"/>
            <w:shd w:val="clear" w:color="auto" w:fill="F0F5FA"/>
          </w:tcPr>
          <w:p w14:paraId="5168016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  <w:shd w:val="clear" w:color="auto" w:fill="F0F5FA"/>
          </w:tcPr>
          <w:p w14:paraId="0EDF786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  <w:shd w:val="clear" w:color="auto" w:fill="F0F5FA"/>
          </w:tcPr>
          <w:p w14:paraId="1518C0A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</w:tr>
      <w:tr w14:paraId="5DC41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93D358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信创适配测试环境</w:t>
            </w:r>
          </w:p>
        </w:tc>
        <w:tc>
          <w:tcPr>
            <w:tcW w:w="1814" w:type="dxa"/>
          </w:tcPr>
          <w:p w14:paraId="7A7CD82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</w:tcPr>
          <w:p w14:paraId="0E2545C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1814" w:type="dxa"/>
          </w:tcPr>
          <w:p w14:paraId="0C0123C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1814" w:type="dxa"/>
          </w:tcPr>
          <w:p w14:paraId="0FFFA25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</w:tr>
      <w:tr w14:paraId="4C321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2ECEBE1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文档与交付物料</w:t>
            </w:r>
          </w:p>
        </w:tc>
        <w:tc>
          <w:tcPr>
            <w:tcW w:w="1814" w:type="dxa"/>
            <w:shd w:val="clear" w:color="auto" w:fill="F0F5FA"/>
          </w:tcPr>
          <w:p w14:paraId="7E83DBE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w="1814" w:type="dxa"/>
            <w:shd w:val="clear" w:color="auto" w:fill="F0F5FA"/>
          </w:tcPr>
          <w:p w14:paraId="6E2E7FE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w="1814" w:type="dxa"/>
            <w:shd w:val="clear" w:color="auto" w:fill="F0F5FA"/>
          </w:tcPr>
          <w:p w14:paraId="14EAD15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814" w:type="dxa"/>
            <w:shd w:val="clear" w:color="auto" w:fill="F0F5FA"/>
          </w:tcPr>
          <w:p w14:paraId="6E06234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</w:tr>
      <w:tr w14:paraId="4BAAF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6F77B4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小计</w:t>
            </w:r>
          </w:p>
        </w:tc>
        <w:tc>
          <w:tcPr>
            <w:tcW w:w="1814" w:type="dxa"/>
          </w:tcPr>
          <w:p w14:paraId="244115A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6.5</w:t>
            </w:r>
          </w:p>
        </w:tc>
        <w:tc>
          <w:tcPr>
            <w:tcW w:w="1814" w:type="dxa"/>
          </w:tcPr>
          <w:p w14:paraId="1602875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6.5</w:t>
            </w:r>
          </w:p>
        </w:tc>
        <w:tc>
          <w:tcPr>
            <w:tcW w:w="1814" w:type="dxa"/>
          </w:tcPr>
          <w:p w14:paraId="1FAEE7E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9.0</w:t>
            </w:r>
          </w:p>
        </w:tc>
        <w:tc>
          <w:tcPr>
            <w:tcW w:w="1814" w:type="dxa"/>
          </w:tcPr>
          <w:p w14:paraId="376BA43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≈22万</w:t>
            </w:r>
          </w:p>
        </w:tc>
      </w:tr>
    </w:tbl>
    <w:p w14:paraId="67F6A564"/>
    <w:p w14:paraId="241C4E5B">
      <w:r>
        <w:br w:type="page"/>
      </w:r>
    </w:p>
    <w:p w14:paraId="1A6BA12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五、全周期成本汇总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7AAC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1A568E"/>
          </w:tcPr>
          <w:p w14:paraId="2EC19F8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成本项</w:t>
            </w:r>
          </w:p>
        </w:tc>
        <w:tc>
          <w:tcPr>
            <w:tcW w:w="1512" w:type="dxa"/>
            <w:shd w:val="clear" w:color="auto" w:fill="1A568E"/>
          </w:tcPr>
          <w:p w14:paraId="4F5361C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短期目标一</w:t>
            </w:r>
          </w:p>
        </w:tc>
        <w:tc>
          <w:tcPr>
            <w:tcW w:w="1512" w:type="dxa"/>
            <w:shd w:val="clear" w:color="auto" w:fill="1A568E"/>
          </w:tcPr>
          <w:p w14:paraId="4FCBE02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短期目标二</w:t>
            </w:r>
          </w:p>
        </w:tc>
        <w:tc>
          <w:tcPr>
            <w:tcW w:w="1512" w:type="dxa"/>
            <w:shd w:val="clear" w:color="auto" w:fill="1A568E"/>
          </w:tcPr>
          <w:p w14:paraId="313B865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中期目标</w:t>
            </w:r>
          </w:p>
        </w:tc>
        <w:tc>
          <w:tcPr>
            <w:tcW w:w="1512" w:type="dxa"/>
            <w:shd w:val="clear" w:color="auto" w:fill="1A568E"/>
          </w:tcPr>
          <w:p w14:paraId="15BF892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远期目标</w:t>
            </w:r>
          </w:p>
        </w:tc>
        <w:tc>
          <w:tcPr>
            <w:tcW w:w="1512" w:type="dxa"/>
            <w:shd w:val="clear" w:color="auto" w:fill="1A568E"/>
          </w:tcPr>
          <w:p w14:paraId="21328E0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全周期合计</w:t>
            </w:r>
          </w:p>
        </w:tc>
      </w:tr>
      <w:tr w14:paraId="4E25D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50F4C94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人力成本</w:t>
            </w:r>
          </w:p>
        </w:tc>
        <w:tc>
          <w:tcPr>
            <w:tcW w:w="1512" w:type="dxa"/>
          </w:tcPr>
          <w:p w14:paraId="4067F18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14.6</w:t>
            </w:r>
          </w:p>
        </w:tc>
        <w:tc>
          <w:tcPr>
            <w:tcW w:w="1512" w:type="dxa"/>
          </w:tcPr>
          <w:p w14:paraId="060F3FF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18.9</w:t>
            </w:r>
          </w:p>
        </w:tc>
        <w:tc>
          <w:tcPr>
            <w:tcW w:w="1512" w:type="dxa"/>
          </w:tcPr>
          <w:p w14:paraId="735CFD0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40.9</w:t>
            </w:r>
          </w:p>
        </w:tc>
        <w:tc>
          <w:tcPr>
            <w:tcW w:w="1512" w:type="dxa"/>
          </w:tcPr>
          <w:p w14:paraId="459CEC6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81.7</w:t>
            </w:r>
          </w:p>
        </w:tc>
        <w:tc>
          <w:tcPr>
            <w:tcW w:w="1512" w:type="dxa"/>
          </w:tcPr>
          <w:p w14:paraId="3D08857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156.1万</w:t>
            </w:r>
          </w:p>
        </w:tc>
      </w:tr>
      <w:tr w14:paraId="582F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0F5FA"/>
          </w:tcPr>
          <w:p w14:paraId="0557EC5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基础设施</w:t>
            </w:r>
          </w:p>
        </w:tc>
        <w:tc>
          <w:tcPr>
            <w:tcW w:w="1512" w:type="dxa"/>
            <w:shd w:val="clear" w:color="auto" w:fill="F0F5FA"/>
          </w:tcPr>
          <w:p w14:paraId="210FA0E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2.8</w:t>
            </w:r>
          </w:p>
        </w:tc>
        <w:tc>
          <w:tcPr>
            <w:tcW w:w="1512" w:type="dxa"/>
            <w:shd w:val="clear" w:color="auto" w:fill="F0F5FA"/>
          </w:tcPr>
          <w:p w14:paraId="1BC79D4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w="1512" w:type="dxa"/>
            <w:shd w:val="clear" w:color="auto" w:fill="F0F5FA"/>
          </w:tcPr>
          <w:p w14:paraId="695B4B9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5.0</w:t>
            </w:r>
          </w:p>
        </w:tc>
        <w:tc>
          <w:tcPr>
            <w:tcW w:w="1512" w:type="dxa"/>
            <w:shd w:val="clear" w:color="auto" w:fill="F0F5FA"/>
          </w:tcPr>
          <w:p w14:paraId="5183E59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7.7</w:t>
            </w:r>
          </w:p>
        </w:tc>
        <w:tc>
          <w:tcPr>
            <w:tcW w:w="1512" w:type="dxa"/>
            <w:shd w:val="clear" w:color="auto" w:fill="F0F5FA"/>
          </w:tcPr>
          <w:p w14:paraId="396893B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15.5万</w:t>
            </w:r>
          </w:p>
        </w:tc>
      </w:tr>
      <w:tr w14:paraId="02A51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3CE9493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其他直接成本</w:t>
            </w:r>
          </w:p>
        </w:tc>
        <w:tc>
          <w:tcPr>
            <w:tcW w:w="1512" w:type="dxa"/>
          </w:tcPr>
          <w:p w14:paraId="151162F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3.0</w:t>
            </w:r>
          </w:p>
        </w:tc>
        <w:tc>
          <w:tcPr>
            <w:tcW w:w="1512" w:type="dxa"/>
          </w:tcPr>
          <w:p w14:paraId="0213C15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3.5</w:t>
            </w:r>
          </w:p>
        </w:tc>
        <w:tc>
          <w:tcPr>
            <w:tcW w:w="1512" w:type="dxa"/>
          </w:tcPr>
          <w:p w14:paraId="7A7B765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6.5</w:t>
            </w:r>
          </w:p>
        </w:tc>
        <w:tc>
          <w:tcPr>
            <w:tcW w:w="1512" w:type="dxa"/>
          </w:tcPr>
          <w:p w14:paraId="4E04AF2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9.0</w:t>
            </w:r>
          </w:p>
        </w:tc>
        <w:tc>
          <w:tcPr>
            <w:tcW w:w="1512" w:type="dxa"/>
          </w:tcPr>
          <w:p w14:paraId="4DCA251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22.0万</w:t>
            </w:r>
          </w:p>
        </w:tc>
      </w:tr>
      <w:tr w14:paraId="71424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0F5FA"/>
          </w:tcPr>
          <w:p w14:paraId="6A774D1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管理储备(10%)</w:t>
            </w:r>
          </w:p>
        </w:tc>
        <w:tc>
          <w:tcPr>
            <w:tcW w:w="1512" w:type="dxa"/>
            <w:shd w:val="clear" w:color="auto" w:fill="F0F5FA"/>
          </w:tcPr>
          <w:p w14:paraId="71FC1266">
            <w:pPr>
              <w:spacing w:after="0"/>
            </w:pPr>
          </w:p>
        </w:tc>
        <w:tc>
          <w:tcPr>
            <w:tcW w:w="1512" w:type="dxa"/>
            <w:shd w:val="clear" w:color="auto" w:fill="F0F5FA"/>
          </w:tcPr>
          <w:p w14:paraId="531AB2A4">
            <w:pPr>
              <w:spacing w:after="0"/>
            </w:pPr>
          </w:p>
        </w:tc>
        <w:tc>
          <w:tcPr>
            <w:tcW w:w="1512" w:type="dxa"/>
            <w:shd w:val="clear" w:color="auto" w:fill="F0F5FA"/>
          </w:tcPr>
          <w:p w14:paraId="1428066B">
            <w:pPr>
              <w:spacing w:after="0"/>
            </w:pPr>
          </w:p>
        </w:tc>
        <w:tc>
          <w:tcPr>
            <w:tcW w:w="1512" w:type="dxa"/>
            <w:shd w:val="clear" w:color="auto" w:fill="F0F5FA"/>
          </w:tcPr>
          <w:p w14:paraId="54CB6850">
            <w:pPr>
              <w:spacing w:after="0"/>
            </w:pPr>
          </w:p>
        </w:tc>
        <w:tc>
          <w:tcPr>
            <w:tcW w:w="1512" w:type="dxa"/>
            <w:shd w:val="clear" w:color="auto" w:fill="F0F5FA"/>
          </w:tcPr>
          <w:p w14:paraId="45299AA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19.4万</w:t>
            </w:r>
          </w:p>
        </w:tc>
      </w:tr>
      <w:tr w14:paraId="263D2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33F2AD1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项目总成本</w:t>
            </w:r>
          </w:p>
        </w:tc>
        <w:tc>
          <w:tcPr>
            <w:tcW w:w="1512" w:type="dxa"/>
          </w:tcPr>
          <w:p w14:paraId="7E909E9E">
            <w:pPr>
              <w:spacing w:after="0"/>
            </w:pPr>
          </w:p>
        </w:tc>
        <w:tc>
          <w:tcPr>
            <w:tcW w:w="1512" w:type="dxa"/>
          </w:tcPr>
          <w:p w14:paraId="0DCDCAA2">
            <w:pPr>
              <w:spacing w:after="0"/>
            </w:pPr>
          </w:p>
        </w:tc>
        <w:tc>
          <w:tcPr>
            <w:tcW w:w="1512" w:type="dxa"/>
          </w:tcPr>
          <w:p w14:paraId="7803BF59">
            <w:pPr>
              <w:spacing w:after="0"/>
            </w:pPr>
          </w:p>
        </w:tc>
        <w:tc>
          <w:tcPr>
            <w:tcW w:w="1512" w:type="dxa"/>
          </w:tcPr>
          <w:p w14:paraId="44D49F5C">
            <w:pPr>
              <w:spacing w:after="0"/>
            </w:pPr>
          </w:p>
        </w:tc>
        <w:tc>
          <w:tcPr>
            <w:tcW w:w="1512" w:type="dxa"/>
          </w:tcPr>
          <w:p w14:paraId="514DE0B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≈213万</w:t>
            </w:r>
          </w:p>
        </w:tc>
      </w:tr>
    </w:tbl>
    <w:p w14:paraId="69508AE6"/>
    <w:p w14:paraId="08E9B8B1"/>
    <w:p w14:paraId="1D01F8A4">
      <w:pPr>
        <w:spacing w:after="120"/>
      </w:pPr>
      <w:r>
        <w:rPr>
          <w:rFonts w:ascii="微软雅黑" w:hAnsi="微软雅黑" w:eastAsia="微软雅黑"/>
          <w:b/>
          <w:sz w:val="24"/>
        </w:rPr>
        <w:t>关键数据：</w:t>
      </w:r>
    </w:p>
    <w:p w14:paraId="4E9BFC51">
      <w:pPr>
        <w:spacing w:after="120"/>
      </w:pPr>
      <w:r>
        <w:rPr>
          <w:rFonts w:ascii="微软雅黑" w:hAnsi="微软雅黑" w:eastAsia="微软雅黑"/>
        </w:rPr>
        <w:t>• 全周期项目总成本：约 213 万元</w:t>
      </w:r>
    </w:p>
    <w:p w14:paraId="6DC8FFF3">
      <w:pPr>
        <w:spacing w:after="120"/>
      </w:pPr>
      <w:r>
        <w:rPr>
          <w:rFonts w:ascii="微软雅黑" w:hAnsi="微软雅黑" w:eastAsia="微软雅黑"/>
        </w:rPr>
        <w:t>• 要达成 50% 毛利率，报价底线：213 ÷ 0.5 ≈ 426 万元</w:t>
      </w:r>
    </w:p>
    <w:p w14:paraId="73DCC45D">
      <w:pPr>
        <w:spacing w:after="120"/>
      </w:pPr>
      <w:r>
        <w:rPr>
          <w:rFonts w:ascii="微软雅黑" w:hAnsi="微软雅黑" w:eastAsia="微软雅黑"/>
        </w:rPr>
        <w:t>• 要达成 55% 毛利率，目标报价：213 ÷ 0.45 ≈ 473 万元</w:t>
      </w:r>
    </w:p>
    <w:p w14:paraId="249C0286">
      <w:pPr>
        <w:spacing w:after="120"/>
      </w:pPr>
      <w:r>
        <w:rPr>
          <w:rFonts w:ascii="微软雅黑" w:hAnsi="微软雅黑" w:eastAsia="微软雅黑"/>
        </w:rPr>
        <w:t>• 要达成 60% 毛利率，理想报价：213 ÷ 0.4 ≈ 533 万元</w:t>
      </w:r>
    </w:p>
    <w:p w14:paraId="24FF86B9">
      <w:r>
        <w:br w:type="page"/>
      </w:r>
    </w:p>
    <w:p w14:paraId="6176914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六、报价方案建议</w:t>
      </w:r>
    </w:p>
    <w:p w14:paraId="3012D31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全周期总包报价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2232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8E"/>
          </w:tcPr>
          <w:p w14:paraId="44307D8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w="2268" w:type="dxa"/>
            <w:shd w:val="clear" w:color="auto" w:fill="1A568E"/>
          </w:tcPr>
          <w:p w14:paraId="3CEE9E8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总报价(万元)</w:t>
            </w:r>
          </w:p>
        </w:tc>
        <w:tc>
          <w:tcPr>
            <w:tcW w:w="2268" w:type="dxa"/>
            <w:shd w:val="clear" w:color="auto" w:fill="1A568E"/>
          </w:tcPr>
          <w:p w14:paraId="054774D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毛利率</w:t>
            </w:r>
          </w:p>
        </w:tc>
        <w:tc>
          <w:tcPr>
            <w:tcW w:w="2268" w:type="dxa"/>
            <w:shd w:val="clear" w:color="auto" w:fill="1A568E"/>
          </w:tcPr>
          <w:p w14:paraId="2BBE712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 w14:paraId="52223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1C2FCE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底线方案</w:t>
            </w:r>
          </w:p>
        </w:tc>
        <w:tc>
          <w:tcPr>
            <w:tcW w:w="2268" w:type="dxa"/>
          </w:tcPr>
          <w:p w14:paraId="528FC49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426</w:t>
            </w:r>
          </w:p>
        </w:tc>
        <w:tc>
          <w:tcPr>
            <w:tcW w:w="2268" w:type="dxa"/>
          </w:tcPr>
          <w:p w14:paraId="057EC8E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50%</w:t>
            </w:r>
          </w:p>
        </w:tc>
        <w:tc>
          <w:tcPr>
            <w:tcW w:w="2268" w:type="dxa"/>
          </w:tcPr>
          <w:p w14:paraId="1F5373B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竞争激烈，保本保利润底线</w:t>
            </w:r>
          </w:p>
        </w:tc>
      </w:tr>
      <w:tr w14:paraId="785CD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5B21F98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推荐方案 ⭐</w:t>
            </w:r>
          </w:p>
        </w:tc>
        <w:tc>
          <w:tcPr>
            <w:tcW w:w="2268" w:type="dxa"/>
            <w:shd w:val="clear" w:color="auto" w:fill="F0F5FA"/>
          </w:tcPr>
          <w:p w14:paraId="734080A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480</w:t>
            </w:r>
          </w:p>
        </w:tc>
        <w:tc>
          <w:tcPr>
            <w:tcW w:w="2268" w:type="dxa"/>
            <w:shd w:val="clear" w:color="auto" w:fill="F0F5FA"/>
          </w:tcPr>
          <w:p w14:paraId="14EDEFC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55.6%</w:t>
            </w:r>
          </w:p>
        </w:tc>
        <w:tc>
          <w:tcPr>
            <w:tcW w:w="2268" w:type="dxa"/>
            <w:shd w:val="clear" w:color="auto" w:fill="F0F5FA"/>
          </w:tcPr>
          <w:p w14:paraId="621073C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正常竞争，利润与中标率平衡</w:t>
            </w:r>
          </w:p>
        </w:tc>
      </w:tr>
      <w:tr w14:paraId="4A2D4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0C1275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目标方案</w:t>
            </w:r>
          </w:p>
        </w:tc>
        <w:tc>
          <w:tcPr>
            <w:tcW w:w="2268" w:type="dxa"/>
          </w:tcPr>
          <w:p w14:paraId="75F6A34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530</w:t>
            </w:r>
          </w:p>
        </w:tc>
        <w:tc>
          <w:tcPr>
            <w:tcW w:w="2268" w:type="dxa"/>
          </w:tcPr>
          <w:p w14:paraId="5BDB15E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60%</w:t>
            </w:r>
          </w:p>
        </w:tc>
        <w:tc>
          <w:tcPr>
            <w:tcW w:w="2268" w:type="dxa"/>
          </w:tcPr>
          <w:p w14:paraId="3AD0D73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优势明显，争取利润最大化</w:t>
            </w:r>
          </w:p>
        </w:tc>
      </w:tr>
      <w:tr w14:paraId="183C7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7FD2B3F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高利润方案</w:t>
            </w:r>
          </w:p>
        </w:tc>
        <w:tc>
          <w:tcPr>
            <w:tcW w:w="2268" w:type="dxa"/>
            <w:shd w:val="clear" w:color="auto" w:fill="F0F5FA"/>
          </w:tcPr>
          <w:p w14:paraId="12371F3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600+</w:t>
            </w:r>
          </w:p>
        </w:tc>
        <w:tc>
          <w:tcPr>
            <w:tcW w:w="2268" w:type="dxa"/>
            <w:shd w:val="clear" w:color="auto" w:fill="F0F5FA"/>
          </w:tcPr>
          <w:p w14:paraId="3526E51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65%+</w:t>
            </w:r>
          </w:p>
        </w:tc>
        <w:tc>
          <w:tcPr>
            <w:tcW w:w="2268" w:type="dxa"/>
            <w:shd w:val="clear" w:color="auto" w:fill="F0F5FA"/>
          </w:tcPr>
          <w:p w14:paraId="731568F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独家/议标，打包咨询增值服务</w:t>
            </w:r>
          </w:p>
        </w:tc>
      </w:tr>
    </w:tbl>
    <w:p w14:paraId="684B432D"/>
    <w:p w14:paraId="394993F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 分阶段报价（降低客户决策门槛）</w:t>
      </w:r>
    </w:p>
    <w:p w14:paraId="43622074">
      <w:pPr>
        <w:spacing w:after="120"/>
      </w:pPr>
      <w:r>
        <w:rPr>
          <w:rFonts w:ascii="微软雅黑" w:hAnsi="微软雅黑" w:eastAsia="微软雅黑"/>
        </w:rPr>
        <w:t>策略：先用短期合同进去验证能力，后续阶段追加预算。总体毛利率仍可达 55% 以上。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249A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8E"/>
          </w:tcPr>
          <w:p w14:paraId="2B7CACB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268" w:type="dxa"/>
            <w:shd w:val="clear" w:color="auto" w:fill="1A568E"/>
          </w:tcPr>
          <w:p w14:paraId="1F01740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独立报价(万元)</w:t>
            </w:r>
          </w:p>
        </w:tc>
        <w:tc>
          <w:tcPr>
            <w:tcW w:w="2268" w:type="dxa"/>
            <w:shd w:val="clear" w:color="auto" w:fill="1A568E"/>
          </w:tcPr>
          <w:p w14:paraId="618E2A9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毛利率</w:t>
            </w:r>
          </w:p>
        </w:tc>
        <w:tc>
          <w:tcPr>
            <w:tcW w:w="2268" w:type="dxa"/>
            <w:shd w:val="clear" w:color="auto" w:fill="1A568E"/>
          </w:tcPr>
          <w:p w14:paraId="335C781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关键卖点</w:t>
            </w:r>
          </w:p>
        </w:tc>
      </w:tr>
      <w:tr w14:paraId="4F325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585F4A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短期目标一</w:t>
            </w:r>
          </w:p>
        </w:tc>
        <w:tc>
          <w:tcPr>
            <w:tcW w:w="2268" w:type="dxa"/>
          </w:tcPr>
          <w:p w14:paraId="43C77A4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108</w:t>
            </w:r>
          </w:p>
        </w:tc>
        <w:tc>
          <w:tcPr>
            <w:tcW w:w="2268" w:type="dxa"/>
          </w:tcPr>
          <w:p w14:paraId="77C4A05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87%*</w:t>
            </w:r>
          </w:p>
        </w:tc>
        <w:tc>
          <w:tcPr>
            <w:tcW w:w="2268" w:type="dxa"/>
          </w:tcPr>
          <w:p w14:paraId="7EA160C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9个模块快速上线验证能力</w:t>
            </w:r>
          </w:p>
        </w:tc>
      </w:tr>
      <w:tr w14:paraId="18018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25127A2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短期目标二</w:t>
            </w:r>
          </w:p>
        </w:tc>
        <w:tc>
          <w:tcPr>
            <w:tcW w:w="2268" w:type="dxa"/>
            <w:shd w:val="clear" w:color="auto" w:fill="F0F5FA"/>
          </w:tcPr>
          <w:p w14:paraId="0B41146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120</w:t>
            </w:r>
          </w:p>
        </w:tc>
        <w:tc>
          <w:tcPr>
            <w:tcW w:w="2268" w:type="dxa"/>
            <w:shd w:val="clear" w:color="auto" w:fill="F0F5FA"/>
          </w:tcPr>
          <w:p w14:paraId="16F13BF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84%*</w:t>
            </w:r>
          </w:p>
        </w:tc>
        <w:tc>
          <w:tcPr>
            <w:tcW w:w="2268" w:type="dxa"/>
            <w:shd w:val="clear" w:color="auto" w:fill="F0F5FA"/>
          </w:tcPr>
          <w:p w14:paraId="145F2E2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审批引擎+19表上报核心能力</w:t>
            </w:r>
          </w:p>
        </w:tc>
      </w:tr>
      <w:tr w14:paraId="02506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42946D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中期目标</w:t>
            </w:r>
          </w:p>
        </w:tc>
        <w:tc>
          <w:tcPr>
            <w:tcW w:w="2268" w:type="dxa"/>
          </w:tcPr>
          <w:p w14:paraId="478A1AB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145</w:t>
            </w:r>
          </w:p>
        </w:tc>
        <w:tc>
          <w:tcPr>
            <w:tcW w:w="2268" w:type="dxa"/>
          </w:tcPr>
          <w:p w14:paraId="6BC3BCD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72%</w:t>
            </w:r>
          </w:p>
        </w:tc>
        <w:tc>
          <w:tcPr>
            <w:tcW w:w="2268" w:type="dxa"/>
          </w:tcPr>
          <w:p w14:paraId="44B756F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财务对接+预警中心建立壁垒</w:t>
            </w:r>
          </w:p>
        </w:tc>
      </w:tr>
      <w:tr w14:paraId="07A54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1164089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远期目标</w:t>
            </w:r>
          </w:p>
        </w:tc>
        <w:tc>
          <w:tcPr>
            <w:tcW w:w="2268" w:type="dxa"/>
            <w:shd w:val="clear" w:color="auto" w:fill="F0F5FA"/>
          </w:tcPr>
          <w:p w14:paraId="5466BD3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280</w:t>
            </w:r>
          </w:p>
        </w:tc>
        <w:tc>
          <w:tcPr>
            <w:tcW w:w="2268" w:type="dxa"/>
            <w:shd w:val="clear" w:color="auto" w:fill="F0F5FA"/>
          </w:tcPr>
          <w:p w14:paraId="5C2893E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71%</w:t>
            </w:r>
          </w:p>
        </w:tc>
        <w:tc>
          <w:tcPr>
            <w:tcW w:w="2268" w:type="dxa"/>
            <w:shd w:val="clear" w:color="auto" w:fill="F0F5FA"/>
          </w:tcPr>
          <w:p w14:paraId="74369A1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AI辅助+信创迁移战略卡位</w:t>
            </w:r>
          </w:p>
        </w:tc>
      </w:tr>
      <w:tr w14:paraId="48F17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8DC5F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全周期合计</w:t>
            </w:r>
          </w:p>
        </w:tc>
        <w:tc>
          <w:tcPr>
            <w:tcW w:w="2268" w:type="dxa"/>
          </w:tcPr>
          <w:p w14:paraId="25911DA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653</w:t>
            </w:r>
          </w:p>
        </w:tc>
        <w:tc>
          <w:tcPr>
            <w:tcW w:w="2268" w:type="dxa"/>
          </w:tcPr>
          <w:p w14:paraId="21D632A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67%</w:t>
            </w:r>
          </w:p>
        </w:tc>
        <w:tc>
          <w:tcPr>
            <w:tcW w:w="2268" w:type="dxa"/>
          </w:tcPr>
          <w:p w14:paraId="110F250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分签总价更高，建议推动总包</w:t>
            </w:r>
          </w:p>
        </w:tc>
      </w:tr>
    </w:tbl>
    <w:p w14:paraId="40020623"/>
    <w:p w14:paraId="5ED4E119">
      <w:pPr>
        <w:spacing w:after="120"/>
      </w:pPr>
      <w:r>
        <w:rPr>
          <w:rFonts w:ascii="微软雅黑" w:hAnsi="微软雅黑" w:eastAsia="微软雅黑"/>
          <w:color w:val="666666"/>
          <w:sz w:val="18"/>
        </w:rPr>
        <w:t>* 短期阶段毛利率高是因为基础设施和工具已在前阶段摊销，但注意分签时需独立分摊。</w:t>
      </w:r>
    </w:p>
    <w:p w14:paraId="4096D23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6.3 阶梯套餐方案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073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8E"/>
          </w:tcPr>
          <w:p w14:paraId="5DEF79A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</w:t>
            </w:r>
          </w:p>
        </w:tc>
        <w:tc>
          <w:tcPr>
            <w:tcW w:w="2268" w:type="dxa"/>
            <w:shd w:val="clear" w:color="auto" w:fill="1A568E"/>
          </w:tcPr>
          <w:p w14:paraId="140C71F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覆盖范围</w:t>
            </w:r>
          </w:p>
        </w:tc>
        <w:tc>
          <w:tcPr>
            <w:tcW w:w="2268" w:type="dxa"/>
            <w:shd w:val="clear" w:color="auto" w:fill="1A568E"/>
          </w:tcPr>
          <w:p w14:paraId="28AD9A6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报价(万元)</w:t>
            </w:r>
          </w:p>
        </w:tc>
        <w:tc>
          <w:tcPr>
            <w:tcW w:w="2268" w:type="dxa"/>
            <w:shd w:val="clear" w:color="auto" w:fill="1A568E"/>
          </w:tcPr>
          <w:p w14:paraId="0BB3DED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目标客户</w:t>
            </w:r>
          </w:p>
        </w:tc>
      </w:tr>
      <w:tr w14:paraId="4F6D3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9437B2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基础版</w:t>
            </w:r>
          </w:p>
        </w:tc>
        <w:tc>
          <w:tcPr>
            <w:tcW w:w="2268" w:type="dxa"/>
          </w:tcPr>
          <w:p w14:paraId="6634981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11家市属国企集团 + 短期目标</w:t>
            </w:r>
          </w:p>
        </w:tc>
        <w:tc>
          <w:tcPr>
            <w:tcW w:w="2268" w:type="dxa"/>
          </w:tcPr>
          <w:p w14:paraId="24F3FF0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280</w:t>
            </w:r>
          </w:p>
        </w:tc>
        <w:tc>
          <w:tcPr>
            <w:tcW w:w="2268" w:type="dxa"/>
          </w:tcPr>
          <w:p w14:paraId="7598CF6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预算紧张的客户</w:t>
            </w:r>
          </w:p>
        </w:tc>
      </w:tr>
      <w:tr w14:paraId="2D29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304FBAA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标准版 ⭐</w:t>
            </w:r>
          </w:p>
        </w:tc>
        <w:tc>
          <w:tcPr>
            <w:tcW w:w="2268" w:type="dxa"/>
            <w:shd w:val="clear" w:color="auto" w:fill="F0F5FA"/>
          </w:tcPr>
          <w:p w14:paraId="37BD1A9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市属+区县约500家 + 短期+中期</w:t>
            </w:r>
          </w:p>
        </w:tc>
        <w:tc>
          <w:tcPr>
            <w:tcW w:w="2268" w:type="dxa"/>
            <w:shd w:val="clear" w:color="auto" w:fill="F0F5FA"/>
          </w:tcPr>
          <w:p w14:paraId="3E4FB53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420</w:t>
            </w:r>
          </w:p>
        </w:tc>
        <w:tc>
          <w:tcPr>
            <w:tcW w:w="2268" w:type="dxa"/>
            <w:shd w:val="clear" w:color="auto" w:fill="F0F5FA"/>
          </w:tcPr>
          <w:p w14:paraId="4B7E426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大部分客户首选</w:t>
            </w:r>
          </w:p>
        </w:tc>
      </w:tr>
      <w:tr w14:paraId="1CA3A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222A57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旗舰版</w:t>
            </w:r>
          </w:p>
        </w:tc>
        <w:tc>
          <w:tcPr>
            <w:tcW w:w="2268" w:type="dxa"/>
          </w:tcPr>
          <w:p w14:paraId="0A0C046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市属+区县 + 全周期四阶段</w:t>
            </w:r>
          </w:p>
        </w:tc>
        <w:tc>
          <w:tcPr>
            <w:tcW w:w="2268" w:type="dxa"/>
          </w:tcPr>
          <w:p w14:paraId="2E92A7C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480</w:t>
            </w:r>
          </w:p>
        </w:tc>
        <w:tc>
          <w:tcPr>
            <w:tcW w:w="2268" w:type="dxa"/>
          </w:tcPr>
          <w:p w14:paraId="785659F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追求长期合作的客户</w:t>
            </w:r>
          </w:p>
        </w:tc>
      </w:tr>
      <w:tr w14:paraId="6611E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7AF9BC3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豪华版</w:t>
            </w:r>
          </w:p>
        </w:tc>
        <w:tc>
          <w:tcPr>
            <w:tcW w:w="2268" w:type="dxa"/>
            <w:shd w:val="clear" w:color="auto" w:fill="F0F5FA"/>
          </w:tcPr>
          <w:p w14:paraId="0127228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旗舰版 + 资产盘点 + 经营诊断咨询 + 制度优化</w:t>
            </w:r>
          </w:p>
        </w:tc>
        <w:tc>
          <w:tcPr>
            <w:tcW w:w="2268" w:type="dxa"/>
            <w:shd w:val="clear" w:color="auto" w:fill="F0F5FA"/>
          </w:tcPr>
          <w:p w14:paraId="3760DF3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560</w:t>
            </w:r>
          </w:p>
        </w:tc>
        <w:tc>
          <w:tcPr>
            <w:tcW w:w="2268" w:type="dxa"/>
            <w:shd w:val="clear" w:color="auto" w:fill="F0F5FA"/>
          </w:tcPr>
          <w:p w14:paraId="12AFC31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需要"交钥匙"服务的客户</w:t>
            </w:r>
          </w:p>
        </w:tc>
      </w:tr>
    </w:tbl>
    <w:p w14:paraId="2A7B984E"/>
    <w:p w14:paraId="39EAF638">
      <w:r>
        <w:br w:type="page"/>
      </w:r>
      <w:bookmarkStart w:id="0" w:name="_GoBack"/>
      <w:bookmarkEnd w:id="0"/>
    </w:p>
    <w:p w14:paraId="04DFE254">
      <w:pPr>
        <w:pStyle w:val="3"/>
      </w:pPr>
      <w:r>
        <w:t>七、溢价支撑点分析</w:t>
      </w:r>
    </w:p>
    <w:p w14:paraId="2AA78B94">
      <w:pPr>
        <w:spacing w:after="120"/>
      </w:pPr>
      <w:r>
        <w:rPr>
          <w:rFonts w:ascii="微软雅黑" w:hAnsi="微软雅黑" w:eastAsia="微软雅黑"/>
        </w:rPr>
        <w:t>以下能力是报价溢价的核心理由，需在投标/汇报中重点突出：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E7F1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8E"/>
          </w:tcPr>
          <w:p w14:paraId="77C144C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268" w:type="dxa"/>
            <w:shd w:val="clear" w:color="auto" w:fill="1A568E"/>
          </w:tcPr>
          <w:p w14:paraId="0DE647B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溢价支撑点</w:t>
            </w:r>
          </w:p>
        </w:tc>
        <w:tc>
          <w:tcPr>
            <w:tcW w:w="2268" w:type="dxa"/>
            <w:shd w:val="clear" w:color="auto" w:fill="1A568E"/>
          </w:tcPr>
          <w:p w14:paraId="3AAFA3E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对应价值</w:t>
            </w:r>
          </w:p>
        </w:tc>
        <w:tc>
          <w:tcPr>
            <w:tcW w:w="2268" w:type="dxa"/>
            <w:shd w:val="clear" w:color="auto" w:fill="1A568E"/>
          </w:tcPr>
          <w:p w14:paraId="12729A1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竞争力</w:t>
            </w:r>
          </w:p>
        </w:tc>
      </w:tr>
      <w:tr w14:paraId="4AEF0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93748A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268" w:type="dxa"/>
          </w:tcPr>
          <w:p w14:paraId="498B177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全生命周期覆盖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（采购→入账→使用→折旧→报废）</w:t>
            </w:r>
          </w:p>
        </w:tc>
        <w:tc>
          <w:tcPr>
            <w:tcW w:w="2268" w:type="dxa"/>
          </w:tcPr>
          <w:p w14:paraId="102A1CF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不是单点工具，是完整资产管理平台</w:t>
            </w:r>
          </w:p>
        </w:tc>
        <w:tc>
          <w:tcPr>
            <w:tcW w:w="2268" w:type="dxa"/>
          </w:tcPr>
          <w:p w14:paraId="22C1A2D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多数竞品仅做台账管理</w:t>
            </w:r>
          </w:p>
        </w:tc>
      </w:tr>
      <w:tr w14:paraId="32227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4725542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2268" w:type="dxa"/>
            <w:shd w:val="clear" w:color="auto" w:fill="F0F5FA"/>
          </w:tcPr>
          <w:p w14:paraId="28F2332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可配置审批引擎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（条件分支+多业务类型）</w:t>
            </w:r>
          </w:p>
        </w:tc>
        <w:tc>
          <w:tcPr>
            <w:tcW w:w="2268" w:type="dxa"/>
            <w:shd w:val="clear" w:color="auto" w:fill="F0F5FA"/>
          </w:tcPr>
          <w:p w14:paraId="63FA172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审批链灵活配置，适配不同企业制度</w:t>
            </w:r>
          </w:p>
        </w:tc>
        <w:tc>
          <w:tcPr>
            <w:tcW w:w="2268" w:type="dxa"/>
            <w:shd w:val="clear" w:color="auto" w:fill="F0F5FA"/>
          </w:tcPr>
          <w:p w14:paraId="26D6017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技术壁垒高，一般厂商做不到</w:t>
            </w:r>
          </w:p>
        </w:tc>
      </w:tr>
      <w:tr w14:paraId="2807F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52125B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2268" w:type="dxa"/>
          </w:tcPr>
          <w:p w14:paraId="0ED81F9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19类报表监管上报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（企业→集团→国资委审核链）</w:t>
            </w:r>
          </w:p>
        </w:tc>
        <w:tc>
          <w:tcPr>
            <w:tcW w:w="2268" w:type="dxa"/>
          </w:tcPr>
          <w:p w14:paraId="0F0548D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满足省国资委数据交换要求</w:t>
            </w:r>
          </w:p>
        </w:tc>
        <w:tc>
          <w:tcPr>
            <w:tcW w:w="2268" w:type="dxa"/>
          </w:tcPr>
          <w:p w14:paraId="6BF1D48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政策刚需，客户无法绕过</w:t>
            </w:r>
          </w:p>
        </w:tc>
      </w:tr>
      <w:tr w14:paraId="745AF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11A51F9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2268" w:type="dxa"/>
            <w:shd w:val="clear" w:color="auto" w:fill="F0F5FA"/>
          </w:tcPr>
          <w:p w14:paraId="417B5B5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财务对接+合并抵销</w:t>
            </w:r>
          </w:p>
        </w:tc>
        <w:tc>
          <w:tcPr>
            <w:tcW w:w="2268" w:type="dxa"/>
            <w:shd w:val="clear" w:color="auto" w:fill="F0F5FA"/>
          </w:tcPr>
          <w:p w14:paraId="27749C1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业财一体化，解决监管最难点</w:t>
            </w:r>
          </w:p>
        </w:tc>
        <w:tc>
          <w:tcPr>
            <w:tcW w:w="2268" w:type="dxa"/>
            <w:shd w:val="clear" w:color="auto" w:fill="F0F5FA"/>
          </w:tcPr>
          <w:p w14:paraId="29A7CC2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能做好的团队极少，溢价空间大</w:t>
            </w:r>
          </w:p>
        </w:tc>
      </w:tr>
      <w:tr w14:paraId="48F8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E0A6F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2268" w:type="dxa"/>
          </w:tcPr>
          <w:p w14:paraId="09DB53B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17项AI/智能化能力（远期）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（合并报表AI辅助/风险预警模型/价值评估）</w:t>
            </w:r>
          </w:p>
        </w:tc>
        <w:tc>
          <w:tcPr>
            <w:tcW w:w="2268" w:type="dxa"/>
          </w:tcPr>
          <w:p w14:paraId="467CB21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建立产品核心壁垒，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后续可复制推广</w:t>
            </w:r>
          </w:p>
        </w:tc>
        <w:tc>
          <w:tcPr>
            <w:tcW w:w="2268" w:type="dxa"/>
          </w:tcPr>
          <w:p w14:paraId="7DBC8F2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战略性差异化竞争优势</w:t>
            </w:r>
          </w:p>
        </w:tc>
      </w:tr>
      <w:tr w14:paraId="77E36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29FCE5F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w="2268" w:type="dxa"/>
            <w:shd w:val="clear" w:color="auto" w:fill="F0F5FA"/>
          </w:tcPr>
          <w:p w14:paraId="57CF541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信创全栈适配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（达梦/人大金仓/麒麟/东方通）</w:t>
            </w:r>
          </w:p>
        </w:tc>
        <w:tc>
          <w:tcPr>
            <w:tcW w:w="2268" w:type="dxa"/>
            <w:shd w:val="clear" w:color="auto" w:fill="F0F5FA"/>
          </w:tcPr>
          <w:p w14:paraId="53F55E8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满足国产化合规要求，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2027年国资专区无缝接入</w:t>
            </w:r>
          </w:p>
        </w:tc>
        <w:tc>
          <w:tcPr>
            <w:tcW w:w="2268" w:type="dxa"/>
            <w:shd w:val="clear" w:color="auto" w:fill="F0F5FA"/>
          </w:tcPr>
          <w:p w14:paraId="0E13780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政策门槛，过滤大量竞品</w:t>
            </w:r>
          </w:p>
        </w:tc>
      </w:tr>
      <w:tr w14:paraId="729B1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A37DCB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w="2268" w:type="dxa"/>
          </w:tcPr>
          <w:p w14:paraId="685B104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30分钟本地上门响应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（湛江本地公司+常驻团队）</w:t>
            </w:r>
          </w:p>
        </w:tc>
        <w:tc>
          <w:tcPr>
            <w:tcW w:w="2268" w:type="dxa"/>
          </w:tcPr>
          <w:p w14:paraId="668BC40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外地厂商无法复制的服务壁垒</w:t>
            </w:r>
          </w:p>
        </w:tc>
        <w:tc>
          <w:tcPr>
            <w:tcW w:w="2268" w:type="dxa"/>
          </w:tcPr>
          <w:p w14:paraId="4096622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招标评分项，可拉开差距</w:t>
            </w:r>
          </w:p>
        </w:tc>
      </w:tr>
      <w:tr w14:paraId="2C602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226025A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2268" w:type="dxa"/>
            <w:shd w:val="clear" w:color="auto" w:fill="F0F5FA"/>
          </w:tcPr>
          <w:p w14:paraId="58359C8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数据资产入表支撑（远期）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（三权分置+数据价值评估）</w:t>
            </w:r>
          </w:p>
        </w:tc>
        <w:tc>
          <w:tcPr>
            <w:tcW w:w="2268" w:type="dxa"/>
            <w:shd w:val="clear" w:color="auto" w:fill="F0F5FA"/>
          </w:tcPr>
          <w:p w14:paraId="29AE822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2027年央企入表风口，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国企跟进确定性高</w:t>
            </w:r>
          </w:p>
        </w:tc>
        <w:tc>
          <w:tcPr>
            <w:tcW w:w="2268" w:type="dxa"/>
            <w:shd w:val="clear" w:color="auto" w:fill="F0F5FA"/>
          </w:tcPr>
          <w:p w14:paraId="7C43CAB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战略级前瞻性卖点</w:t>
            </w:r>
          </w:p>
        </w:tc>
      </w:tr>
    </w:tbl>
    <w:p w14:paraId="06E36A1D"/>
    <w:p w14:paraId="4B70DF66">
      <w:r>
        <w:br w:type="page"/>
      </w:r>
    </w:p>
    <w:p w14:paraId="705004B4">
      <w:pPr>
        <w:pStyle w:val="3"/>
      </w:pPr>
      <w:r>
        <w:t>八、分阶段签约策略</w:t>
      </w:r>
    </w:p>
    <w:p w14:paraId="46257FF3">
      <w:pPr>
        <w:spacing w:after="120"/>
      </w:pPr>
      <w:r>
        <w:rPr>
          <w:rFonts w:ascii="微软雅黑" w:hAnsi="微软雅黑" w:eastAsia="微软雅黑"/>
        </w:rPr>
        <w:t>如果客户预算一次性批复困难，建议采用"首签短期 → 追加中期 → 续签订远期"的策略。</w:t>
      </w:r>
    </w:p>
    <w:p w14:paraId="0A2B7C7F">
      <w:pPr>
        <w:pStyle w:val="4"/>
      </w:pPr>
      <w:r>
        <w:t>8.1 策略路径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01926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A568E"/>
          </w:tcPr>
          <w:p w14:paraId="241851D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1814" w:type="dxa"/>
            <w:shd w:val="clear" w:color="auto" w:fill="1A568E"/>
          </w:tcPr>
          <w:p w14:paraId="62527CF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w="1814" w:type="dxa"/>
            <w:shd w:val="clear" w:color="auto" w:fill="1A568E"/>
          </w:tcPr>
          <w:p w14:paraId="6039409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签约内容</w:t>
            </w:r>
          </w:p>
        </w:tc>
        <w:tc>
          <w:tcPr>
            <w:tcW w:w="1814" w:type="dxa"/>
            <w:shd w:val="clear" w:color="auto" w:fill="1A568E"/>
          </w:tcPr>
          <w:p w14:paraId="0F80B70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合同金额</w:t>
            </w:r>
          </w:p>
        </w:tc>
        <w:tc>
          <w:tcPr>
            <w:tcW w:w="1814" w:type="dxa"/>
            <w:shd w:val="clear" w:color="auto" w:fill="1A568E"/>
          </w:tcPr>
          <w:p w14:paraId="2825A6E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</w:tr>
      <w:tr w14:paraId="7332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7A45C2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第一步</w:t>
            </w:r>
          </w:p>
        </w:tc>
        <w:tc>
          <w:tcPr>
            <w:tcW w:w="1814" w:type="dxa"/>
          </w:tcPr>
          <w:p w14:paraId="7BB96C3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2026年6月</w:t>
            </w:r>
          </w:p>
        </w:tc>
        <w:tc>
          <w:tcPr>
            <w:tcW w:w="1814" w:type="dxa"/>
          </w:tcPr>
          <w:p w14:paraId="3DFE876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短期目标一+二</w:t>
            </w:r>
          </w:p>
        </w:tc>
        <w:tc>
          <w:tcPr>
            <w:tcW w:w="1814" w:type="dxa"/>
          </w:tcPr>
          <w:p w14:paraId="271DFF9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200-220万</w:t>
            </w:r>
          </w:p>
        </w:tc>
        <w:tc>
          <w:tcPr>
            <w:tcW w:w="1814" w:type="dxa"/>
          </w:tcPr>
          <w:p w14:paraId="0A3DF34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低门槛进入，快速交付验证能力</w:t>
            </w:r>
          </w:p>
        </w:tc>
      </w:tr>
      <w:tr w14:paraId="0EB8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2D044E9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第二步</w:t>
            </w:r>
          </w:p>
        </w:tc>
        <w:tc>
          <w:tcPr>
            <w:tcW w:w="1814" w:type="dxa"/>
            <w:shd w:val="clear" w:color="auto" w:fill="F0F5FA"/>
          </w:tcPr>
          <w:p w14:paraId="4EBC41E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2026年9月</w:t>
            </w:r>
          </w:p>
        </w:tc>
        <w:tc>
          <w:tcPr>
            <w:tcW w:w="1814" w:type="dxa"/>
            <w:shd w:val="clear" w:color="auto" w:fill="F0F5FA"/>
          </w:tcPr>
          <w:p w14:paraId="3C84529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中期目标追加</w:t>
            </w:r>
          </w:p>
        </w:tc>
        <w:tc>
          <w:tcPr>
            <w:tcW w:w="1814" w:type="dxa"/>
            <w:shd w:val="clear" w:color="auto" w:fill="F0F5FA"/>
          </w:tcPr>
          <w:p w14:paraId="42B57A8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120-150万</w:t>
            </w:r>
          </w:p>
        </w:tc>
        <w:tc>
          <w:tcPr>
            <w:tcW w:w="1814" w:type="dxa"/>
            <w:shd w:val="clear" w:color="auto" w:fill="F0F5FA"/>
          </w:tcPr>
          <w:p w14:paraId="783185E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一期成果建立信任后追加预算</w:t>
            </w:r>
          </w:p>
        </w:tc>
      </w:tr>
      <w:tr w14:paraId="62B7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AF1915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第三步</w:t>
            </w:r>
          </w:p>
        </w:tc>
        <w:tc>
          <w:tcPr>
            <w:tcW w:w="1814" w:type="dxa"/>
          </w:tcPr>
          <w:p w14:paraId="16CDE3A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2027年初</w:t>
            </w:r>
          </w:p>
        </w:tc>
        <w:tc>
          <w:tcPr>
            <w:tcW w:w="1814" w:type="dxa"/>
          </w:tcPr>
          <w:p w14:paraId="266B6A2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远期目标续签</w:t>
            </w:r>
          </w:p>
        </w:tc>
        <w:tc>
          <w:tcPr>
            <w:tcW w:w="1814" w:type="dxa"/>
          </w:tcPr>
          <w:p w14:paraId="787F89A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250-280万</w:t>
            </w:r>
          </w:p>
        </w:tc>
        <w:tc>
          <w:tcPr>
            <w:tcW w:w="1814" w:type="dxa"/>
          </w:tcPr>
          <w:p w14:paraId="66DC721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锁定长期合作关系，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AI能力拉开与竞品差距</w:t>
            </w:r>
          </w:p>
        </w:tc>
      </w:tr>
      <w:tr w14:paraId="70A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0F5FA"/>
          </w:tcPr>
          <w:p w14:paraId="5C3FCF2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合计</w:t>
            </w:r>
          </w:p>
        </w:tc>
        <w:tc>
          <w:tcPr>
            <w:tcW w:w="1814" w:type="dxa"/>
            <w:shd w:val="clear" w:color="auto" w:fill="F0F5FA"/>
          </w:tcPr>
          <w:p w14:paraId="5C360CD7">
            <w:pPr>
              <w:spacing w:after="0"/>
            </w:pPr>
          </w:p>
        </w:tc>
        <w:tc>
          <w:tcPr>
            <w:tcW w:w="1814" w:type="dxa"/>
            <w:shd w:val="clear" w:color="auto" w:fill="F0F5FA"/>
          </w:tcPr>
          <w:p w14:paraId="75B5CCD1">
            <w:pPr>
              <w:spacing w:after="0"/>
            </w:pPr>
          </w:p>
        </w:tc>
        <w:tc>
          <w:tcPr>
            <w:tcW w:w="1814" w:type="dxa"/>
            <w:shd w:val="clear" w:color="auto" w:fill="F0F5FA"/>
          </w:tcPr>
          <w:p w14:paraId="489C825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570-650万</w:t>
            </w:r>
          </w:p>
        </w:tc>
        <w:tc>
          <w:tcPr>
            <w:tcW w:w="1814" w:type="dxa"/>
            <w:shd w:val="clear" w:color="auto" w:fill="F0F5FA"/>
          </w:tcPr>
          <w:p w14:paraId="2ADDE0F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分签总价更高，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但客户决策压力分散</w:t>
            </w:r>
          </w:p>
        </w:tc>
      </w:tr>
    </w:tbl>
    <w:p w14:paraId="2CAB3CDB"/>
    <w:p w14:paraId="0B32E3D0">
      <w:pPr>
        <w:pStyle w:val="4"/>
      </w:pPr>
      <w:r>
        <w:t>8.2 分签优势</w:t>
      </w:r>
    </w:p>
    <w:p w14:paraId="1B80FC8E">
      <w:pPr>
        <w:spacing w:after="120"/>
      </w:pPr>
      <w:r>
        <w:rPr>
          <w:rFonts w:ascii="微软雅黑" w:hAnsi="微软雅黑" w:eastAsia="微软雅黑"/>
        </w:rPr>
        <w:t>1. 降低客户首次决策门槛，更容易拿到第一个合同</w:t>
      </w:r>
    </w:p>
    <w:p w14:paraId="3209C088">
      <w:pPr>
        <w:spacing w:after="120"/>
      </w:pPr>
      <w:r>
        <w:rPr>
          <w:rFonts w:ascii="微软雅黑" w:hAnsi="微软雅黑" w:eastAsia="微软雅黑"/>
        </w:rPr>
        <w:t>2. 每阶段独立验收，交付压力分散，降低延期风险</w:t>
      </w:r>
    </w:p>
    <w:p w14:paraId="0119D2AA">
      <w:pPr>
        <w:spacing w:after="120"/>
      </w:pPr>
      <w:r>
        <w:rPr>
          <w:rFonts w:ascii="微软雅黑" w:hAnsi="微软雅黑" w:eastAsia="微软雅黑"/>
        </w:rPr>
        <w:t>3. 前期成果建立信任后，后续议价空间更大</w:t>
      </w:r>
    </w:p>
    <w:p w14:paraId="54459342">
      <w:pPr>
        <w:spacing w:after="120"/>
      </w:pPr>
      <w:r>
        <w:rPr>
          <w:rFonts w:ascii="微软雅黑" w:hAnsi="微软雅黑" w:eastAsia="微软雅黑"/>
        </w:rPr>
        <w:t>4. 如果前期交付超预期，后续有涨价空间</w:t>
      </w:r>
    </w:p>
    <w:p w14:paraId="66747F27">
      <w:pPr>
        <w:pStyle w:val="4"/>
      </w:pPr>
      <w:r>
        <w:t>8.3 分签风险</w:t>
      </w:r>
    </w:p>
    <w:p w14:paraId="48E62FD2">
      <w:pPr>
        <w:spacing w:after="120"/>
      </w:pPr>
      <w:r>
        <w:rPr>
          <w:rFonts w:ascii="微软雅黑" w:hAnsi="微软雅黑" w:eastAsia="微软雅黑"/>
        </w:rPr>
        <w:t>1. 客户可能一期后不续签（需用服务质量锁定客户粘性）</w:t>
      </w:r>
    </w:p>
    <w:p w14:paraId="7E264C72">
      <w:pPr>
        <w:spacing w:after="120"/>
      </w:pPr>
      <w:r>
        <w:rPr>
          <w:rFonts w:ascii="微软雅黑" w:hAnsi="微软雅黑" w:eastAsia="微软雅黑"/>
        </w:rPr>
        <w:t>2. 财务对接的投入成本需要分摊到中期合同</w:t>
      </w:r>
    </w:p>
    <w:p w14:paraId="6C5778EA">
      <w:pPr>
        <w:spacing w:after="120"/>
      </w:pPr>
      <w:r>
        <w:rPr>
          <w:rFonts w:ascii="微软雅黑" w:hAnsi="微软雅黑" w:eastAsia="微软雅黑"/>
        </w:rPr>
        <w:t>3. 每阶段单独招标可能引入新竞品</w:t>
      </w:r>
    </w:p>
    <w:p w14:paraId="1C4101E6">
      <w:r>
        <w:br w:type="page"/>
      </w:r>
    </w:p>
    <w:p w14:paraId="5AD0CE63">
      <w:pPr>
        <w:pStyle w:val="3"/>
      </w:pPr>
      <w:r>
        <w:t>九、核心风险与应对措施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248C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8E"/>
          </w:tcPr>
          <w:p w14:paraId="495270E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风险项</w:t>
            </w:r>
          </w:p>
        </w:tc>
        <w:tc>
          <w:tcPr>
            <w:tcW w:w="2268" w:type="dxa"/>
            <w:shd w:val="clear" w:color="auto" w:fill="1A568E"/>
          </w:tcPr>
          <w:p w14:paraId="461A410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w="2268" w:type="dxa"/>
            <w:shd w:val="clear" w:color="auto" w:fill="1A568E"/>
          </w:tcPr>
          <w:p w14:paraId="6CC25C9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w="2268" w:type="dxa"/>
            <w:shd w:val="clear" w:color="auto" w:fill="1A568E"/>
          </w:tcPr>
          <w:p w14:paraId="2B62652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应对措施</w:t>
            </w:r>
          </w:p>
        </w:tc>
      </w:tr>
      <w:tr w14:paraId="22135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9138CD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财务对接工作量远超预期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（国企财务系统多样）</w:t>
            </w:r>
          </w:p>
        </w:tc>
        <w:tc>
          <w:tcPr>
            <w:tcW w:w="2268" w:type="dxa"/>
          </w:tcPr>
          <w:p w14:paraId="27BFFCA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🔴 高</w:t>
            </w:r>
          </w:p>
        </w:tc>
        <w:tc>
          <w:tcPr>
            <w:tcW w:w="2268" w:type="dxa"/>
          </w:tcPr>
          <w:p w14:paraId="29F21F9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中期阶段成本可能翻倍，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吃掉整体利润</w:t>
            </w:r>
          </w:p>
        </w:tc>
        <w:tc>
          <w:tcPr>
            <w:tcW w:w="2268" w:type="dxa"/>
          </w:tcPr>
          <w:p w14:paraId="0642924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合同限定"适配≤3套财务系统"，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超出另签人天合同</w:t>
            </w:r>
          </w:p>
        </w:tc>
      </w:tr>
      <w:tr w14:paraId="11924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55709E8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远期AI功能需求模糊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（客户说不清要什么）</w:t>
            </w:r>
          </w:p>
        </w:tc>
        <w:tc>
          <w:tcPr>
            <w:tcW w:w="2268" w:type="dxa"/>
            <w:shd w:val="clear" w:color="auto" w:fill="F0F5FA"/>
          </w:tcPr>
          <w:p w14:paraId="633BB9C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🟡 中</w:t>
            </w:r>
          </w:p>
        </w:tc>
        <w:tc>
          <w:tcPr>
            <w:tcW w:w="2268" w:type="dxa"/>
            <w:shd w:val="clear" w:color="auto" w:fill="F0F5FA"/>
          </w:tcPr>
          <w:p w14:paraId="3D12C84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交付范围和验收标准争议</w:t>
            </w:r>
          </w:p>
        </w:tc>
        <w:tc>
          <w:tcPr>
            <w:tcW w:w="2268" w:type="dxa"/>
            <w:shd w:val="clear" w:color="auto" w:fill="F0F5FA"/>
          </w:tcPr>
          <w:p w14:paraId="3AF2A6D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远期按"人天框架协议"签，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不报死功能点</w:t>
            </w:r>
          </w:p>
        </w:tc>
      </w:tr>
      <w:tr w14:paraId="552F6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44D0CC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信创环境兼容问题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（国产数据库/JDK性能差异）</w:t>
            </w:r>
          </w:p>
        </w:tc>
        <w:tc>
          <w:tcPr>
            <w:tcW w:w="2268" w:type="dxa"/>
          </w:tcPr>
          <w:p w14:paraId="608AED1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🟡 中</w:t>
            </w:r>
          </w:p>
        </w:tc>
        <w:tc>
          <w:tcPr>
            <w:tcW w:w="2268" w:type="dxa"/>
          </w:tcPr>
          <w:p w14:paraId="4D9B84F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部署受阻，延期交付</w:t>
            </w:r>
          </w:p>
        </w:tc>
        <w:tc>
          <w:tcPr>
            <w:tcW w:w="2268" w:type="dxa"/>
          </w:tcPr>
          <w:p w14:paraId="13A05D4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技术栈选型已考虑信创兼容，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MVP先用标准环境跑通，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信创适配费单列</w:t>
            </w:r>
          </w:p>
        </w:tc>
      </w:tr>
      <w:tr w14:paraId="64727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07B3896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客户预算分期下达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（一次批不了全周期费用）</w:t>
            </w:r>
          </w:p>
        </w:tc>
        <w:tc>
          <w:tcPr>
            <w:tcW w:w="2268" w:type="dxa"/>
            <w:shd w:val="clear" w:color="auto" w:fill="F0F5FA"/>
          </w:tcPr>
          <w:p w14:paraId="59403CE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🟡 中</w:t>
            </w:r>
          </w:p>
        </w:tc>
        <w:tc>
          <w:tcPr>
            <w:tcW w:w="2268" w:type="dxa"/>
            <w:shd w:val="clear" w:color="auto" w:fill="F0F5FA"/>
          </w:tcPr>
          <w:p w14:paraId="4310DB6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无法一次性签大合同</w:t>
            </w:r>
          </w:p>
        </w:tc>
        <w:tc>
          <w:tcPr>
            <w:tcW w:w="2268" w:type="dxa"/>
            <w:shd w:val="clear" w:color="auto" w:fill="F0F5FA"/>
          </w:tcPr>
          <w:p w14:paraId="6FF9F4A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分阶段签约策略已包含应对方案</w:t>
            </w:r>
          </w:p>
        </w:tc>
      </w:tr>
      <w:tr w14:paraId="051A6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E0F23D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企业配合度不足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（数据不进系统）</w:t>
            </w:r>
          </w:p>
        </w:tc>
        <w:tc>
          <w:tcPr>
            <w:tcW w:w="2268" w:type="dxa"/>
          </w:tcPr>
          <w:p w14:paraId="604BE96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🟡 中</w:t>
            </w:r>
          </w:p>
        </w:tc>
        <w:tc>
          <w:tcPr>
            <w:tcW w:w="2268" w:type="dxa"/>
          </w:tcPr>
          <w:p w14:paraId="486FAC5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系统空转，价值无法体现</w:t>
            </w:r>
          </w:p>
        </w:tc>
        <w:tc>
          <w:tcPr>
            <w:tcW w:w="2268" w:type="dxa"/>
          </w:tcPr>
          <w:p w14:paraId="00C0BE0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Excel批量导入降低门槛，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驻场培训+手把手指导</w:t>
            </w:r>
          </w:p>
        </w:tc>
      </w:tr>
      <w:tr w14:paraId="62061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5FA"/>
          </w:tcPr>
          <w:p w14:paraId="7CCB7C6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竞品低价竞争</w:t>
            </w:r>
          </w:p>
        </w:tc>
        <w:tc>
          <w:tcPr>
            <w:tcW w:w="2268" w:type="dxa"/>
            <w:shd w:val="clear" w:color="auto" w:fill="F0F5FA"/>
          </w:tcPr>
          <w:p w14:paraId="1F25C82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🔴 高</w:t>
            </w:r>
          </w:p>
        </w:tc>
        <w:tc>
          <w:tcPr>
            <w:tcW w:w="2268" w:type="dxa"/>
            <w:shd w:val="clear" w:color="auto" w:fill="F0F5FA"/>
          </w:tcPr>
          <w:p w14:paraId="6538254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丢标或被迫降价</w:t>
            </w:r>
          </w:p>
        </w:tc>
        <w:tc>
          <w:tcPr>
            <w:tcW w:w="2268" w:type="dxa"/>
            <w:shd w:val="clear" w:color="auto" w:fill="F0F5FA"/>
          </w:tcPr>
          <w:p w14:paraId="3FF881B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用"本地化服务+AI能力+信创合规"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三维度拉开差距，不打价格战</w:t>
            </w:r>
          </w:p>
        </w:tc>
      </w:tr>
      <w:tr w14:paraId="5BDF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BCC019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人员流失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（核心开发离职）</w:t>
            </w:r>
          </w:p>
        </w:tc>
        <w:tc>
          <w:tcPr>
            <w:tcW w:w="2268" w:type="dxa"/>
          </w:tcPr>
          <w:p w14:paraId="78286A4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🟡 中</w:t>
            </w:r>
          </w:p>
        </w:tc>
        <w:tc>
          <w:tcPr>
            <w:tcW w:w="2268" w:type="dxa"/>
          </w:tcPr>
          <w:p w14:paraId="028DA01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进度延期，知识断层</w:t>
            </w:r>
          </w:p>
        </w:tc>
        <w:tc>
          <w:tcPr>
            <w:tcW w:w="2268" w:type="dxa"/>
          </w:tcPr>
          <w:p w14:paraId="65FB43C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代码强制TDD+文档化，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关键模块至少两人掌握</w:t>
            </w:r>
          </w:p>
        </w:tc>
      </w:tr>
    </w:tbl>
    <w:p w14:paraId="219D7F8D"/>
    <w:p w14:paraId="42D492EE">
      <w:r>
        <w:br w:type="page"/>
      </w:r>
    </w:p>
    <w:p w14:paraId="5E193522">
      <w:pPr>
        <w:pStyle w:val="3"/>
      </w:pPr>
      <w:r>
        <w:t>十、总结与建议</w:t>
      </w:r>
    </w:p>
    <w:p w14:paraId="10A47F03">
      <w:pPr>
        <w:pStyle w:val="4"/>
      </w:pPr>
      <w:r>
        <w:t>10.1 核心结论</w:t>
      </w:r>
    </w:p>
    <w:p w14:paraId="36F40B72">
      <w:pPr>
        <w:spacing w:after="1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013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1A568E"/>
          </w:tcPr>
          <w:p w14:paraId="5827F9D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4536" w:type="dxa"/>
            <w:shd w:val="clear" w:color="auto" w:fill="1A568E"/>
          </w:tcPr>
          <w:p w14:paraId="47E480C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</w:tr>
      <w:tr w14:paraId="4D58B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629F08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全周期项目总成本</w:t>
            </w:r>
          </w:p>
        </w:tc>
        <w:tc>
          <w:tcPr>
            <w:tcW w:w="4536" w:type="dxa"/>
          </w:tcPr>
          <w:p w14:paraId="2B82182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约 213 万元</w:t>
            </w:r>
          </w:p>
        </w:tc>
      </w:tr>
      <w:tr w14:paraId="24CE0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F0F5FA"/>
          </w:tcPr>
          <w:p w14:paraId="27AD82E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50% 毛利率底线报价</w:t>
            </w:r>
          </w:p>
        </w:tc>
        <w:tc>
          <w:tcPr>
            <w:tcW w:w="4536" w:type="dxa"/>
            <w:shd w:val="clear" w:color="auto" w:fill="F0F5FA"/>
          </w:tcPr>
          <w:p w14:paraId="5385173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426 万元</w:t>
            </w:r>
          </w:p>
        </w:tc>
      </w:tr>
      <w:tr w14:paraId="76800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85EAA3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推荐报价（55%毛利率）</w:t>
            </w:r>
          </w:p>
        </w:tc>
        <w:tc>
          <w:tcPr>
            <w:tcW w:w="4536" w:type="dxa"/>
          </w:tcPr>
          <w:p w14:paraId="6159237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480 万元</w:t>
            </w:r>
          </w:p>
        </w:tc>
      </w:tr>
      <w:tr w14:paraId="06F33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F0F5FA"/>
          </w:tcPr>
          <w:p w14:paraId="19074DE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首轮可报（预留谈判空间）</w:t>
            </w:r>
          </w:p>
        </w:tc>
        <w:tc>
          <w:tcPr>
            <w:tcW w:w="4536" w:type="dxa"/>
            <w:shd w:val="clear" w:color="auto" w:fill="F0F5FA"/>
          </w:tcPr>
          <w:p w14:paraId="6A9E00B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530 万元</w:t>
            </w:r>
          </w:p>
        </w:tc>
      </w:tr>
      <w:tr w14:paraId="0C3F6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CC514C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分阶段签约总额</w:t>
            </w:r>
          </w:p>
        </w:tc>
        <w:tc>
          <w:tcPr>
            <w:tcW w:w="4536" w:type="dxa"/>
          </w:tcPr>
          <w:p w14:paraId="219EE39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570-650 万元（毛利率更高但风险也更大）</w:t>
            </w:r>
          </w:p>
        </w:tc>
      </w:tr>
    </w:tbl>
    <w:p w14:paraId="2A934280"/>
    <w:p w14:paraId="7C7C4B7E">
      <w:pPr>
        <w:pStyle w:val="4"/>
      </w:pPr>
      <w:r>
        <w:t>10.2 谈判节奏建议</w:t>
      </w:r>
    </w:p>
    <w:p w14:paraId="2A814539">
      <w:pPr>
        <w:spacing w:after="120"/>
      </w:pPr>
      <w:r>
        <w:rPr>
          <w:rFonts w:ascii="微软雅黑" w:hAnsi="微软雅黑" w:eastAsia="微软雅黑"/>
          <w:b/>
        </w:rPr>
        <w:t>第一轮（报价）：</w:t>
      </w:r>
    </w:p>
    <w:p w14:paraId="742FE861">
      <w:pPr>
        <w:spacing w:after="120"/>
      </w:pPr>
      <w:r>
        <w:rPr>
          <w:rFonts w:ascii="微软雅黑" w:hAnsi="微软雅黑" w:eastAsia="微软雅黑"/>
        </w:rPr>
        <w:t>• 报 530 万，强调全生命周期覆盖 + AI 能力 + 信创合规三大差异化优势</w:t>
      </w:r>
    </w:p>
    <w:p w14:paraId="1B5941C1">
      <w:pPr>
        <w:spacing w:after="120"/>
      </w:pPr>
      <w:r>
        <w:rPr>
          <w:rFonts w:ascii="微软雅黑" w:hAnsi="微软雅黑" w:eastAsia="微软雅黑"/>
        </w:rPr>
        <w:t>• 给出"全周期总包"的性价比逻辑：四阶段分开采购远不止这个价</w:t>
      </w:r>
    </w:p>
    <w:p w14:paraId="66EDAFAB">
      <w:pPr>
        <w:spacing w:after="120"/>
      </w:pPr>
      <w:r>
        <w:rPr>
          <w:rFonts w:ascii="微软雅黑" w:hAnsi="微软雅黑" w:eastAsia="微软雅黑"/>
          <w:b/>
        </w:rPr>
        <w:t>第二轮（让步）：</w:t>
      </w:r>
    </w:p>
    <w:p w14:paraId="53AA4446">
      <w:pPr>
        <w:spacing w:after="120"/>
      </w:pPr>
      <w:r>
        <w:rPr>
          <w:rFonts w:ascii="微软雅黑" w:hAnsi="微软雅黑" w:eastAsia="微软雅黑"/>
        </w:rPr>
        <w:t>• 如果客户对价格敏感，退到 480 万（推荐价），换取"一次性签全周期"的承诺</w:t>
      </w:r>
    </w:p>
    <w:p w14:paraId="7D15085F">
      <w:pPr>
        <w:spacing w:after="120"/>
      </w:pPr>
      <w:r>
        <w:rPr>
          <w:rFonts w:ascii="微软雅黑" w:hAnsi="微软雅黑" w:eastAsia="微软雅黑"/>
        </w:rPr>
        <w:t>• 让步条件：客户承诺不拆分招标、不重新比价</w:t>
      </w:r>
    </w:p>
    <w:p w14:paraId="3F1CA35B">
      <w:pPr>
        <w:spacing w:after="120"/>
      </w:pPr>
      <w:r>
        <w:rPr>
          <w:rFonts w:ascii="微软雅黑" w:hAnsi="微软雅黑" w:eastAsia="微软雅黑"/>
          <w:b/>
        </w:rPr>
        <w:t>第三轮（底线）：</w:t>
      </w:r>
    </w:p>
    <w:p w14:paraId="51835AA7">
      <w:pPr>
        <w:spacing w:after="120"/>
      </w:pPr>
      <w:r>
        <w:rPr>
          <w:rFonts w:ascii="微软雅黑" w:hAnsi="微软雅黑" w:eastAsia="微软雅黑"/>
        </w:rPr>
        <w:t>• 如果客户预算确实有限（如只能批到 350 万以下），切换策略——</w:t>
      </w:r>
    </w:p>
    <w:p w14:paraId="65EAD672">
      <w:pPr>
        <w:spacing w:after="120"/>
      </w:pPr>
      <w:r>
        <w:rPr>
          <w:rFonts w:ascii="微软雅黑" w:hAnsi="微软雅黑" w:eastAsia="微软雅黑"/>
        </w:rPr>
        <w:t>• 首签短期 200 万（目标一+二），中期和远期后续追加</w:t>
      </w:r>
    </w:p>
    <w:p w14:paraId="53733003">
      <w:pPr>
        <w:spacing w:after="120"/>
      </w:pPr>
      <w:r>
        <w:rPr>
          <w:rFonts w:ascii="微软雅黑" w:hAnsi="微软雅黑" w:eastAsia="微软雅黑"/>
        </w:rPr>
        <w:t>• 底线：短期合同不能低于 180 万（覆盖短期成本 + 基础设施初始投入）</w:t>
      </w:r>
    </w:p>
    <w:p w14:paraId="7E4F596A">
      <w:pPr>
        <w:spacing w:after="120"/>
      </w:pPr>
      <w:r>
        <w:rPr>
          <w:rFonts w:ascii="微软雅黑" w:hAnsi="微软雅黑" w:eastAsia="微软雅黑"/>
          <w:b/>
        </w:rPr>
        <w:t>第四轮（不可退让）：</w:t>
      </w:r>
    </w:p>
    <w:p w14:paraId="60D799E7">
      <w:pPr>
        <w:spacing w:after="120"/>
      </w:pPr>
      <w:r>
        <w:rPr>
          <w:rFonts w:ascii="微软雅黑" w:hAnsi="微软雅黑" w:eastAsia="微软雅黑"/>
        </w:rPr>
        <w:t>• 低于 150 万不做（毛利率跌破 30%，无利润空间）</w:t>
      </w:r>
    </w:p>
    <w:p w14:paraId="47003B2F">
      <w:pPr>
        <w:spacing w:after="120"/>
      </w:pPr>
      <w:r>
        <w:rPr>
          <w:rFonts w:ascii="微软雅黑" w:hAnsi="微软雅黑" w:eastAsia="微软雅黑"/>
        </w:rPr>
        <w:t>• 理由：无法保证工期质量和后续服务</w:t>
      </w:r>
    </w:p>
    <w:p w14:paraId="598CF3A6">
      <w:pPr>
        <w:pStyle w:val="4"/>
      </w:pPr>
      <w:r>
        <w:t>10.3 一句话建议</w:t>
      </w:r>
    </w:p>
    <w:p w14:paraId="259967CD">
      <w:pPr>
        <w:jc w:val="center"/>
      </w:pPr>
      <w:r>
        <w:rPr>
          <w:rFonts w:ascii="微软雅黑" w:hAnsi="微软雅黑" w:eastAsia="微软雅黑"/>
          <w:b/>
          <w:color w:val="1A568E"/>
          <w:sz w:val="28"/>
        </w:rPr>
        <w:t>全周期总包首轮报 530 万，底线 426 万，推荐成交价 480 万。</w:t>
      </w:r>
    </w:p>
    <w:p w14:paraId="3DAB61A9">
      <w:pPr>
        <w:jc w:val="center"/>
      </w:pPr>
      <w:r>
        <w:rPr>
          <w:rFonts w:ascii="微软雅黑" w:hAnsi="微软雅黑" w:eastAsia="微软雅黑"/>
          <w:b/>
          <w:color w:val="1A568E"/>
          <w:sz w:val="28"/>
        </w:rPr>
        <w:t>如客户预算紧张，分阶段首签短期 200 万，后续追加至总价 500 万+。</w:t>
      </w:r>
    </w:p>
    <w:p w14:paraId="66C7E662"/>
    <w:p w14:paraId="1211B43D"/>
    <w:p w14:paraId="18B3BF2E">
      <w:pPr>
        <w:spacing w:after="120"/>
        <w:jc w:val="center"/>
      </w:pPr>
      <w:r>
        <w:rPr>
          <w:color w:val="CCCCCC"/>
          <w:sz w:val="16"/>
        </w:rPr>
        <w:t>————————————————————————————————————————</w:t>
      </w:r>
    </w:p>
    <w:p w14:paraId="40D7F499">
      <w:pPr>
        <w:spacing w:after="120"/>
        <w:jc w:val="center"/>
      </w:pPr>
      <w:r>
        <w:rPr>
          <w:rFonts w:ascii="微软雅黑" w:hAnsi="微软雅黑" w:eastAsia="微软雅黑"/>
          <w:color w:val="999999"/>
          <w:sz w:val="18"/>
        </w:rPr>
        <w:t>本报告由智算畅科（广东）技术有限公司编制，基于湛江国资监管平台二期功能设计文档v2的项目范围、技术方案及交付计划进行测算。</w:t>
      </w:r>
    </w:p>
    <w:p w14:paraId="433DFFB4">
      <w:pPr>
        <w:spacing w:after="120"/>
        <w:jc w:val="center"/>
      </w:pPr>
      <w:r>
        <w:rPr>
          <w:rFonts w:ascii="微软雅黑" w:hAnsi="微软雅黑" w:eastAsia="微软雅黑"/>
          <w:color w:val="999999"/>
          <w:sz w:val="18"/>
        </w:rPr>
        <w:t>报告日期：2026年6月13日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14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68E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568E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B74BA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390</Words>
  <Characters>444</Characters>
  <Lines>0</Lines>
  <Paragraphs>0</Paragraphs>
  <TotalTime>1</TotalTime>
  <ScaleCrop>false</ScaleCrop>
  <LinksUpToDate>false</LinksUpToDate>
  <CharactersWithSpaces>483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华南师范大学石牌京东派</cp:lastModifiedBy>
  <dcterms:modified xsi:type="dcterms:W3CDTF">2026-06-13T14:32:47Z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eyJoZGlkIjoiNjgzODVlMmVkMGViOGZkYTllN2ExOGUwMGZmODA0M2EiLCJ1c2VySWQiOiIyOTU1NTIxMTMifQ==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662081945EBA4C7BABDC82B7EF632810_12</vt:lpwstr>
  </property>
</Properties>
</file>