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Palantir Foundry Training</w:t>
      </w:r>
    </w:p>
    <w:p>
      <w:pPr>
        <w:pStyle w:val="Subtitle"/>
      </w:pPr>
      <w:r>
        <w:t xml:space="preserve">Capstone Framework — Series B, Projects 4, 5 and 6</w:t>
      </w:r>
    </w:p>
    <w:p>
      <w:pPr>
        <w:pStyle w:val="Subtitle"/>
      </w:pPr>
      <w:r>
        <w:t xml:space="preserve">Version 1.0 · 3 September 2026</w:t>
      </w:r>
    </w:p>
    <w:p>
      <w:pPr>
        <w:pStyle w:val="Subtitle"/>
      </w:pPr>
      <w:r>
        <w:t xml:space="preserve">Three projects, one dataset, three ontologies</w:t>
      </w:r>
    </w:p>
    <w:p>
      <w:pPr>
        <w:pStyle w:val="Heading1"/>
        <w:spacing w:after="160" w:before="320"/>
      </w:pPr>
      <w:r>
        <w:t xml:space="preserve">1. What this framework is</w:t>
      </w:r>
    </w:p>
    <w:p>
      <w:pPr>
        <w:spacing w:after="120"/>
      </w:pPr>
      <w:r>
        <w:t xml:space="preserve">This document fixes everything the three projects have in common and leaves everything else to the project specs in sections 7 to 9. It is the thing to change when you want all three projects to move together, and the thing to read before writing a fourth.</w:t>
      </w:r>
    </w:p>
    <w:p>
      <w:pPr>
        <w:spacing w:after="120"/>
      </w:pPr>
      <w:r>
        <w:rPr>
          <w:b/>
          <w:bCs/>
        </w:rPr>
        <w:t xml:space="preserve">The organising idea.</w:t>
      </w:r>
      <w:r>
        <w:t xml:space="preserve"> All three projects start from the same nine CSV files. Each team builds its own Ontology on top of them, for a different consumer, and arrives somewhere different. That is not an accident of the exercise — it is the lesson. A site operations manager, an elective access manager and a clinical site practitioner looking at one hospital's data legitimately need three different object models, and none of them is a copy of the CSV schema. Trainees who have only ever built one warehouse per source system find this genuinely surprising, and the shared input is what makes the point land.</w:t>
      </w:r>
    </w:p>
    <w:p>
      <w:pPr>
        <w:spacing w:after="120"/>
      </w:pPr>
      <w:r>
        <w:t xml:space="preserve">It also makes Day 5 worth attending. Three teams present three models of the same data; the interesting question is not who was right but which model serves its consumer.</w:t>
      </w:r>
    </w:p>
    <w:p>
      <w:pPr>
        <w:pStyle w:val="Heading2"/>
        <w:spacing w:after="120" w:before="260"/>
      </w:pPr>
      <w:r>
        <w:t xml:space="preserve">Coverage</w:t>
      </w:r>
    </w:p>
    <w:p>
      <w:pPr>
        <w:spacing w:after="120"/>
      </w:pPr>
      <w:r>
        <w:t xml:space="preserve">Every project covers all seven capabilities. Nothing is optional across projects — the variation is in what each one is for, not in what it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1"/>
        <w:gridCol w:w="2621"/>
        <w:gridCol w:w="2620"/>
      </w:tblGrid>
      <w:tr>
        <w:trPr>
          <w:tblHeader/>
        </w:trPr>
        <w:tc>
          <w:tcPr>
            <w:tcW w:type="dxa" w:w="1498"/>
            <w:shd w:fill="E8EDF5" w:val="clear"/>
            <w:tcMar>
              <w:top w:type="dxa" w:w="60"/>
              <w:left w:type="dxa" w:w="90"/>
              <w:bottom w:type="dxa" w:w="60"/>
              <w:right w:type="dxa" w:w="90"/>
            </w:tcMar>
          </w:tcPr>
          <w:p>
            <w:pPr>
              <w:spacing w:after="0"/>
            </w:pPr>
            <w:r>
              <w:rPr>
                <w:b/>
                <w:bCs/>
                <w:sz w:val="19"/>
                <w:szCs w:val="19"/>
              </w:rPr>
              <w:t xml:space="preserve">Capability</w:t>
            </w:r>
          </w:p>
        </w:tc>
        <w:tc>
          <w:tcPr>
            <w:tcW w:type="dxa" w:w="2621"/>
            <w:shd w:fill="E8EDF5" w:val="clear"/>
            <w:tcMar>
              <w:top w:type="dxa" w:w="60"/>
              <w:left w:type="dxa" w:w="90"/>
              <w:bottom w:type="dxa" w:w="60"/>
              <w:right w:type="dxa" w:w="90"/>
            </w:tcMar>
          </w:tcPr>
          <w:p>
            <w:pPr>
              <w:spacing w:after="0"/>
            </w:pPr>
            <w:r>
              <w:rPr>
                <w:b/>
                <w:bCs/>
                <w:sz w:val="19"/>
                <w:szCs w:val="19"/>
              </w:rPr>
              <w:t xml:space="preserve">Project 4 — Site Pressure</w:t>
            </w:r>
          </w:p>
        </w:tc>
        <w:tc>
          <w:tcPr>
            <w:tcW w:type="dxa" w:w="2621"/>
            <w:shd w:fill="E8EDF5" w:val="clear"/>
            <w:tcMar>
              <w:top w:type="dxa" w:w="60"/>
              <w:left w:type="dxa" w:w="90"/>
              <w:bottom w:type="dxa" w:w="60"/>
              <w:right w:type="dxa" w:w="90"/>
            </w:tcMar>
          </w:tcPr>
          <w:p>
            <w:pPr>
              <w:spacing w:after="0"/>
            </w:pPr>
            <w:r>
              <w:rPr>
                <w:b/>
                <w:bCs/>
                <w:sz w:val="19"/>
                <w:szCs w:val="19"/>
              </w:rPr>
              <w:t xml:space="preserve">Project 5 — Clinic Balancing</w:t>
            </w:r>
          </w:p>
        </w:tc>
        <w:tc>
          <w:tcPr>
            <w:tcW w:type="dxa" w:w="2620"/>
            <w:shd w:fill="E8EDF5" w:val="clear"/>
            <w:tcMar>
              <w:top w:type="dxa" w:w="60"/>
              <w:left w:type="dxa" w:w="90"/>
              <w:bottom w:type="dxa" w:w="60"/>
              <w:right w:type="dxa" w:w="90"/>
            </w:tcMar>
          </w:tcPr>
          <w:p>
            <w:pPr>
              <w:spacing w:after="0"/>
            </w:pPr>
            <w:r>
              <w:rPr>
                <w:b/>
                <w:bCs/>
                <w:sz w:val="19"/>
                <w:szCs w:val="19"/>
              </w:rPr>
              <w:t xml:space="preserve">Project 6 — Deterioration Watch</w:t>
            </w:r>
          </w:p>
        </w:tc>
      </w:tr>
      <w:tr>
        <w:tc>
          <w:tcPr>
            <w:tcW w:type="dxa" w:w="1498"/>
            <w:tcMar>
              <w:top w:type="dxa" w:w="60"/>
              <w:left w:type="dxa" w:w="90"/>
              <w:bottom w:type="dxa" w:w="60"/>
              <w:right w:type="dxa" w:w="90"/>
            </w:tcMar>
          </w:tcPr>
          <w:p>
            <w:pPr>
              <w:spacing w:after="0"/>
            </w:pPr>
            <w:r>
              <w:rPr>
                <w:b w:val="false"/>
                <w:bCs w:val="false"/>
                <w:sz w:val="19"/>
                <w:szCs w:val="19"/>
              </w:rPr>
              <w:t xml:space="preserve">Polars pipeline</w:t>
            </w:r>
          </w:p>
        </w:tc>
        <w:tc>
          <w:tcPr>
            <w:tcW w:type="dxa" w:w="2621"/>
            <w:tcMar>
              <w:top w:type="dxa" w:w="60"/>
              <w:left w:type="dxa" w:w="90"/>
              <w:bottom w:type="dxa" w:w="60"/>
              <w:right w:type="dxa" w:w="90"/>
            </w:tcMar>
          </w:tcPr>
          <w:p>
            <w:pPr>
              <w:spacing w:after="0"/>
            </w:pPr>
            <w:r>
              <w:rPr>
                <w:b w:val="false"/>
                <w:bCs w:val="false"/>
                <w:sz w:val="19"/>
                <w:szCs w:val="19"/>
              </w:rPr>
              <w:t xml:space="preserve">Resolve the ED event stream; bed and ward cleaning</w:t>
            </w:r>
          </w:p>
        </w:tc>
        <w:tc>
          <w:tcPr>
            <w:tcW w:type="dxa" w:w="2621"/>
            <w:tcMar>
              <w:top w:type="dxa" w:w="60"/>
              <w:left w:type="dxa" w:w="90"/>
              <w:bottom w:type="dxa" w:w="60"/>
              <w:right w:type="dxa" w:w="90"/>
            </w:tcMar>
          </w:tcPr>
          <w:p>
            <w:pPr>
              <w:spacing w:after="0"/>
            </w:pPr>
            <w:r>
              <w:rPr>
                <w:b w:val="false"/>
                <w:bCs w:val="false"/>
                <w:sz w:val="19"/>
                <w:szCs w:val="19"/>
              </w:rPr>
              <w:t xml:space="preserve">Pathway and clinic cleaning; derive clock state</w:t>
            </w:r>
          </w:p>
        </w:tc>
        <w:tc>
          <w:tcPr>
            <w:tcW w:type="dxa" w:w="2620"/>
            <w:tcMar>
              <w:top w:type="dxa" w:w="60"/>
              <w:left w:type="dxa" w:w="90"/>
              <w:bottom w:type="dxa" w:w="60"/>
              <w:right w:type="dxa" w:w="90"/>
            </w:tcMar>
          </w:tcPr>
          <w:p>
            <w:pPr>
              <w:spacing w:after="0"/>
            </w:pPr>
            <w:r>
              <w:rPr>
                <w:b w:val="false"/>
                <w:bCs w:val="false"/>
                <w:sz w:val="19"/>
                <w:szCs w:val="19"/>
              </w:rPr>
              <w:t xml:space="preserve">Telemetry validity filtering; NEWS2 per reading</w:t>
            </w:r>
          </w:p>
        </w:tc>
      </w:tr>
      <w:tr>
        <w:tc>
          <w:tcPr>
            <w:tcW w:type="dxa" w:w="1498"/>
            <w:tcMar>
              <w:top w:type="dxa" w:w="60"/>
              <w:left w:type="dxa" w:w="90"/>
              <w:bottom w:type="dxa" w:w="60"/>
              <w:right w:type="dxa" w:w="90"/>
            </w:tcMar>
          </w:tcPr>
          <w:p>
            <w:pPr>
              <w:spacing w:after="0"/>
            </w:pPr>
            <w:r>
              <w:rPr>
                <w:b w:val="false"/>
                <w:bCs w:val="false"/>
                <w:sz w:val="19"/>
                <w:szCs w:val="19"/>
              </w:rPr>
              <w:t xml:space="preserve">TypeScript v2 function</w:t>
            </w:r>
          </w:p>
        </w:tc>
        <w:tc>
          <w:tcPr>
            <w:tcW w:type="dxa" w:w="262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siteEscalationLevel</w:t>
            </w:r>
          </w:p>
        </w:tc>
        <w:tc>
          <w:tcPr>
            <w:tcW w:type="dxa" w:w="262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recommendTransferClinic</w:t>
            </w:r>
          </w:p>
        </w:tc>
        <w:tc>
          <w:tcPr>
            <w:tcW w:type="dxa" w:w="262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watchListPriority</w:t>
            </w:r>
            <w:r>
              <w:rPr>
                <w:b w:val="false"/>
                <w:bCs w:val="false"/>
                <w:sz w:val="19"/>
                <w:szCs w:val="19"/>
              </w:rPr>
              <w:t xml:space="preserve"> (function-backed column)</w:t>
            </w:r>
          </w:p>
        </w:tc>
      </w:tr>
      <w:tr>
        <w:tc>
          <w:tcPr>
            <w:tcW w:type="dxa" w:w="1498"/>
            <w:tcMar>
              <w:top w:type="dxa" w:w="60"/>
              <w:left w:type="dxa" w:w="90"/>
              <w:bottom w:type="dxa" w:w="60"/>
              <w:right w:type="dxa" w:w="90"/>
            </w:tcMar>
          </w:tcPr>
          <w:p>
            <w:pPr>
              <w:spacing w:after="0"/>
            </w:pPr>
            <w:r>
              <w:rPr>
                <w:b w:val="false"/>
                <w:bCs w:val="false"/>
                <w:sz w:val="19"/>
                <w:szCs w:val="19"/>
              </w:rPr>
              <w:t xml:space="preserve">Workshop derived property</w:t>
            </w:r>
          </w:p>
        </w:tc>
        <w:tc>
          <w:tcPr>
            <w:tcW w:type="dxa" w:w="2621"/>
            <w:tcMar>
              <w:top w:type="dxa" w:w="60"/>
              <w:left w:type="dxa" w:w="90"/>
              <w:bottom w:type="dxa" w:w="60"/>
              <w:right w:type="dxa" w:w="90"/>
            </w:tcMar>
          </w:tcPr>
          <w:p>
            <w:pPr>
              <w:spacing w:after="0"/>
            </w:pPr>
            <w:r>
              <w:rPr>
                <w:b w:val="false"/>
                <w:bCs w:val="false"/>
                <w:sz w:val="19"/>
                <w:szCs w:val="19"/>
              </w:rPr>
              <w:t xml:space="preserve">Occupied beds per ward, then occupancy %</w:t>
            </w:r>
          </w:p>
        </w:tc>
        <w:tc>
          <w:tcPr>
            <w:tcW w:type="dxa" w:w="2621"/>
            <w:tcMar>
              <w:top w:type="dxa" w:w="60"/>
              <w:left w:type="dxa" w:w="90"/>
              <w:bottom w:type="dxa" w:w="60"/>
              <w:right w:type="dxa" w:w="90"/>
            </w:tcMar>
          </w:tcPr>
          <w:p>
            <w:pPr>
              <w:spacing w:after="0"/>
            </w:pPr>
            <w:r>
              <w:rPr>
                <w:b w:val="false"/>
                <w:bCs w:val="false"/>
                <w:sz w:val="19"/>
                <w:szCs w:val="19"/>
              </w:rPr>
              <w:t xml:space="preserve">Active pathways per clinic, then weeks to clear</w:t>
            </w:r>
          </w:p>
        </w:tc>
        <w:tc>
          <w:tcPr>
            <w:tcW w:type="dxa" w:w="2620"/>
            <w:tcMar>
              <w:top w:type="dxa" w:w="60"/>
              <w:left w:type="dxa" w:w="90"/>
              <w:bottom w:type="dxa" w:w="60"/>
              <w:right w:type="dxa" w:w="90"/>
            </w:tcMar>
          </w:tcPr>
          <w:p>
            <w:pPr>
              <w:spacing w:after="0"/>
            </w:pPr>
            <w:r>
              <w:rPr>
                <w:b w:val="false"/>
                <w:bCs w:val="false"/>
                <w:sz w:val="19"/>
                <w:szCs w:val="19"/>
              </w:rPr>
              <w:t xml:space="preserve">Max NEWS2 per admission</w:t>
            </w:r>
          </w:p>
        </w:tc>
      </w:tr>
      <w:tr>
        <w:tc>
          <w:tcPr>
            <w:tcW w:type="dxa" w:w="1498"/>
            <w:tcMar>
              <w:top w:type="dxa" w:w="60"/>
              <w:left w:type="dxa" w:w="90"/>
              <w:bottom w:type="dxa" w:w="60"/>
              <w:right w:type="dxa" w:w="90"/>
            </w:tcMar>
          </w:tcPr>
          <w:p>
            <w:pPr>
              <w:spacing w:after="0"/>
            </w:pPr>
            <w:r>
              <w:rPr>
                <w:b w:val="false"/>
                <w:bCs w:val="false"/>
                <w:sz w:val="19"/>
                <w:szCs w:val="19"/>
              </w:rPr>
              <w:t xml:space="preserve">Security</w:t>
            </w:r>
          </w:p>
        </w:tc>
        <w:tc>
          <w:tcPr>
            <w:tcW w:type="dxa" w:w="2621"/>
            <w:tcMar>
              <w:top w:type="dxa" w:w="60"/>
              <w:left w:type="dxa" w:w="90"/>
              <w:bottom w:type="dxa" w:w="60"/>
              <w:right w:type="dxa" w:w="90"/>
            </w:tcMar>
          </w:tcPr>
          <w:p>
            <w:pPr>
              <w:spacing w:after="0"/>
            </w:pPr>
            <w:r>
              <w:rPr>
                <w:b w:val="false"/>
                <w:bCs w:val="false"/>
                <w:sz w:val="19"/>
                <w:szCs w:val="19"/>
              </w:rPr>
              <w:t xml:space="preserve">RESTRICTED_CLINICAL marking + site row filter</w:t>
            </w:r>
          </w:p>
        </w:tc>
        <w:tc>
          <w:tcPr>
            <w:tcW w:type="dxa" w:w="2621"/>
            <w:tcMar>
              <w:top w:type="dxa" w:w="60"/>
              <w:left w:type="dxa" w:w="90"/>
              <w:bottom w:type="dxa" w:w="60"/>
              <w:right w:type="dxa" w:w="90"/>
            </w:tcMar>
          </w:tcPr>
          <w:p>
            <w:pPr>
              <w:spacing w:after="0"/>
            </w:pPr>
            <w:r>
              <w:rPr>
                <w:b w:val="false"/>
                <w:bCs w:val="false"/>
                <w:sz w:val="19"/>
                <w:szCs w:val="19"/>
              </w:rPr>
              <w:t xml:space="preserve">RESTRICTED_PII marking + safeguarding row filter</w:t>
            </w:r>
          </w:p>
        </w:tc>
        <w:tc>
          <w:tcPr>
            <w:tcW w:type="dxa" w:w="2620"/>
            <w:tcMar>
              <w:top w:type="dxa" w:w="60"/>
              <w:left w:type="dxa" w:w="90"/>
              <w:bottom w:type="dxa" w:w="60"/>
              <w:right w:type="dxa" w:w="90"/>
            </w:tcMar>
          </w:tcPr>
          <w:p>
            <w:pPr>
              <w:spacing w:after="0"/>
            </w:pPr>
            <w:r>
              <w:rPr>
                <w:b w:val="false"/>
                <w:bCs w:val="false"/>
                <w:sz w:val="19"/>
                <w:szCs w:val="19"/>
              </w:rPr>
              <w:t xml:space="preserve">NHS_CONFIDENTIAL marking + trust row filter</w:t>
            </w:r>
          </w:p>
        </w:tc>
      </w:tr>
      <w:tr>
        <w:tc>
          <w:tcPr>
            <w:tcW w:type="dxa" w:w="1498"/>
            <w:tcMar>
              <w:top w:type="dxa" w:w="60"/>
              <w:left w:type="dxa" w:w="90"/>
              <w:bottom w:type="dxa" w:w="60"/>
              <w:right w:type="dxa" w:w="90"/>
            </w:tcMar>
          </w:tcPr>
          <w:p>
            <w:pPr>
              <w:spacing w:after="0"/>
            </w:pPr>
            <w:r>
              <w:rPr>
                <w:b w:val="false"/>
                <w:bCs w:val="false"/>
                <w:sz w:val="19"/>
                <w:szCs w:val="19"/>
              </w:rPr>
              <w:t xml:space="preserve">Quiver</w:t>
            </w:r>
          </w:p>
        </w:tc>
        <w:tc>
          <w:tcPr>
            <w:tcW w:type="dxa" w:w="2621"/>
            <w:tcMar>
              <w:top w:type="dxa" w:w="60"/>
              <w:left w:type="dxa" w:w="90"/>
              <w:bottom w:type="dxa" w:w="60"/>
              <w:right w:type="dxa" w:w="90"/>
            </w:tcMar>
          </w:tcPr>
          <w:p>
            <w:pPr>
              <w:spacing w:after="0"/>
            </w:pPr>
            <w:r>
              <w:rPr>
                <w:b w:val="false"/>
                <w:bCs w:val="false"/>
                <w:sz w:val="19"/>
                <w:szCs w:val="19"/>
              </w:rPr>
              <w:t xml:space="preserve">Ward pressure across sites</w:t>
            </w:r>
          </w:p>
        </w:tc>
        <w:tc>
          <w:tcPr>
            <w:tcW w:type="dxa" w:w="2621"/>
            <w:tcMar>
              <w:top w:type="dxa" w:w="60"/>
              <w:left w:type="dxa" w:w="90"/>
              <w:bottom w:type="dxa" w:w="60"/>
              <w:right w:type="dxa" w:w="90"/>
            </w:tcMar>
          </w:tcPr>
          <w:p>
            <w:pPr>
              <w:spacing w:after="0"/>
            </w:pPr>
            <w:r>
              <w:rPr>
                <w:b w:val="false"/>
                <w:bCs w:val="false"/>
                <w:sz w:val="19"/>
                <w:szCs w:val="19"/>
              </w:rPr>
              <w:t xml:space="preserve">Backlog against capacity by clinic</w:t>
            </w:r>
          </w:p>
        </w:tc>
        <w:tc>
          <w:tcPr>
            <w:tcW w:type="dxa" w:w="2620"/>
            <w:tcMar>
              <w:top w:type="dxa" w:w="60"/>
              <w:left w:type="dxa" w:w="90"/>
              <w:bottom w:type="dxa" w:w="60"/>
              <w:right w:type="dxa" w:w="90"/>
            </w:tcMar>
          </w:tcPr>
          <w:p>
            <w:pPr>
              <w:spacing w:after="0"/>
            </w:pPr>
            <w:r>
              <w:rPr>
                <w:b w:val="false"/>
                <w:bCs w:val="false"/>
                <w:sz w:val="19"/>
                <w:szCs w:val="19"/>
              </w:rPr>
              <w:t xml:space="preserve">NEWS2 distribution and vitals trend</w:t>
            </w:r>
          </w:p>
        </w:tc>
      </w:tr>
      <w:tr>
        <w:tc>
          <w:tcPr>
            <w:tcW w:type="dxa" w:w="1498"/>
            <w:tcMar>
              <w:top w:type="dxa" w:w="60"/>
              <w:left w:type="dxa" w:w="90"/>
              <w:bottom w:type="dxa" w:w="60"/>
              <w:right w:type="dxa" w:w="90"/>
            </w:tcMar>
          </w:tcPr>
          <w:p>
            <w:pPr>
              <w:spacing w:after="0"/>
            </w:pPr>
            <w:r>
              <w:rPr>
                <w:b w:val="false"/>
                <w:bCs w:val="false"/>
                <w:sz w:val="19"/>
                <w:szCs w:val="19"/>
              </w:rPr>
              <w:t xml:space="preserve">Workshop</w:t>
            </w:r>
          </w:p>
        </w:tc>
        <w:tc>
          <w:tcPr>
            <w:tcW w:type="dxa" w:w="2621"/>
            <w:tcMar>
              <w:top w:type="dxa" w:w="60"/>
              <w:left w:type="dxa" w:w="90"/>
              <w:bottom w:type="dxa" w:w="60"/>
              <w:right w:type="dxa" w:w="90"/>
            </w:tcMar>
          </w:tcPr>
          <w:p>
            <w:pPr>
              <w:spacing w:after="0"/>
            </w:pPr>
            <w:r>
              <w:rPr>
                <w:b w:val="false"/>
                <w:bCs w:val="false"/>
                <w:sz w:val="19"/>
                <w:szCs w:val="19"/>
              </w:rPr>
              <w:t xml:space="preserve">Site escalation board</w:t>
            </w:r>
          </w:p>
        </w:tc>
        <w:tc>
          <w:tcPr>
            <w:tcW w:type="dxa" w:w="2621"/>
            <w:tcMar>
              <w:top w:type="dxa" w:w="60"/>
              <w:left w:type="dxa" w:w="90"/>
              <w:bottom w:type="dxa" w:w="60"/>
              <w:right w:type="dxa" w:w="90"/>
            </w:tcMar>
          </w:tcPr>
          <w:p>
            <w:pPr>
              <w:spacing w:after="0"/>
            </w:pPr>
            <w:r>
              <w:rPr>
                <w:b w:val="false"/>
                <w:bCs w:val="false"/>
                <w:sz w:val="19"/>
                <w:szCs w:val="19"/>
              </w:rPr>
              <w:t xml:space="preserve">Clinic rebalancing console</w:t>
            </w:r>
          </w:p>
        </w:tc>
        <w:tc>
          <w:tcPr>
            <w:tcW w:type="dxa" w:w="2620"/>
            <w:tcMar>
              <w:top w:type="dxa" w:w="60"/>
              <w:left w:type="dxa" w:w="90"/>
              <w:bottom w:type="dxa" w:w="60"/>
              <w:right w:type="dxa" w:w="90"/>
            </w:tcMar>
          </w:tcPr>
          <w:p>
            <w:pPr>
              <w:spacing w:after="0"/>
            </w:pPr>
            <w:r>
              <w:rPr>
                <w:b w:val="false"/>
                <w:bCs w:val="false"/>
                <w:sz w:val="19"/>
                <w:szCs w:val="19"/>
              </w:rPr>
              <w:t xml:space="preserve">Deterioration watch list</w:t>
            </w:r>
          </w:p>
        </w:tc>
      </w:tr>
      <w:tr>
        <w:tc>
          <w:tcPr>
            <w:tcW w:type="dxa" w:w="1498"/>
            <w:tcMar>
              <w:top w:type="dxa" w:w="60"/>
              <w:left w:type="dxa" w:w="90"/>
              <w:bottom w:type="dxa" w:w="60"/>
              <w:right w:type="dxa" w:w="90"/>
            </w:tcMar>
          </w:tcPr>
          <w:p>
            <w:pPr>
              <w:spacing w:after="0"/>
            </w:pPr>
            <w:r>
              <w:rPr>
                <w:b w:val="false"/>
                <w:bCs w:val="false"/>
                <w:sz w:val="19"/>
                <w:szCs w:val="19"/>
              </w:rPr>
              <w:t xml:space="preserve">Link (≥1)</w:t>
            </w:r>
          </w:p>
        </w:tc>
        <w:tc>
          <w:tcPr>
            <w:tcW w:type="dxa" w:w="2621"/>
            <w:tcMar>
              <w:top w:type="dxa" w:w="60"/>
              <w:left w:type="dxa" w:w="90"/>
              <w:bottom w:type="dxa" w:w="60"/>
              <w:right w:type="dxa" w:w="90"/>
            </w:tcMar>
          </w:tcPr>
          <w:p>
            <w:pPr>
              <w:spacing w:after="0"/>
            </w:pPr>
            <w:r>
              <w:rPr>
                <w:b w:val="false"/>
                <w:bCs w:val="false"/>
                <w:sz w:val="19"/>
                <w:szCs w:val="19"/>
              </w:rPr>
              <w:t xml:space="preserve">Ward 1—N Bed</w:t>
            </w:r>
          </w:p>
        </w:tc>
        <w:tc>
          <w:tcPr>
            <w:tcW w:type="dxa" w:w="2621"/>
            <w:tcMar>
              <w:top w:type="dxa" w:w="60"/>
              <w:left w:type="dxa" w:w="90"/>
              <w:bottom w:type="dxa" w:w="60"/>
              <w:right w:type="dxa" w:w="90"/>
            </w:tcMar>
          </w:tcPr>
          <w:p>
            <w:pPr>
              <w:spacing w:after="0"/>
            </w:pPr>
            <w:r>
              <w:rPr>
                <w:b w:val="false"/>
                <w:bCs w:val="false"/>
                <w:sz w:val="19"/>
                <w:szCs w:val="19"/>
              </w:rPr>
              <w:t xml:space="preserve">Clinic 1—N RTT Pathway</w:t>
            </w:r>
          </w:p>
        </w:tc>
        <w:tc>
          <w:tcPr>
            <w:tcW w:type="dxa" w:w="2620"/>
            <w:tcMar>
              <w:top w:type="dxa" w:w="60"/>
              <w:left w:type="dxa" w:w="90"/>
              <w:bottom w:type="dxa" w:w="60"/>
              <w:right w:type="dxa" w:w="90"/>
            </w:tcMar>
          </w:tcPr>
          <w:p>
            <w:pPr>
              <w:spacing w:after="0"/>
            </w:pPr>
            <w:r>
              <w:rPr>
                <w:b w:val="false"/>
                <w:bCs w:val="false"/>
                <w:sz w:val="19"/>
                <w:szCs w:val="19"/>
              </w:rPr>
              <w:t xml:space="preserve">Inpatient Admission 1—N Telemetry Reading</w:t>
            </w:r>
          </w:p>
        </w:tc>
      </w:tr>
      <w:tr>
        <w:tc>
          <w:tcPr>
            <w:tcW w:type="dxa" w:w="1498"/>
            <w:tcMar>
              <w:top w:type="dxa" w:w="60"/>
              <w:left w:type="dxa" w:w="90"/>
              <w:bottom w:type="dxa" w:w="60"/>
              <w:right w:type="dxa" w:w="90"/>
            </w:tcMar>
          </w:tcPr>
          <w:p>
            <w:pPr>
              <w:spacing w:after="0"/>
            </w:pPr>
            <w:r>
              <w:rPr>
                <w:b w:val="false"/>
                <w:bCs w:val="false"/>
                <w:sz w:val="19"/>
                <w:szCs w:val="19"/>
              </w:rPr>
              <w:t xml:space="preserve">Action (≥1)</w:t>
            </w:r>
          </w:p>
        </w:tc>
        <w:tc>
          <w:tcPr>
            <w:tcW w:type="dxa" w:w="2621"/>
            <w:tcMar>
              <w:top w:type="dxa" w:w="60"/>
              <w:left w:type="dxa" w:w="90"/>
              <w:bottom w:type="dxa" w:w="60"/>
              <w:right w:type="dxa" w:w="90"/>
            </w:tcMar>
          </w:tcPr>
          <w:p>
            <w:pPr>
              <w:spacing w:after="0"/>
            </w:pPr>
            <w:r>
              <w:rPr>
                <w:b w:val="false"/>
                <w:bCs w:val="false"/>
                <w:sz w:val="19"/>
                <w:szCs w:val="19"/>
              </w:rPr>
              <w:t xml:space="preserve">Record Escalation Decision</w:t>
            </w:r>
          </w:p>
        </w:tc>
        <w:tc>
          <w:tcPr>
            <w:tcW w:type="dxa" w:w="2621"/>
            <w:tcMar>
              <w:top w:type="dxa" w:w="60"/>
              <w:left w:type="dxa" w:w="90"/>
              <w:bottom w:type="dxa" w:w="60"/>
              <w:right w:type="dxa" w:w="90"/>
            </w:tcMar>
          </w:tcPr>
          <w:p>
            <w:pPr>
              <w:spacing w:after="0"/>
            </w:pPr>
            <w:r>
              <w:rPr>
                <w:b w:val="false"/>
                <w:bCs w:val="false"/>
                <w:sz w:val="19"/>
                <w:szCs w:val="19"/>
              </w:rPr>
              <w:t xml:space="preserve">Transfer Pathway to Clinic</w:t>
            </w:r>
          </w:p>
        </w:tc>
        <w:tc>
          <w:tcPr>
            <w:tcW w:type="dxa" w:w="2620"/>
            <w:tcMar>
              <w:top w:type="dxa" w:w="60"/>
              <w:left w:type="dxa" w:w="90"/>
              <w:bottom w:type="dxa" w:w="60"/>
              <w:right w:type="dxa" w:w="90"/>
            </w:tcMar>
          </w:tcPr>
          <w:p>
            <w:pPr>
              <w:spacing w:after="0"/>
            </w:pPr>
            <w:r>
              <w:rPr>
                <w:b w:val="false"/>
                <w:bCs w:val="false"/>
                <w:sz w:val="19"/>
                <w:szCs w:val="19"/>
              </w:rPr>
              <w:t xml:space="preserve">Acknowledge Deterioration</w:t>
            </w:r>
          </w:p>
        </w:tc>
      </w:tr>
    </w:tbl>
    <w:p>
      <w:pPr>
        <w:spacing w:after="160"/>
      </w:pPr>
    </w:p>
    <w:p>
      <w:pPr>
        <w:pBdr>
          <w:left w:val="single" w:color="4472C4" w:sz="18" w:space="12"/>
        </w:pBdr>
        <w:spacing w:after="160" w:before="120"/>
        <w:ind w:left="220"/>
      </w:pPr>
      <w:r>
        <w:rPr>
          <w:b/>
          <w:bCs/>
        </w:rPr>
        <w:t xml:space="preserve">One deliberate asymmetry.  </w:t>
      </w:r>
      <w:r>
        <w:t xml:space="preserve">Project 6 is the only one whose derived property breaks. Its object set is 220 admissions and Workshop caps derived-property sorting at 200 rows, so the column renders but will not sort. That is not a flaw in the brief — it is the reason Project 6 also builds a function-backed column, and it is how the framework connects the derived-property requirement to the TypeScript v2 requirement without inventing a pretext. Sections 6.2 and 9 carry the detail.</w:t>
      </w:r>
    </w:p>
    <w:p>
      <w:pPr>
        <w:pStyle w:val="Heading1"/>
        <w:pageBreakBefore/>
        <w:spacing w:after="160"/>
      </w:pPr>
      <w:r>
        <w:t xml:space="preserve">2. The shared dataset</w:t>
      </w:r>
    </w:p>
    <w:p>
      <w:pPr>
        <w:spacing w:after="120"/>
      </w:pPr>
      <w:r>
        <w:t xml:space="preserve">All three projects ingest all nine files. No project needs every file, and deciding what to leave out is part of the modelling work — a team that maps all nine into its Ontology has misunderstood the exercise.</w:t>
      </w:r>
    </w:p>
    <w:p>
      <w:pPr>
        <w:spacing w:after="120"/>
      </w:pPr>
      <w:r>
        <w:t xml:space="preserve">The data is the Series A corpus, unchanged, generated with </w:t>
      </w:r>
      <w:r>
        <w:rPr>
          <w:rFonts w:ascii="Consolas" w:cs="Consolas" w:eastAsia="Consolas" w:hAnsi="Consolas"/>
          <w:sz w:val="19"/>
          <w:szCs w:val="19"/>
        </w:rPr>
        <w:t xml:space="preserve">--as-of 2026-09-03 --seed 20260903</w:t>
      </w:r>
      <w:r>
        <w:t xml:space="preserve">. Regenerate with </w:t>
      </w:r>
      <w:r>
        <w:rPr>
          <w:rFonts w:ascii="Consolas" w:cs="Consolas" w:eastAsia="Consolas" w:hAnsi="Consolas"/>
          <w:sz w:val="19"/>
          <w:szCs w:val="19"/>
        </w:rPr>
        <w:t xml:space="preserve">generate_nhs_synthetic_data.py</w:t>
      </w:r>
      <w:r>
        <w:t xml:space="preserve">; it is stdlib-only, so there is nothing to install. </w:t>
      </w:r>
      <w:r>
        <w:rPr>
          <w:rFonts w:ascii="Consolas" w:cs="Consolas" w:eastAsia="Consolas" w:hAnsi="Consolas"/>
          <w:sz w:val="19"/>
          <w:szCs w:val="19"/>
        </w:rPr>
        <w:t xml:space="preserve">GENERATION_REPORT.md</w:t>
      </w:r>
      <w:r>
        <w:t xml:space="preserve"> is the instructor key and </w:t>
      </w:r>
      <w:r>
        <w:rPr>
          <w:rFonts w:ascii="Consolas" w:cs="Consolas" w:eastAsia="Consolas" w:hAnsi="Consolas"/>
          <w:sz w:val="19"/>
          <w:szCs w:val="19"/>
        </w:rPr>
        <w:t xml:space="preserve">verify_generated_data.py</w:t>
      </w:r>
      <w:r>
        <w:t xml:space="preserve"> asserts 53 properties over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8"/>
        <w:gridCol w:w="2246"/>
        <w:gridCol w:w="1685"/>
      </w:tblGrid>
      <w:tr>
        <w:trPr>
          <w:tblHeader/>
        </w:trPr>
        <w:tc>
          <w:tcPr>
            <w:tcW w:type="dxa" w:w="3931"/>
            <w:shd w:fill="E8EDF5" w:val="clear"/>
            <w:tcMar>
              <w:top w:type="dxa" w:w="60"/>
              <w:left w:type="dxa" w:w="90"/>
              <w:bottom w:type="dxa" w:w="60"/>
              <w:right w:type="dxa" w:w="90"/>
            </w:tcMar>
          </w:tcPr>
          <w:p>
            <w:pPr>
              <w:spacing w:after="0"/>
            </w:pPr>
            <w:r>
              <w:rPr>
                <w:b/>
                <w:bCs/>
                <w:sz w:val="19"/>
                <w:szCs w:val="19"/>
              </w:rPr>
              <w:t xml:space="preserve">File</w:t>
            </w:r>
          </w:p>
        </w:tc>
        <w:tc>
          <w:tcPr>
            <w:tcW w:type="dxa" w:w="1498"/>
            <w:shd w:fill="E8EDF5" w:val="clear"/>
            <w:tcMar>
              <w:top w:type="dxa" w:w="60"/>
              <w:left w:type="dxa" w:w="90"/>
              <w:bottom w:type="dxa" w:w="60"/>
              <w:right w:type="dxa" w:w="90"/>
            </w:tcMar>
          </w:tcPr>
          <w:p>
            <w:pPr>
              <w:spacing w:after="0"/>
            </w:pPr>
            <w:r>
              <w:rPr>
                <w:b/>
                <w:bCs/>
                <w:sz w:val="19"/>
                <w:szCs w:val="19"/>
              </w:rPr>
              <w:t xml:space="preserve">Raw rows</w:t>
            </w:r>
          </w:p>
        </w:tc>
        <w:tc>
          <w:tcPr>
            <w:tcW w:type="dxa" w:w="2246"/>
            <w:shd w:fill="E8EDF5" w:val="clear"/>
            <w:tcMar>
              <w:top w:type="dxa" w:w="60"/>
              <w:left w:type="dxa" w:w="90"/>
              <w:bottom w:type="dxa" w:w="60"/>
              <w:right w:type="dxa" w:w="90"/>
            </w:tcMar>
          </w:tcPr>
          <w:p>
            <w:pPr>
              <w:spacing w:after="0"/>
            </w:pPr>
            <w:r>
              <w:rPr>
                <w:b/>
                <w:bCs/>
                <w:sz w:val="19"/>
                <w:szCs w:val="19"/>
              </w:rPr>
              <w:t xml:space="preserve">After Day 1</w:t>
            </w:r>
          </w:p>
        </w:tc>
        <w:tc>
          <w:tcPr>
            <w:tcW w:type="dxa" w:w="1685"/>
            <w:shd w:fill="E8EDF5" w:val="clear"/>
            <w:tcMar>
              <w:top w:type="dxa" w:w="60"/>
              <w:left w:type="dxa" w:w="90"/>
              <w:bottom w:type="dxa" w:w="60"/>
              <w:right w:type="dxa" w:w="90"/>
            </w:tcMar>
          </w:tcPr>
          <w:p>
            <w:pPr>
              <w:spacing w:after="0"/>
            </w:pPr>
            <w:r>
              <w:rPr>
                <w:b/>
                <w:bCs/>
                <w:sz w:val="19"/>
                <w:szCs w:val="19"/>
              </w:rPr>
              <w:t xml:space="preserve">Primary key</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project_1_rtt/patients.csv</w:t>
            </w:r>
          </w:p>
        </w:tc>
        <w:tc>
          <w:tcPr>
            <w:tcW w:type="dxa" w:w="1498"/>
            <w:tcMar>
              <w:top w:type="dxa" w:w="60"/>
              <w:left w:type="dxa" w:w="90"/>
              <w:bottom w:type="dxa" w:w="60"/>
              <w:right w:type="dxa" w:w="90"/>
            </w:tcMar>
          </w:tcPr>
          <w:p>
            <w:pPr>
              <w:spacing w:after="0"/>
            </w:pPr>
            <w:r>
              <w:rPr>
                <w:b w:val="false"/>
                <w:bCs w:val="false"/>
                <w:sz w:val="19"/>
                <w:szCs w:val="19"/>
              </w:rPr>
              <w:t xml:space="preserve">909</w:t>
            </w:r>
          </w:p>
        </w:tc>
        <w:tc>
          <w:tcPr>
            <w:tcW w:type="dxa" w:w="2246"/>
            <w:tcMar>
              <w:top w:type="dxa" w:w="60"/>
              <w:left w:type="dxa" w:w="90"/>
              <w:bottom w:type="dxa" w:w="60"/>
              <w:right w:type="dxa" w:w="90"/>
            </w:tcMar>
          </w:tcPr>
          <w:p>
            <w:pPr>
              <w:spacing w:after="0"/>
            </w:pPr>
            <w:r>
              <w:rPr>
                <w:b w:val="false"/>
                <w:bCs w:val="false"/>
                <w:sz w:val="19"/>
                <w:szCs w:val="19"/>
              </w:rPr>
              <w:t xml:space="preserve">900</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patient_id</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project_1_rtt/clinics.csv</w:t>
            </w:r>
          </w:p>
        </w:tc>
        <w:tc>
          <w:tcPr>
            <w:tcW w:type="dxa" w:w="1498"/>
            <w:tcMar>
              <w:top w:type="dxa" w:w="60"/>
              <w:left w:type="dxa" w:w="90"/>
              <w:bottom w:type="dxa" w:w="60"/>
              <w:right w:type="dxa" w:w="90"/>
            </w:tcMar>
          </w:tcPr>
          <w:p>
            <w:pPr>
              <w:spacing w:after="0"/>
            </w:pPr>
            <w:r>
              <w:rPr>
                <w:b w:val="false"/>
                <w:bCs w:val="false"/>
                <w:sz w:val="19"/>
                <w:szCs w:val="19"/>
              </w:rPr>
              <w:t xml:space="preserve">21</w:t>
            </w:r>
          </w:p>
        </w:tc>
        <w:tc>
          <w:tcPr>
            <w:tcW w:type="dxa" w:w="2246"/>
            <w:tcMar>
              <w:top w:type="dxa" w:w="60"/>
              <w:left w:type="dxa" w:w="90"/>
              <w:bottom w:type="dxa" w:w="60"/>
              <w:right w:type="dxa" w:w="90"/>
            </w:tcMar>
          </w:tcPr>
          <w:p>
            <w:pPr>
              <w:spacing w:after="0"/>
            </w:pPr>
            <w:r>
              <w:rPr>
                <w:b w:val="false"/>
                <w:bCs w:val="false"/>
                <w:sz w:val="19"/>
                <w:szCs w:val="19"/>
              </w:rPr>
              <w:t xml:space="preserve">21</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clinic_id</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project_1_rtt/rtt_pathways.csv</w:t>
            </w:r>
          </w:p>
        </w:tc>
        <w:tc>
          <w:tcPr>
            <w:tcW w:type="dxa" w:w="1498"/>
            <w:tcMar>
              <w:top w:type="dxa" w:w="60"/>
              <w:left w:type="dxa" w:w="90"/>
              <w:bottom w:type="dxa" w:w="60"/>
              <w:right w:type="dxa" w:w="90"/>
            </w:tcMar>
          </w:tcPr>
          <w:p>
            <w:pPr>
              <w:spacing w:after="0"/>
            </w:pPr>
            <w:r>
              <w:rPr>
                <w:b w:val="false"/>
                <w:bCs w:val="false"/>
                <w:sz w:val="19"/>
                <w:szCs w:val="19"/>
              </w:rPr>
              <w:t xml:space="preserve">3,057</w:t>
            </w:r>
          </w:p>
        </w:tc>
        <w:tc>
          <w:tcPr>
            <w:tcW w:type="dxa" w:w="2246"/>
            <w:tcMar>
              <w:top w:type="dxa" w:w="60"/>
              <w:left w:type="dxa" w:w="90"/>
              <w:bottom w:type="dxa" w:w="60"/>
              <w:right w:type="dxa" w:w="90"/>
            </w:tcMar>
          </w:tcPr>
          <w:p>
            <w:pPr>
              <w:spacing w:after="0"/>
            </w:pPr>
            <w:r>
              <w:rPr>
                <w:b w:val="false"/>
                <w:bCs w:val="false"/>
                <w:sz w:val="19"/>
                <w:szCs w:val="19"/>
              </w:rPr>
              <w:t xml:space="preserve">3,000</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pathway_id</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project_2_ed_flow/wards.csv</w:t>
            </w:r>
          </w:p>
        </w:tc>
        <w:tc>
          <w:tcPr>
            <w:tcW w:type="dxa" w:w="1498"/>
            <w:tcMar>
              <w:top w:type="dxa" w:w="60"/>
              <w:left w:type="dxa" w:w="90"/>
              <w:bottom w:type="dxa" w:w="60"/>
              <w:right w:type="dxa" w:w="90"/>
            </w:tcMar>
          </w:tcPr>
          <w:p>
            <w:pPr>
              <w:spacing w:after="0"/>
            </w:pPr>
            <w:r>
              <w:rPr>
                <w:b w:val="false"/>
                <w:bCs w:val="false"/>
                <w:sz w:val="19"/>
                <w:szCs w:val="19"/>
              </w:rPr>
              <w:t xml:space="preserve">8</w:t>
            </w:r>
          </w:p>
        </w:tc>
        <w:tc>
          <w:tcPr>
            <w:tcW w:type="dxa" w:w="2246"/>
            <w:tcMar>
              <w:top w:type="dxa" w:w="60"/>
              <w:left w:type="dxa" w:w="90"/>
              <w:bottom w:type="dxa" w:w="60"/>
              <w:right w:type="dxa" w:w="90"/>
            </w:tcMar>
          </w:tcPr>
          <w:p>
            <w:pPr>
              <w:spacing w:after="0"/>
            </w:pPr>
            <w:r>
              <w:rPr>
                <w:b w:val="false"/>
                <w:bCs w:val="false"/>
                <w:sz w:val="19"/>
                <w:szCs w:val="19"/>
              </w:rPr>
              <w:t xml:space="preserve">8</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ward_id</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project_2_ed_flow/hospital_beds.csv</w:t>
            </w:r>
          </w:p>
        </w:tc>
        <w:tc>
          <w:tcPr>
            <w:tcW w:type="dxa" w:w="1498"/>
            <w:tcMar>
              <w:top w:type="dxa" w:w="60"/>
              <w:left w:type="dxa" w:w="90"/>
              <w:bottom w:type="dxa" w:w="60"/>
              <w:right w:type="dxa" w:w="90"/>
            </w:tcMar>
          </w:tcPr>
          <w:p>
            <w:pPr>
              <w:spacing w:after="0"/>
            </w:pPr>
            <w:r>
              <w:rPr>
                <w:b w:val="false"/>
                <w:bCs w:val="false"/>
                <w:sz w:val="19"/>
                <w:szCs w:val="19"/>
              </w:rPr>
              <w:t xml:space="preserve">145</w:t>
            </w:r>
          </w:p>
        </w:tc>
        <w:tc>
          <w:tcPr>
            <w:tcW w:type="dxa" w:w="2246"/>
            <w:tcMar>
              <w:top w:type="dxa" w:w="60"/>
              <w:left w:type="dxa" w:w="90"/>
              <w:bottom w:type="dxa" w:w="60"/>
              <w:right w:type="dxa" w:w="90"/>
            </w:tcMar>
          </w:tcPr>
          <w:p>
            <w:pPr>
              <w:spacing w:after="0"/>
            </w:pPr>
            <w:r>
              <w:rPr>
                <w:b w:val="false"/>
                <w:bCs w:val="false"/>
                <w:sz w:val="19"/>
                <w:szCs w:val="19"/>
              </w:rPr>
              <w:t xml:space="preserve">144</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bed_id</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project_2_ed_flow/ed_attendance_events.csv</w:t>
            </w:r>
          </w:p>
        </w:tc>
        <w:tc>
          <w:tcPr>
            <w:tcW w:type="dxa" w:w="1498"/>
            <w:tcMar>
              <w:top w:type="dxa" w:w="60"/>
              <w:left w:type="dxa" w:w="90"/>
              <w:bottom w:type="dxa" w:w="60"/>
              <w:right w:type="dxa" w:w="90"/>
            </w:tcMar>
          </w:tcPr>
          <w:p>
            <w:pPr>
              <w:spacing w:after="0"/>
            </w:pPr>
            <w:r>
              <w:rPr>
                <w:b w:val="false"/>
                <w:bCs w:val="false"/>
                <w:sz w:val="19"/>
                <w:szCs w:val="19"/>
              </w:rPr>
              <w:t xml:space="preserve">1,317</w:t>
            </w:r>
          </w:p>
        </w:tc>
        <w:tc>
          <w:tcPr>
            <w:tcW w:type="dxa" w:w="2246"/>
            <w:tcMar>
              <w:top w:type="dxa" w:w="60"/>
              <w:left w:type="dxa" w:w="90"/>
              <w:bottom w:type="dxa" w:w="60"/>
              <w:right w:type="dxa" w:w="90"/>
            </w:tcMar>
          </w:tcPr>
          <w:p>
            <w:pPr>
              <w:spacing w:after="0"/>
            </w:pPr>
            <w:r>
              <w:rPr>
                <w:b w:val="false"/>
                <w:bCs w:val="false"/>
                <w:sz w:val="19"/>
                <w:szCs w:val="19"/>
              </w:rPr>
              <w:t xml:space="preserve">420 attendances</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event_id</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project_3_virtual_ward/inpatient_admissions.csv</w:t>
            </w:r>
          </w:p>
        </w:tc>
        <w:tc>
          <w:tcPr>
            <w:tcW w:type="dxa" w:w="1498"/>
            <w:tcMar>
              <w:top w:type="dxa" w:w="60"/>
              <w:left w:type="dxa" w:w="90"/>
              <w:bottom w:type="dxa" w:w="60"/>
              <w:right w:type="dxa" w:w="90"/>
            </w:tcMar>
          </w:tcPr>
          <w:p>
            <w:pPr>
              <w:spacing w:after="0"/>
            </w:pPr>
            <w:r>
              <w:rPr>
                <w:b w:val="false"/>
                <w:bCs w:val="false"/>
                <w:sz w:val="19"/>
                <w:szCs w:val="19"/>
              </w:rPr>
              <w:t xml:space="preserve">231</w:t>
            </w:r>
          </w:p>
        </w:tc>
        <w:tc>
          <w:tcPr>
            <w:tcW w:type="dxa" w:w="2246"/>
            <w:tcMar>
              <w:top w:type="dxa" w:w="60"/>
              <w:left w:type="dxa" w:w="90"/>
              <w:bottom w:type="dxa" w:w="60"/>
              <w:right w:type="dxa" w:w="90"/>
            </w:tcMar>
          </w:tcPr>
          <w:p>
            <w:pPr>
              <w:spacing w:after="0"/>
            </w:pPr>
            <w:r>
              <w:rPr>
                <w:b w:val="false"/>
                <w:bCs w:val="false"/>
                <w:sz w:val="19"/>
                <w:szCs w:val="19"/>
              </w:rPr>
              <w:t xml:space="preserve">220</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admission_id</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project_3_virtual_ward/virtual_ward_beds.csv</w:t>
            </w:r>
          </w:p>
        </w:tc>
        <w:tc>
          <w:tcPr>
            <w:tcW w:type="dxa" w:w="1498"/>
            <w:tcMar>
              <w:top w:type="dxa" w:w="60"/>
              <w:left w:type="dxa" w:w="90"/>
              <w:bottom w:type="dxa" w:w="60"/>
              <w:right w:type="dxa" w:w="90"/>
            </w:tcMar>
          </w:tcPr>
          <w:p>
            <w:pPr>
              <w:spacing w:after="0"/>
            </w:pPr>
            <w:r>
              <w:rPr>
                <w:b w:val="false"/>
                <w:bCs w:val="false"/>
                <w:sz w:val="19"/>
                <w:szCs w:val="19"/>
              </w:rPr>
              <w:t xml:space="preserve">44</w:t>
            </w:r>
          </w:p>
        </w:tc>
        <w:tc>
          <w:tcPr>
            <w:tcW w:type="dxa" w:w="2246"/>
            <w:tcMar>
              <w:top w:type="dxa" w:w="60"/>
              <w:left w:type="dxa" w:w="90"/>
              <w:bottom w:type="dxa" w:w="60"/>
              <w:right w:type="dxa" w:w="90"/>
            </w:tcMar>
          </w:tcPr>
          <w:p>
            <w:pPr>
              <w:spacing w:after="0"/>
            </w:pPr>
            <w:r>
              <w:rPr>
                <w:b w:val="false"/>
                <w:bCs w:val="false"/>
                <w:sz w:val="19"/>
                <w:szCs w:val="19"/>
              </w:rPr>
              <w:t xml:space="preserve">44</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virtual_bed_id</w:t>
            </w:r>
          </w:p>
        </w:tc>
      </w:tr>
      <w:tr>
        <w:tc>
          <w:tcPr>
            <w:tcW w:type="dxa" w:w="393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project_3_virtual_ward/telemetry_readings.csv</w:t>
            </w:r>
          </w:p>
        </w:tc>
        <w:tc>
          <w:tcPr>
            <w:tcW w:type="dxa" w:w="1498"/>
            <w:tcMar>
              <w:top w:type="dxa" w:w="60"/>
              <w:left w:type="dxa" w:w="90"/>
              <w:bottom w:type="dxa" w:w="60"/>
              <w:right w:type="dxa" w:w="90"/>
            </w:tcMar>
          </w:tcPr>
          <w:p>
            <w:pPr>
              <w:spacing w:after="0"/>
            </w:pPr>
            <w:r>
              <w:rPr>
                <w:b w:val="false"/>
                <w:bCs w:val="false"/>
                <w:sz w:val="19"/>
                <w:szCs w:val="19"/>
              </w:rPr>
              <w:t xml:space="preserve">21,288</w:t>
            </w:r>
          </w:p>
        </w:tc>
        <w:tc>
          <w:tcPr>
            <w:tcW w:type="dxa" w:w="2246"/>
            <w:tcMar>
              <w:top w:type="dxa" w:w="60"/>
              <w:left w:type="dxa" w:w="90"/>
              <w:bottom w:type="dxa" w:w="60"/>
              <w:right w:type="dxa" w:w="90"/>
            </w:tcMar>
          </w:tcPr>
          <w:p>
            <w:pPr>
              <w:spacing w:after="0"/>
            </w:pPr>
            <w:r>
              <w:rPr>
                <w:b w:val="false"/>
                <w:bCs w:val="false"/>
                <w:sz w:val="19"/>
                <w:szCs w:val="19"/>
              </w:rPr>
              <w:t xml:space="preserve">20,093 valid</w:t>
            </w:r>
          </w:p>
        </w:tc>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reading_id</w:t>
            </w:r>
          </w:p>
        </w:tc>
      </w:tr>
    </w:tbl>
    <w:p>
      <w:pPr>
        <w:spacing w:after="160"/>
      </w:pPr>
    </w:p>
    <w:p>
      <w:pPr>
        <w:pStyle w:val="Heading2"/>
        <w:spacing w:after="120" w:before="260"/>
      </w:pPr>
      <w:r>
        <w:t xml:space="preserve">Defects present in every project</w:t>
      </w:r>
    </w:p>
    <w:p>
      <w:pPr>
        <w:spacing w:after="120"/>
      </w:pPr>
      <w:r>
        <w:t xml:space="preserve">The data is dirty by design. Day 1 is a real cleaning day in all three projects, and the defects are the same ones, so a trainee who moves between projects is not relearning the cleaning.</w:t>
      </w:r>
    </w:p>
    <w:p>
      <w:pPr>
        <w:pStyle w:val="ListParagraph"/>
        <w:numPr>
          <w:ilvl w:val="0"/>
          <w:numId w:val="2"/>
        </w:numPr>
        <w:spacing w:after="60"/>
      </w:pPr>
      <w:r>
        <w:t xml:space="preserve">Byte-identical duplicate rows; blank and whitespace-padded primary keys.</w:t>
      </w:r>
    </w:p>
    <w:p>
      <w:pPr>
        <w:pStyle w:val="ListParagraph"/>
        <w:numPr>
          <w:ilvl w:val="0"/>
          <w:numId w:val="2"/>
        </w:numPr>
        <w:spacing w:after="60"/>
      </w:pPr>
      <w:r>
        <w:t xml:space="preserve">Inconsistent categorical casing — </w:t>
      </w:r>
      <w:r>
        <w:rPr>
          <w:rFonts w:ascii="Consolas" w:cs="Consolas" w:eastAsia="Consolas" w:hAnsi="Consolas"/>
          <w:sz w:val="19"/>
          <w:szCs w:val="19"/>
        </w:rPr>
        <w:t xml:space="preserve">clock_status</w:t>
      </w:r>
      <w:r>
        <w:t xml:space="preserve">, </w:t>
      </w:r>
      <w:r>
        <w:rPr>
          <w:rFonts w:ascii="Consolas" w:cs="Consolas" w:eastAsia="Consolas" w:hAnsi="Consolas"/>
          <w:sz w:val="19"/>
          <w:szCs w:val="19"/>
        </w:rPr>
        <w:t xml:space="preserve">hospital_site_code</w:t>
      </w:r>
      <w:r>
        <w:t xml:space="preserve">, </w:t>
      </w:r>
      <w:r>
        <w:rPr>
          <w:rFonts w:ascii="Consolas" w:cs="Consolas" w:eastAsia="Consolas" w:hAnsi="Consolas"/>
          <w:sz w:val="19"/>
          <w:szCs w:val="19"/>
        </w:rPr>
        <w:t xml:space="preserve">care_pathway</w:t>
      </w:r>
      <w:r>
        <w:t xml:space="preserve">, </w:t>
      </w:r>
      <w:r>
        <w:rPr>
          <w:rFonts w:ascii="Consolas" w:cs="Consolas" w:eastAsia="Consolas" w:hAnsi="Consolas"/>
          <w:sz w:val="19"/>
          <w:szCs w:val="19"/>
        </w:rPr>
        <w:t xml:space="preserve">mobility_status</w:t>
      </w:r>
      <w:r>
        <w:t xml:space="preserve">, bed </w:t>
      </w:r>
      <w:r>
        <w:rPr>
          <w:rFonts w:ascii="Consolas" w:cs="Consolas" w:eastAsia="Consolas" w:hAnsi="Consolas"/>
          <w:sz w:val="19"/>
          <w:szCs w:val="19"/>
        </w:rPr>
        <w:t xml:space="preserve">status</w:t>
      </w:r>
      <w:r>
        <w:t xml:space="preserve">.</w:t>
      </w:r>
    </w:p>
    <w:p>
      <w:pPr>
        <w:pStyle w:val="ListParagraph"/>
        <w:numPr>
          <w:ilvl w:val="0"/>
          <w:numId w:val="2"/>
        </w:numPr>
        <w:spacing w:after="60"/>
      </w:pPr>
      <w:r>
        <w:t xml:space="preserve">Null categoricals requiring a documented default.</w:t>
      </w:r>
    </w:p>
    <w:p>
      <w:pPr>
        <w:pStyle w:val="ListParagraph"/>
        <w:numPr>
          <w:ilvl w:val="0"/>
          <w:numId w:val="2"/>
        </w:numPr>
        <w:spacing w:after="60"/>
      </w:pPr>
      <w:r>
        <w:t xml:space="preserve">Mixed timestamp formats in the ED event stream: ISO with a </w:t>
      </w:r>
      <w:r>
        <w:rPr>
          <w:rFonts w:ascii="Consolas" w:cs="Consolas" w:eastAsia="Consolas" w:hAnsi="Consolas"/>
          <w:sz w:val="19"/>
          <w:szCs w:val="19"/>
        </w:rPr>
        <w:t xml:space="preserve">T</w:t>
      </w:r>
      <w:r>
        <w:t xml:space="preserve">, and space-separated.</w:t>
      </w:r>
    </w:p>
    <w:p>
      <w:pPr>
        <w:pStyle w:val="ListParagraph"/>
        <w:numPr>
          <w:ilvl w:val="0"/>
          <w:numId w:val="2"/>
        </w:numPr>
        <w:spacing w:after="60"/>
      </w:pPr>
      <w:r>
        <w:t xml:space="preserve">Telemetry sensor dropouts (</w:t>
      </w:r>
      <w:r>
        <w:rPr>
          <w:rFonts w:ascii="Consolas" w:cs="Consolas" w:eastAsia="Consolas" w:hAnsi="Consolas"/>
          <w:sz w:val="19"/>
          <w:szCs w:val="19"/>
        </w:rPr>
        <w:t xml:space="preserve">0</w:t>
      </w:r>
      <w:r>
        <w:t xml:space="preserve">, </w:t>
      </w:r>
      <w:r>
        <w:rPr>
          <w:rFonts w:ascii="Consolas" w:cs="Consolas" w:eastAsia="Consolas" w:hAnsi="Consolas"/>
          <w:sz w:val="19"/>
          <w:szCs w:val="19"/>
        </w:rPr>
        <w:t xml:space="preserve">-1</w:t>
      </w:r>
      <w:r>
        <w:t xml:space="preserve">, null) and physiologically impossible values.</w:t>
      </w:r>
    </w:p>
    <w:p>
      <w:pPr>
        <w:pStyle w:val="ListParagraph"/>
        <w:numPr>
          <w:ilvl w:val="0"/>
          <w:numId w:val="2"/>
        </w:numPr>
        <w:spacing w:after="60"/>
      </w:pPr>
      <w:r>
        <w:rPr>
          <w:b/>
          <w:bCs/>
        </w:rPr>
        <w:t xml:space="preserve">Stale precomputed flags.</w:t>
      </w:r>
      <w:r>
        <w:t xml:space="preserve"> </w:t>
      </w:r>
      <w:r>
        <w:rPr>
          <w:rFonts w:ascii="Consolas" w:cs="Consolas" w:eastAsia="Consolas" w:hAnsi="Consolas"/>
          <w:sz w:val="19"/>
          <w:szCs w:val="19"/>
        </w:rPr>
        <w:t xml:space="preserve">is_breached</w:t>
      </w:r>
      <w:r>
        <w:t xml:space="preserve"> and </w:t>
      </w:r>
      <w:r>
        <w:rPr>
          <w:rFonts w:ascii="Consolas" w:cs="Consolas" w:eastAsia="Consolas" w:hAnsi="Consolas"/>
          <w:sz w:val="19"/>
          <w:szCs w:val="19"/>
        </w:rPr>
        <w:t xml:space="preserve">news2_cached</w:t>
      </w:r>
      <w:r>
        <w:t xml:space="preserve"> were written by an upstream system at an earlier moment and never revised. </w:t>
      </w:r>
      <w:r>
        <w:rPr>
          <w:rFonts w:ascii="Consolas" w:cs="Consolas" w:eastAsia="Consolas" w:hAnsi="Consolas"/>
          <w:sz w:val="19"/>
          <w:szCs w:val="19"/>
        </w:rPr>
        <w:t xml:space="preserve">is_breached</w:t>
      </w:r>
      <w:r>
        <w:t xml:space="preserve"> disagrees with the clock on 154 of 2,549 active pathways; </w:t>
      </w:r>
      <w:r>
        <w:rPr>
          <w:rFonts w:ascii="Consolas" w:cs="Consolas" w:eastAsia="Consolas" w:hAnsi="Consolas"/>
          <w:sz w:val="19"/>
          <w:szCs w:val="19"/>
        </w:rPr>
        <w:t xml:space="preserve">news2_cached</w:t>
      </w:r>
      <w:r>
        <w:t xml:space="preserve"> disagrees with the live score on 174 of 220 admissions. Recompute both. Carrying them through produces a green pipeline and a confidently wrong answer.</w:t>
      </w:r>
    </w:p>
    <w:p>
      <w:pPr>
        <w:pStyle w:val="ListParagraph"/>
        <w:numPr>
          <w:ilvl w:val="0"/>
          <w:numId w:val="2"/>
        </w:numPr>
        <w:spacing w:after="60"/>
      </w:pPr>
      <w:r>
        <w:rPr>
          <w:b/>
          <w:bCs/>
        </w:rPr>
        <w:t xml:space="preserve">The ED feed is a change-data-capture event stream</w:t>
      </w:r>
      <w:r>
        <w:t xml:space="preserve">, two to four rows per attendance, shuffled. </w:t>
      </w:r>
      <w:r>
        <w:rPr>
          <w:rFonts w:ascii="Consolas" w:cs="Consolas" w:eastAsia="Consolas" w:hAnsi="Consolas"/>
          <w:sz w:val="19"/>
          <w:szCs w:val="19"/>
        </w:rPr>
        <w:t xml:space="preserve">arrival_timestamp</w:t>
      </w:r>
      <w:r>
        <w:t xml:space="preserve"> is constant within an attendance; </w:t>
      </w:r>
      <w:r>
        <w:rPr>
          <w:rFonts w:ascii="Consolas" w:cs="Consolas" w:eastAsia="Consolas" w:hAnsi="Consolas"/>
          <w:sz w:val="19"/>
          <w:szCs w:val="19"/>
        </w:rPr>
        <w:t xml:space="preserve">event_timestamp</w:t>
      </w:r>
      <w:r>
        <w:t xml:space="preserve"> is not. Resolving on the wrong key gets 62.9% of dispositions wrong with the correct row count and a plausible-looking result.</w:t>
      </w:r>
    </w:p>
    <w:p>
      <w:pPr>
        <w:pStyle w:val="Heading2"/>
        <w:spacing w:after="120" w:before="260"/>
      </w:pPr>
      <w:r>
        <w:t xml:space="preserve">Object counts, and why they matter</w:t>
      </w:r>
    </w:p>
    <w:p>
      <w:pPr>
        <w:spacing w:after="120"/>
      </w:pPr>
      <w:r>
        <w:t xml:space="preserve">These are the counts after Day 1 cleaning. The right-hand column is the one that decides whether a Workshop derived property will sort — see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4680"/>
      </w:tblGrid>
      <w:tr>
        <w:trPr>
          <w:tblHeader/>
        </w:trPr>
        <w:tc>
          <w:tcPr>
            <w:tcW w:type="dxa" w:w="3182"/>
            <w:shd w:fill="E8EDF5" w:val="clear"/>
            <w:tcMar>
              <w:top w:type="dxa" w:w="60"/>
              <w:left w:type="dxa" w:w="90"/>
              <w:bottom w:type="dxa" w:w="60"/>
              <w:right w:type="dxa" w:w="90"/>
            </w:tcMar>
          </w:tcPr>
          <w:p>
            <w:pPr>
              <w:spacing w:after="0"/>
            </w:pPr>
            <w:r>
              <w:rPr>
                <w:b/>
                <w:bCs/>
                <w:sz w:val="19"/>
                <w:szCs w:val="19"/>
              </w:rPr>
              <w:t xml:space="preserve">Object type</w:t>
            </w:r>
          </w:p>
        </w:tc>
        <w:tc>
          <w:tcPr>
            <w:tcW w:type="dxa" w:w="1498"/>
            <w:shd w:fill="E8EDF5" w:val="clear"/>
            <w:tcMar>
              <w:top w:type="dxa" w:w="60"/>
              <w:left w:type="dxa" w:w="90"/>
              <w:bottom w:type="dxa" w:w="60"/>
              <w:right w:type="dxa" w:w="90"/>
            </w:tcMar>
          </w:tcPr>
          <w:p>
            <w:pPr>
              <w:spacing w:after="0"/>
            </w:pPr>
            <w:r>
              <w:rPr>
                <w:b/>
                <w:bCs/>
                <w:sz w:val="19"/>
                <w:szCs w:val="19"/>
              </w:rPr>
              <w:t xml:space="preserve">Count</w:t>
            </w:r>
          </w:p>
        </w:tc>
        <w:tc>
          <w:tcPr>
            <w:tcW w:type="dxa" w:w="4680"/>
            <w:shd w:fill="E8EDF5" w:val="clear"/>
            <w:tcMar>
              <w:top w:type="dxa" w:w="60"/>
              <w:left w:type="dxa" w:w="90"/>
              <w:bottom w:type="dxa" w:w="60"/>
              <w:right w:type="dxa" w:w="90"/>
            </w:tcMar>
          </w:tcPr>
          <w:p>
            <w:pPr>
              <w:spacing w:after="0"/>
            </w:pPr>
            <w:r>
              <w:rPr>
                <w:b/>
                <w:bCs/>
                <w:sz w:val="19"/>
                <w:szCs w:val="19"/>
              </w:rPr>
              <w:t xml:space="preserve">Under the 200-row sort cap?</w:t>
            </w:r>
          </w:p>
        </w:tc>
      </w:tr>
      <w:tr>
        <w:tc>
          <w:tcPr>
            <w:tcW w:type="dxa" w:w="3182"/>
            <w:tcMar>
              <w:top w:type="dxa" w:w="60"/>
              <w:left w:type="dxa" w:w="90"/>
              <w:bottom w:type="dxa" w:w="60"/>
              <w:right w:type="dxa" w:w="90"/>
            </w:tcMar>
          </w:tcPr>
          <w:p>
            <w:pPr>
              <w:spacing w:after="0"/>
            </w:pPr>
            <w:r>
              <w:rPr>
                <w:b w:val="false"/>
                <w:bCs w:val="false"/>
                <w:sz w:val="19"/>
                <w:szCs w:val="19"/>
              </w:rPr>
              <w:t xml:space="preserve">Ward</w:t>
            </w:r>
          </w:p>
        </w:tc>
        <w:tc>
          <w:tcPr>
            <w:tcW w:type="dxa" w:w="1498"/>
            <w:tcMar>
              <w:top w:type="dxa" w:w="60"/>
              <w:left w:type="dxa" w:w="90"/>
              <w:bottom w:type="dxa" w:w="60"/>
              <w:right w:type="dxa" w:w="90"/>
            </w:tcMar>
          </w:tcPr>
          <w:p>
            <w:pPr>
              <w:spacing w:after="0"/>
            </w:pPr>
            <w:r>
              <w:rPr>
                <w:b w:val="false"/>
                <w:bCs w:val="false"/>
                <w:sz w:val="19"/>
                <w:szCs w:val="19"/>
              </w:rPr>
              <w:t xml:space="preserve">8</w:t>
            </w:r>
          </w:p>
        </w:tc>
        <w:tc>
          <w:tcPr>
            <w:tcW w:type="dxa" w:w="4680"/>
            <w:tcMar>
              <w:top w:type="dxa" w:w="60"/>
              <w:left w:type="dxa" w:w="90"/>
              <w:bottom w:type="dxa" w:w="60"/>
              <w:right w:type="dxa" w:w="90"/>
            </w:tcMar>
          </w:tcPr>
          <w:p>
            <w:pPr>
              <w:spacing w:after="0"/>
            </w:pPr>
            <w:r>
              <w:rPr>
                <w:b w:val="false"/>
                <w:bCs w:val="false"/>
                <w:sz w:val="19"/>
                <w:szCs w:val="19"/>
              </w:rPr>
              <w:t xml:space="preserve">Yes</w:t>
            </w:r>
          </w:p>
        </w:tc>
      </w:tr>
      <w:tr>
        <w:tc>
          <w:tcPr>
            <w:tcW w:type="dxa" w:w="3182"/>
            <w:tcMar>
              <w:top w:type="dxa" w:w="60"/>
              <w:left w:type="dxa" w:w="90"/>
              <w:bottom w:type="dxa" w:w="60"/>
              <w:right w:type="dxa" w:w="90"/>
            </w:tcMar>
          </w:tcPr>
          <w:p>
            <w:pPr>
              <w:spacing w:after="0"/>
            </w:pPr>
            <w:r>
              <w:rPr>
                <w:b w:val="false"/>
                <w:bCs w:val="false"/>
                <w:sz w:val="19"/>
                <w:szCs w:val="19"/>
              </w:rPr>
              <w:t xml:space="preserve">Clinic</w:t>
            </w:r>
          </w:p>
        </w:tc>
        <w:tc>
          <w:tcPr>
            <w:tcW w:type="dxa" w:w="1498"/>
            <w:tcMar>
              <w:top w:type="dxa" w:w="60"/>
              <w:left w:type="dxa" w:w="90"/>
              <w:bottom w:type="dxa" w:w="60"/>
              <w:right w:type="dxa" w:w="90"/>
            </w:tcMar>
          </w:tcPr>
          <w:p>
            <w:pPr>
              <w:spacing w:after="0"/>
            </w:pPr>
            <w:r>
              <w:rPr>
                <w:b w:val="false"/>
                <w:bCs w:val="false"/>
                <w:sz w:val="19"/>
                <w:szCs w:val="19"/>
              </w:rPr>
              <w:t xml:space="preserve">21</w:t>
            </w:r>
          </w:p>
        </w:tc>
        <w:tc>
          <w:tcPr>
            <w:tcW w:type="dxa" w:w="4680"/>
            <w:tcMar>
              <w:top w:type="dxa" w:w="60"/>
              <w:left w:type="dxa" w:w="90"/>
              <w:bottom w:type="dxa" w:w="60"/>
              <w:right w:type="dxa" w:w="90"/>
            </w:tcMar>
          </w:tcPr>
          <w:p>
            <w:pPr>
              <w:spacing w:after="0"/>
            </w:pPr>
            <w:r>
              <w:rPr>
                <w:b w:val="false"/>
                <w:bCs w:val="false"/>
                <w:sz w:val="19"/>
                <w:szCs w:val="19"/>
              </w:rPr>
              <w:t xml:space="preserve">Yes</w:t>
            </w:r>
          </w:p>
        </w:tc>
      </w:tr>
      <w:tr>
        <w:tc>
          <w:tcPr>
            <w:tcW w:type="dxa" w:w="3182"/>
            <w:tcMar>
              <w:top w:type="dxa" w:w="60"/>
              <w:left w:type="dxa" w:w="90"/>
              <w:bottom w:type="dxa" w:w="60"/>
              <w:right w:type="dxa" w:w="90"/>
            </w:tcMar>
          </w:tcPr>
          <w:p>
            <w:pPr>
              <w:spacing w:after="0"/>
            </w:pPr>
            <w:r>
              <w:rPr>
                <w:b w:val="false"/>
                <w:bCs w:val="false"/>
                <w:sz w:val="19"/>
                <w:szCs w:val="19"/>
              </w:rPr>
              <w:t xml:space="preserve">Virtual Ward Bed</w:t>
            </w:r>
          </w:p>
        </w:tc>
        <w:tc>
          <w:tcPr>
            <w:tcW w:type="dxa" w:w="1498"/>
            <w:tcMar>
              <w:top w:type="dxa" w:w="60"/>
              <w:left w:type="dxa" w:w="90"/>
              <w:bottom w:type="dxa" w:w="60"/>
              <w:right w:type="dxa" w:w="90"/>
            </w:tcMar>
          </w:tcPr>
          <w:p>
            <w:pPr>
              <w:spacing w:after="0"/>
            </w:pPr>
            <w:r>
              <w:rPr>
                <w:b w:val="false"/>
                <w:bCs w:val="false"/>
                <w:sz w:val="19"/>
                <w:szCs w:val="19"/>
              </w:rPr>
              <w:t xml:space="preserve">44</w:t>
            </w:r>
          </w:p>
        </w:tc>
        <w:tc>
          <w:tcPr>
            <w:tcW w:type="dxa" w:w="4680"/>
            <w:tcMar>
              <w:top w:type="dxa" w:w="60"/>
              <w:left w:type="dxa" w:w="90"/>
              <w:bottom w:type="dxa" w:w="60"/>
              <w:right w:type="dxa" w:w="90"/>
            </w:tcMar>
          </w:tcPr>
          <w:p>
            <w:pPr>
              <w:spacing w:after="0"/>
            </w:pPr>
            <w:r>
              <w:rPr>
                <w:b w:val="false"/>
                <w:bCs w:val="false"/>
                <w:sz w:val="19"/>
                <w:szCs w:val="19"/>
              </w:rPr>
              <w:t xml:space="preserve">Yes</w:t>
            </w:r>
          </w:p>
        </w:tc>
      </w:tr>
      <w:tr>
        <w:tc>
          <w:tcPr>
            <w:tcW w:type="dxa" w:w="3182"/>
            <w:tcMar>
              <w:top w:type="dxa" w:w="60"/>
              <w:left w:type="dxa" w:w="90"/>
              <w:bottom w:type="dxa" w:w="60"/>
              <w:right w:type="dxa" w:w="90"/>
            </w:tcMar>
          </w:tcPr>
          <w:p>
            <w:pPr>
              <w:spacing w:after="0"/>
            </w:pPr>
            <w:r>
              <w:rPr>
                <w:b w:val="false"/>
                <w:bCs w:val="false"/>
                <w:sz w:val="19"/>
                <w:szCs w:val="19"/>
              </w:rPr>
              <w:t xml:space="preserve">Bed</w:t>
            </w:r>
          </w:p>
        </w:tc>
        <w:tc>
          <w:tcPr>
            <w:tcW w:type="dxa" w:w="1498"/>
            <w:tcMar>
              <w:top w:type="dxa" w:w="60"/>
              <w:left w:type="dxa" w:w="90"/>
              <w:bottom w:type="dxa" w:w="60"/>
              <w:right w:type="dxa" w:w="90"/>
            </w:tcMar>
          </w:tcPr>
          <w:p>
            <w:pPr>
              <w:spacing w:after="0"/>
            </w:pPr>
            <w:r>
              <w:rPr>
                <w:b w:val="false"/>
                <w:bCs w:val="false"/>
                <w:sz w:val="19"/>
                <w:szCs w:val="19"/>
              </w:rPr>
              <w:t xml:space="preserve">144</w:t>
            </w:r>
          </w:p>
        </w:tc>
        <w:tc>
          <w:tcPr>
            <w:tcW w:type="dxa" w:w="4680"/>
            <w:tcMar>
              <w:top w:type="dxa" w:w="60"/>
              <w:left w:type="dxa" w:w="90"/>
              <w:bottom w:type="dxa" w:w="60"/>
              <w:right w:type="dxa" w:w="90"/>
            </w:tcMar>
          </w:tcPr>
          <w:p>
            <w:pPr>
              <w:spacing w:after="0"/>
            </w:pPr>
            <w:r>
              <w:rPr>
                <w:b w:val="false"/>
                <w:bCs w:val="false"/>
                <w:sz w:val="19"/>
                <w:szCs w:val="19"/>
              </w:rPr>
              <w:t xml:space="preserve">Yes</w:t>
            </w:r>
          </w:p>
        </w:tc>
      </w:tr>
      <w:tr>
        <w:tc>
          <w:tcPr>
            <w:tcW w:type="dxa" w:w="3182"/>
            <w:tcMar>
              <w:top w:type="dxa" w:w="60"/>
              <w:left w:type="dxa" w:w="90"/>
              <w:bottom w:type="dxa" w:w="60"/>
              <w:right w:type="dxa" w:w="90"/>
            </w:tcMar>
          </w:tcPr>
          <w:p>
            <w:pPr>
              <w:spacing w:after="0"/>
            </w:pPr>
            <w:r>
              <w:rPr>
                <w:b w:val="false"/>
                <w:bCs w:val="false"/>
                <w:sz w:val="19"/>
                <w:szCs w:val="19"/>
              </w:rPr>
              <w:t xml:space="preserve">Inpatient Admission</w:t>
            </w:r>
          </w:p>
        </w:tc>
        <w:tc>
          <w:tcPr>
            <w:tcW w:type="dxa" w:w="1498"/>
            <w:tcMar>
              <w:top w:type="dxa" w:w="60"/>
              <w:left w:type="dxa" w:w="90"/>
              <w:bottom w:type="dxa" w:w="60"/>
              <w:right w:type="dxa" w:w="90"/>
            </w:tcMar>
          </w:tcPr>
          <w:p>
            <w:pPr>
              <w:spacing w:after="0"/>
            </w:pPr>
            <w:r>
              <w:rPr>
                <w:b w:val="false"/>
                <w:bCs w:val="false"/>
                <w:sz w:val="19"/>
                <w:szCs w:val="19"/>
              </w:rPr>
              <w:t xml:space="preserve">220</w:t>
            </w:r>
          </w:p>
        </w:tc>
        <w:tc>
          <w:tcPr>
            <w:tcW w:type="dxa" w:w="4680"/>
            <w:tcMar>
              <w:top w:type="dxa" w:w="60"/>
              <w:left w:type="dxa" w:w="90"/>
              <w:bottom w:type="dxa" w:w="60"/>
              <w:right w:type="dxa" w:w="90"/>
            </w:tcMar>
          </w:tcPr>
          <w:p>
            <w:pPr>
              <w:spacing w:after="0"/>
            </w:pPr>
            <w:r>
              <w:rPr>
                <w:b/>
                <w:bCs/>
                <w:sz w:val="19"/>
                <w:szCs w:val="19"/>
              </w:rPr>
              <w:t xml:space="preserve">No — 20 over.</w:t>
            </w:r>
            <w:r>
              <w:rPr>
                <w:b w:val="false"/>
                <w:bCs w:val="false"/>
                <w:sz w:val="19"/>
                <w:szCs w:val="19"/>
              </w:rPr>
              <w:t xml:space="preserve"> This is Project 6's trap.</w:t>
            </w:r>
          </w:p>
        </w:tc>
      </w:tr>
      <w:tr>
        <w:tc>
          <w:tcPr>
            <w:tcW w:type="dxa" w:w="3182"/>
            <w:tcMar>
              <w:top w:type="dxa" w:w="60"/>
              <w:left w:type="dxa" w:w="90"/>
              <w:bottom w:type="dxa" w:w="60"/>
              <w:right w:type="dxa" w:w="90"/>
            </w:tcMar>
          </w:tcPr>
          <w:p>
            <w:pPr>
              <w:spacing w:after="0"/>
            </w:pPr>
            <w:r>
              <w:rPr>
                <w:b w:val="false"/>
                <w:bCs w:val="false"/>
                <w:sz w:val="19"/>
                <w:szCs w:val="19"/>
              </w:rPr>
              <w:t xml:space="preserve">ED Attendance</w:t>
            </w:r>
          </w:p>
        </w:tc>
        <w:tc>
          <w:tcPr>
            <w:tcW w:type="dxa" w:w="1498"/>
            <w:tcMar>
              <w:top w:type="dxa" w:w="60"/>
              <w:left w:type="dxa" w:w="90"/>
              <w:bottom w:type="dxa" w:w="60"/>
              <w:right w:type="dxa" w:w="90"/>
            </w:tcMar>
          </w:tcPr>
          <w:p>
            <w:pPr>
              <w:spacing w:after="0"/>
            </w:pPr>
            <w:r>
              <w:rPr>
                <w:b w:val="false"/>
                <w:bCs w:val="false"/>
                <w:sz w:val="19"/>
                <w:szCs w:val="19"/>
              </w:rPr>
              <w:t xml:space="preserve">420</w:t>
            </w:r>
          </w:p>
        </w:tc>
        <w:tc>
          <w:tcPr>
            <w:tcW w:type="dxa" w:w="4680"/>
            <w:tcMar>
              <w:top w:type="dxa" w:w="60"/>
              <w:left w:type="dxa" w:w="90"/>
              <w:bottom w:type="dxa" w:w="60"/>
              <w:right w:type="dxa" w:w="90"/>
            </w:tcMar>
          </w:tcPr>
          <w:p>
            <w:pPr>
              <w:spacing w:after="0"/>
            </w:pPr>
            <w:r>
              <w:rPr>
                <w:b w:val="false"/>
                <w:bCs w:val="false"/>
                <w:sz w:val="19"/>
                <w:szCs w:val="19"/>
              </w:rPr>
              <w:t xml:space="preserve">No</w:t>
            </w:r>
          </w:p>
        </w:tc>
      </w:tr>
      <w:tr>
        <w:tc>
          <w:tcPr>
            <w:tcW w:type="dxa" w:w="3182"/>
            <w:tcMar>
              <w:top w:type="dxa" w:w="60"/>
              <w:left w:type="dxa" w:w="90"/>
              <w:bottom w:type="dxa" w:w="60"/>
              <w:right w:type="dxa" w:w="90"/>
            </w:tcMar>
          </w:tcPr>
          <w:p>
            <w:pPr>
              <w:spacing w:after="0"/>
            </w:pPr>
            <w:r>
              <w:rPr>
                <w:b w:val="false"/>
                <w:bCs w:val="false"/>
                <w:sz w:val="19"/>
                <w:szCs w:val="19"/>
              </w:rPr>
              <w:t xml:space="preserve">Patient</w:t>
            </w:r>
          </w:p>
        </w:tc>
        <w:tc>
          <w:tcPr>
            <w:tcW w:type="dxa" w:w="1498"/>
            <w:tcMar>
              <w:top w:type="dxa" w:w="60"/>
              <w:left w:type="dxa" w:w="90"/>
              <w:bottom w:type="dxa" w:w="60"/>
              <w:right w:type="dxa" w:w="90"/>
            </w:tcMar>
          </w:tcPr>
          <w:p>
            <w:pPr>
              <w:spacing w:after="0"/>
            </w:pPr>
            <w:r>
              <w:rPr>
                <w:b w:val="false"/>
                <w:bCs w:val="false"/>
                <w:sz w:val="19"/>
                <w:szCs w:val="19"/>
              </w:rPr>
              <w:t xml:space="preserve">900</w:t>
            </w:r>
          </w:p>
        </w:tc>
        <w:tc>
          <w:tcPr>
            <w:tcW w:type="dxa" w:w="4680"/>
            <w:tcMar>
              <w:top w:type="dxa" w:w="60"/>
              <w:left w:type="dxa" w:w="90"/>
              <w:bottom w:type="dxa" w:w="60"/>
              <w:right w:type="dxa" w:w="90"/>
            </w:tcMar>
          </w:tcPr>
          <w:p>
            <w:pPr>
              <w:spacing w:after="0"/>
            </w:pPr>
            <w:r>
              <w:rPr>
                <w:b w:val="false"/>
                <w:bCs w:val="false"/>
                <w:sz w:val="19"/>
                <w:szCs w:val="19"/>
              </w:rPr>
              <w:t xml:space="preserve">No</w:t>
            </w:r>
          </w:p>
        </w:tc>
      </w:tr>
      <w:tr>
        <w:tc>
          <w:tcPr>
            <w:tcW w:type="dxa" w:w="3182"/>
            <w:tcMar>
              <w:top w:type="dxa" w:w="60"/>
              <w:left w:type="dxa" w:w="90"/>
              <w:bottom w:type="dxa" w:w="60"/>
              <w:right w:type="dxa" w:w="90"/>
            </w:tcMar>
          </w:tcPr>
          <w:p>
            <w:pPr>
              <w:spacing w:after="0"/>
            </w:pPr>
            <w:r>
              <w:rPr>
                <w:b w:val="false"/>
                <w:bCs w:val="false"/>
                <w:sz w:val="19"/>
                <w:szCs w:val="19"/>
              </w:rPr>
              <w:t xml:space="preserve">RTT Pathway</w:t>
            </w:r>
          </w:p>
        </w:tc>
        <w:tc>
          <w:tcPr>
            <w:tcW w:type="dxa" w:w="1498"/>
            <w:tcMar>
              <w:top w:type="dxa" w:w="60"/>
              <w:left w:type="dxa" w:w="90"/>
              <w:bottom w:type="dxa" w:w="60"/>
              <w:right w:type="dxa" w:w="90"/>
            </w:tcMar>
          </w:tcPr>
          <w:p>
            <w:pPr>
              <w:spacing w:after="0"/>
            </w:pPr>
            <w:r>
              <w:rPr>
                <w:b w:val="false"/>
                <w:bCs w:val="false"/>
                <w:sz w:val="19"/>
                <w:szCs w:val="19"/>
              </w:rPr>
              <w:t xml:space="preserve">3,000</w:t>
            </w:r>
          </w:p>
        </w:tc>
        <w:tc>
          <w:tcPr>
            <w:tcW w:type="dxa" w:w="4680"/>
            <w:tcMar>
              <w:top w:type="dxa" w:w="60"/>
              <w:left w:type="dxa" w:w="90"/>
              <w:bottom w:type="dxa" w:w="60"/>
              <w:right w:type="dxa" w:w="90"/>
            </w:tcMar>
          </w:tcPr>
          <w:p>
            <w:pPr>
              <w:spacing w:after="0"/>
            </w:pPr>
            <w:r>
              <w:rPr>
                <w:b w:val="false"/>
                <w:bCs w:val="false"/>
                <w:sz w:val="19"/>
                <w:szCs w:val="19"/>
              </w:rPr>
              <w:t xml:space="preserve">No</w:t>
            </w:r>
          </w:p>
        </w:tc>
      </w:tr>
      <w:tr>
        <w:tc>
          <w:tcPr>
            <w:tcW w:type="dxa" w:w="3182"/>
            <w:tcMar>
              <w:top w:type="dxa" w:w="60"/>
              <w:left w:type="dxa" w:w="90"/>
              <w:bottom w:type="dxa" w:w="60"/>
              <w:right w:type="dxa" w:w="90"/>
            </w:tcMar>
          </w:tcPr>
          <w:p>
            <w:pPr>
              <w:spacing w:after="0"/>
            </w:pPr>
            <w:r>
              <w:rPr>
                <w:b w:val="false"/>
                <w:bCs w:val="false"/>
                <w:sz w:val="19"/>
                <w:szCs w:val="19"/>
              </w:rPr>
              <w:t xml:space="preserve">Telemetry Reading</w:t>
            </w:r>
          </w:p>
        </w:tc>
        <w:tc>
          <w:tcPr>
            <w:tcW w:type="dxa" w:w="1498"/>
            <w:tcMar>
              <w:top w:type="dxa" w:w="60"/>
              <w:left w:type="dxa" w:w="90"/>
              <w:bottom w:type="dxa" w:w="60"/>
              <w:right w:type="dxa" w:w="90"/>
            </w:tcMar>
          </w:tcPr>
          <w:p>
            <w:pPr>
              <w:spacing w:after="0"/>
            </w:pPr>
            <w:r>
              <w:rPr>
                <w:b w:val="false"/>
                <w:bCs w:val="false"/>
                <w:sz w:val="19"/>
                <w:szCs w:val="19"/>
              </w:rPr>
              <w:t xml:space="preserve">20,093</w:t>
            </w:r>
          </w:p>
        </w:tc>
        <w:tc>
          <w:tcPr>
            <w:tcW w:type="dxa" w:w="4680"/>
            <w:tcMar>
              <w:top w:type="dxa" w:w="60"/>
              <w:left w:type="dxa" w:w="90"/>
              <w:bottom w:type="dxa" w:w="60"/>
              <w:right w:type="dxa" w:w="90"/>
            </w:tcMar>
          </w:tcPr>
          <w:p>
            <w:pPr>
              <w:spacing w:after="0"/>
            </w:pPr>
            <w:r>
              <w:rPr>
                <w:b w:val="false"/>
                <w:bCs w:val="false"/>
                <w:sz w:val="19"/>
                <w:szCs w:val="19"/>
              </w:rPr>
              <w:t xml:space="preserve">No</w:t>
            </w:r>
          </w:p>
        </w:tc>
      </w:tr>
    </w:tbl>
    <w:p>
      <w:pPr>
        <w:spacing w:after="160"/>
      </w:pPr>
    </w:p>
    <w:p>
      <w:pPr>
        <w:spacing w:after="120"/>
      </w:pPr>
      <w:r>
        <w:t xml:space="preserve">Fan-out on the three links used for aggregations: 12–24 beds per ward, 128–179 pathways per clinic, 84–96 valid readings per admission. All comfortable for a single-hop runtime aggregation.</w:t>
      </w:r>
    </w:p>
    <w:p>
      <w:pPr>
        <w:pStyle w:val="Heading1"/>
        <w:pageBreakBefore/>
        <w:spacing w:after="160"/>
      </w:pPr>
      <w:r>
        <w:t xml:space="preserve">3. Provided versus built</w:t>
      </w:r>
    </w:p>
    <w:p>
      <w:pPr>
        <w:spacing w:after="120"/>
      </w:pPr>
      <w:r>
        <w:t xml:space="preserve">Trainees have four build days. Anything that is an administrative operation rather than an engineering one is provided, so nobody loses a morning to a permission they do not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DF5" w:val="clear"/>
            <w:tcMar>
              <w:top w:type="dxa" w:w="60"/>
              <w:left w:type="dxa" w:w="90"/>
              <w:bottom w:type="dxa" w:w="60"/>
              <w:right w:type="dxa" w:w="90"/>
            </w:tcMar>
          </w:tcPr>
          <w:p>
            <w:pPr>
              <w:spacing w:after="0"/>
            </w:pPr>
            <w:r>
              <w:rPr>
                <w:b/>
                <w:bCs/>
                <w:sz w:val="19"/>
                <w:szCs w:val="19"/>
              </w:rPr>
              <w:t xml:space="preserve">Provided by the instructor</w:t>
            </w:r>
          </w:p>
        </w:tc>
        <w:tc>
          <w:tcPr>
            <w:tcW w:type="dxa" w:w="4680"/>
            <w:shd w:fill="E8EDF5" w:val="clear"/>
            <w:tcMar>
              <w:top w:type="dxa" w:w="60"/>
              <w:left w:type="dxa" w:w="90"/>
              <w:bottom w:type="dxa" w:w="60"/>
              <w:right w:type="dxa" w:w="90"/>
            </w:tcMar>
          </w:tcPr>
          <w:p>
            <w:pPr>
              <w:spacing w:after="0"/>
            </w:pPr>
            <w:r>
              <w:rPr>
                <w:b/>
                <w:bCs/>
                <w:sz w:val="19"/>
                <w:szCs w:val="19"/>
              </w:rPr>
              <w:t xml:space="preserve">Built by the trainee</w:t>
            </w:r>
          </w:p>
        </w:tc>
      </w:tr>
      <w:tr>
        <w:tc>
          <w:tcPr>
            <w:tcW w:type="dxa" w:w="4680"/>
            <w:tcMar>
              <w:top w:type="dxa" w:w="60"/>
              <w:left w:type="dxa" w:w="90"/>
              <w:bottom w:type="dxa" w:w="60"/>
              <w:right w:type="dxa" w:w="90"/>
            </w:tcMar>
          </w:tcPr>
          <w:p>
            <w:pPr>
              <w:spacing w:after="0"/>
            </w:pPr>
            <w:r>
              <w:rPr>
                <w:b w:val="false"/>
                <w:bCs w:val="false"/>
                <w:sz w:val="19"/>
                <w:szCs w:val="19"/>
              </w:rPr>
              <w:t xml:space="preserve">The three markings, already created: </w:t>
            </w:r>
            <w:r>
              <w:rPr>
                <w:rFonts w:ascii="Consolas" w:cs="Consolas" w:eastAsia="Consolas" w:hAnsi="Consolas"/>
                <w:b w:val="false"/>
                <w:bCs w:val="false"/>
                <w:sz w:val="19"/>
                <w:szCs w:val="19"/>
              </w:rPr>
              <w:t xml:space="preserve">RESTRICTED_PII</w:t>
            </w:r>
            <w:r>
              <w:rPr>
                <w:b w:val="false"/>
                <w:bCs w:val="false"/>
                <w:sz w:val="19"/>
                <w:szCs w:val="19"/>
              </w:rPr>
              <w:t xml:space="preserve">, </w:t>
            </w:r>
            <w:r>
              <w:rPr>
                <w:rFonts w:ascii="Consolas" w:cs="Consolas" w:eastAsia="Consolas" w:hAnsi="Consolas"/>
                <w:b w:val="false"/>
                <w:bCs w:val="false"/>
                <w:sz w:val="19"/>
                <w:szCs w:val="19"/>
              </w:rPr>
              <w:t xml:space="preserve">RESTRICTED_CLINICAL</w:t>
            </w:r>
            <w:r>
              <w:rPr>
                <w:b w:val="false"/>
                <w:bCs w:val="false"/>
                <w:sz w:val="19"/>
                <w:szCs w:val="19"/>
              </w:rPr>
              <w:t xml:space="preserve">, </w:t>
            </w:r>
            <w:r>
              <w:rPr>
                <w:rFonts w:ascii="Consolas" w:cs="Consolas" w:eastAsia="Consolas" w:hAnsi="Consolas"/>
                <w:b w:val="false"/>
                <w:bCs w:val="false"/>
                <w:sz w:val="19"/>
                <w:szCs w:val="19"/>
              </w:rPr>
              <w:t xml:space="preserve">NHS_CONFIDENTIAL</w:t>
            </w:r>
            <w:r>
              <w:rPr>
                <w:b w:val="false"/>
                <w:bCs w:val="false"/>
                <w:sz w:val="19"/>
                <w:szCs w:val="19"/>
              </w:rPr>
              <w:t xml:space="preserve">.</w:t>
            </w:r>
          </w:p>
        </w:tc>
        <w:tc>
          <w:tcPr>
            <w:tcW w:type="dxa" w:w="4680"/>
            <w:tcMar>
              <w:top w:type="dxa" w:w="60"/>
              <w:left w:type="dxa" w:w="90"/>
              <w:bottom w:type="dxa" w:w="60"/>
              <w:right w:type="dxa" w:w="90"/>
            </w:tcMar>
          </w:tcPr>
          <w:p>
            <w:pPr>
              <w:spacing w:after="0"/>
            </w:pPr>
            <w:r>
              <w:rPr>
                <w:b w:val="false"/>
                <w:bCs w:val="false"/>
                <w:sz w:val="19"/>
                <w:szCs w:val="19"/>
              </w:rPr>
              <w:t xml:space="preserve">Applying the marking at the Datasource tier and proving in Data Lineage that it propagates.</w:t>
            </w:r>
          </w:p>
        </w:tc>
      </w:tr>
      <w:tr>
        <w:tc>
          <w:tcPr>
            <w:tcW w:type="dxa" w:w="4680"/>
            <w:tcMar>
              <w:top w:type="dxa" w:w="60"/>
              <w:left w:type="dxa" w:w="90"/>
              <w:bottom w:type="dxa" w:w="60"/>
              <w:right w:type="dxa" w:w="90"/>
            </w:tcMar>
          </w:tcPr>
          <w:p>
            <w:pPr>
              <w:spacing w:after="0"/>
            </w:pPr>
            <w:r>
              <w:rPr>
                <w:b w:val="false"/>
                <w:bCs w:val="false"/>
                <w:sz w:val="19"/>
                <w:szCs w:val="19"/>
              </w:rPr>
              <w:t xml:space="preserve">One user group per project, with membership already set.</w:t>
            </w:r>
          </w:p>
        </w:tc>
        <w:tc>
          <w:tcPr>
            <w:tcW w:type="dxa" w:w="4680"/>
            <w:tcMar>
              <w:top w:type="dxa" w:w="60"/>
              <w:left w:type="dxa" w:w="90"/>
              <w:bottom w:type="dxa" w:w="60"/>
              <w:right w:type="dxa" w:w="90"/>
            </w:tcMar>
          </w:tcPr>
          <w:p>
            <w:pPr>
              <w:spacing w:after="0"/>
            </w:pPr>
            <w:r>
              <w:rPr>
                <w:b w:val="false"/>
                <w:bCs w:val="false"/>
                <w:sz w:val="19"/>
                <w:szCs w:val="19"/>
              </w:rPr>
              <w:t xml:space="preserve">Restricting action submission to that group, and demonstrating that a non-member cannot submit.</w:t>
            </w:r>
          </w:p>
        </w:tc>
      </w:tr>
      <w:tr>
        <w:tc>
          <w:tcPr>
            <w:tcW w:type="dxa" w:w="4680"/>
            <w:tcMar>
              <w:top w:type="dxa" w:w="60"/>
              <w:left w:type="dxa" w:w="90"/>
              <w:bottom w:type="dxa" w:w="60"/>
              <w:right w:type="dxa" w:w="90"/>
            </w:tcMar>
          </w:tcPr>
          <w:p>
            <w:pPr>
              <w:spacing w:after="0"/>
            </w:pPr>
            <w:r>
              <w:rPr>
                <w:b w:val="false"/>
                <w:bCs w:val="false"/>
                <w:sz w:val="19"/>
                <w:szCs w:val="19"/>
              </w:rPr>
              <w:t xml:space="preserve">The raw CSVs, synced into a shared Datasource project.</w:t>
            </w:r>
          </w:p>
        </w:tc>
        <w:tc>
          <w:tcPr>
            <w:tcW w:type="dxa" w:w="4680"/>
            <w:tcMar>
              <w:top w:type="dxa" w:w="60"/>
              <w:left w:type="dxa" w:w="90"/>
              <w:bottom w:type="dxa" w:w="60"/>
              <w:right w:type="dxa" w:w="90"/>
            </w:tcMar>
          </w:tcPr>
          <w:p>
            <w:pPr>
              <w:spacing w:after="0"/>
            </w:pPr>
            <w:r>
              <w:rPr>
                <w:b w:val="false"/>
                <w:bCs w:val="false"/>
                <w:sz w:val="19"/>
                <w:szCs w:val="19"/>
              </w:rPr>
              <w:t xml:space="preserve">Everything from the Transform tier onward.</w:t>
            </w:r>
          </w:p>
        </w:tc>
      </w:tr>
      <w:tr>
        <w:tc>
          <w:tcPr>
            <w:tcW w:type="dxa" w:w="4680"/>
            <w:tcMar>
              <w:top w:type="dxa" w:w="60"/>
              <w:left w:type="dxa" w:w="90"/>
              <w:bottom w:type="dxa" w:w="60"/>
              <w:right w:type="dxa" w:w="90"/>
            </w:tcMar>
          </w:tcPr>
          <w:p>
            <w:pPr>
              <w:spacing w:after="0"/>
            </w:pPr>
            <w:r>
              <w:rPr>
                <w:b w:val="false"/>
                <w:bCs w:val="false"/>
                <w:sz w:val="19"/>
                <w:szCs w:val="19"/>
              </w:rPr>
              <w:t xml:space="preserve">A worked </w:t>
            </w:r>
            <w:r>
              <w:rPr>
                <w:rFonts w:ascii="Consolas" w:cs="Consolas" w:eastAsia="Consolas" w:hAnsi="Consolas"/>
                <w:b w:val="false"/>
                <w:bCs w:val="false"/>
                <w:sz w:val="19"/>
                <w:szCs w:val="19"/>
              </w:rPr>
              <w:t xml:space="preserve">searchAround</w:t>
            </w:r>
            <w:r>
              <w:rPr>
                <w:b w:val="false"/>
                <w:bCs w:val="false"/>
                <w:sz w:val="19"/>
                <w:szCs w:val="19"/>
              </w:rPr>
              <w:t xml:space="preserve"> example and a worked edit-batch example in TypeScript v2.</w:t>
            </w:r>
          </w:p>
        </w:tc>
        <w:tc>
          <w:tcPr>
            <w:tcW w:type="dxa" w:w="4680"/>
            <w:tcMar>
              <w:top w:type="dxa" w:w="60"/>
              <w:left w:type="dxa" w:w="90"/>
              <w:bottom w:type="dxa" w:w="60"/>
              <w:right w:type="dxa" w:w="90"/>
            </w:tcMar>
          </w:tcPr>
          <w:p>
            <w:pPr>
              <w:spacing w:after="0"/>
            </w:pPr>
            <w:r>
              <w:rPr>
                <w:b w:val="false"/>
                <w:bCs w:val="false"/>
                <w:sz w:val="19"/>
                <w:szCs w:val="19"/>
              </w:rPr>
              <w:t xml:space="preserve">Every function in the project spec.</w:t>
            </w:r>
          </w:p>
        </w:tc>
      </w:tr>
      <w:tr>
        <w:tc>
          <w:tcPr>
            <w:tcW w:type="dxa" w:w="4680"/>
            <w:tcMar>
              <w:top w:type="dxa" w:w="60"/>
              <w:left w:type="dxa" w:w="90"/>
              <w:bottom w:type="dxa" w:w="60"/>
              <w:right w:type="dxa" w:w="90"/>
            </w:tcMar>
          </w:tcPr>
          <w:p>
            <w:pPr>
              <w:spacing w:after="0"/>
            </w:pPr>
            <w:r>
              <w:rPr>
                <w:b w:val="false"/>
                <w:bCs w:val="false"/>
                <w:sz w:val="19"/>
                <w:szCs w:val="19"/>
              </w:rPr>
              <w:t xml:space="preserve">User attributes for site and trust, so row filters have something to match on.</w:t>
            </w:r>
          </w:p>
        </w:tc>
        <w:tc>
          <w:tcPr>
            <w:tcW w:type="dxa" w:w="4680"/>
            <w:tcMar>
              <w:top w:type="dxa" w:w="60"/>
              <w:left w:type="dxa" w:w="90"/>
              <w:bottom w:type="dxa" w:w="60"/>
              <w:right w:type="dxa" w:w="90"/>
            </w:tcMar>
          </w:tcPr>
          <w:p>
            <w:pPr>
              <w:spacing w:after="0"/>
            </w:pPr>
            <w:r>
              <w:rPr>
                <w:b w:val="false"/>
                <w:bCs w:val="false"/>
                <w:sz w:val="19"/>
                <w:szCs w:val="19"/>
              </w:rPr>
              <w:t xml:space="preserve">The restricted view itself, and backing the object type on it.</w:t>
            </w:r>
          </w:p>
        </w:tc>
      </w:tr>
    </w:tbl>
    <w:p>
      <w:pPr>
        <w:spacing w:after="160"/>
      </w:pPr>
    </w:p>
    <w:p>
      <w:pPr>
        <w:pBdr>
          <w:left w:val="single" w:color="4472C4" w:sz="18" w:space="12"/>
        </w:pBdr>
        <w:spacing w:after="160" w:before="120"/>
        <w:ind w:left="220"/>
      </w:pPr>
      <w:r>
        <w:rPr>
          <w:b/>
          <w:bCs/>
        </w:rPr>
        <w:t xml:space="preserve">Confirm before the cohort starts:  </w:t>
      </w:r>
      <w:r>
        <w:t xml:space="preserve">whether your tenant lets trainees create restricted views and tag a function release. Both are on the critical path. If either is administered centrally, move it into the left-hand column and tell them on Day 1.</w:t>
      </w:r>
    </w:p>
    <w:p>
      <w:pPr>
        <w:pStyle w:val="Heading1"/>
        <w:spacing w:after="160" w:before="320"/>
      </w:pPr>
      <w:r>
        <w:t xml:space="preserve">4. The common five-day shape</w:t>
      </w:r>
    </w:p>
    <w:p>
      <w:pPr>
        <w:spacing w:after="120"/>
      </w:pPr>
      <w:r>
        <w:t xml:space="preserve">Day 5 is review and demonstration. Four build days. The shape is identical across the three projects so that instructors can run them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744"/>
        <w:gridCol w:w="5054"/>
      </w:tblGrid>
      <w:tr>
        <w:trPr>
          <w:tblHeader/>
        </w:trPr>
        <w:tc>
          <w:tcPr>
            <w:tcW w:type="dxa" w:w="562"/>
            <w:shd w:fill="E8EDF5" w:val="clear"/>
            <w:tcMar>
              <w:top w:type="dxa" w:w="60"/>
              <w:left w:type="dxa" w:w="90"/>
              <w:bottom w:type="dxa" w:w="60"/>
              <w:right w:type="dxa" w:w="90"/>
            </w:tcMar>
          </w:tcPr>
          <w:p>
            <w:pPr>
              <w:spacing w:after="0"/>
            </w:pPr>
            <w:r>
              <w:rPr>
                <w:b/>
                <w:bCs/>
                <w:sz w:val="19"/>
                <w:szCs w:val="19"/>
              </w:rPr>
              <w:t xml:space="preserve">Day</w:t>
            </w:r>
          </w:p>
        </w:tc>
        <w:tc>
          <w:tcPr>
            <w:tcW w:type="dxa" w:w="3744"/>
            <w:shd w:fill="E8EDF5" w:val="clear"/>
            <w:tcMar>
              <w:top w:type="dxa" w:w="60"/>
              <w:left w:type="dxa" w:w="90"/>
              <w:bottom w:type="dxa" w:w="60"/>
              <w:right w:type="dxa" w:w="90"/>
            </w:tcMar>
          </w:tcPr>
          <w:p>
            <w:pPr>
              <w:spacing w:after="0"/>
            </w:pPr>
            <w:r>
              <w:rPr>
                <w:b/>
                <w:bCs/>
                <w:sz w:val="19"/>
                <w:szCs w:val="19"/>
              </w:rPr>
              <w:t xml:space="preserve">Focus</w:t>
            </w:r>
          </w:p>
        </w:tc>
        <w:tc>
          <w:tcPr>
            <w:tcW w:type="dxa" w:w="5054"/>
            <w:shd w:fill="E8EDF5" w:val="clear"/>
            <w:tcMar>
              <w:top w:type="dxa" w:w="60"/>
              <w:left w:type="dxa" w:w="90"/>
              <w:bottom w:type="dxa" w:w="60"/>
              <w:right w:type="dxa" w:w="90"/>
            </w:tcMar>
          </w:tcPr>
          <w:p>
            <w:pPr>
              <w:spacing w:after="0"/>
            </w:pPr>
            <w:r>
              <w:rPr>
                <w:b/>
                <w:bCs/>
                <w:sz w:val="19"/>
                <w:szCs w:val="19"/>
              </w:rPr>
              <w:t xml:space="preserve">Done when</w:t>
            </w:r>
          </w:p>
        </w:tc>
      </w:tr>
      <w:tr>
        <w:tc>
          <w:tcPr>
            <w:tcW w:type="dxa" w:w="562"/>
            <w:tcMar>
              <w:top w:type="dxa" w:w="60"/>
              <w:left w:type="dxa" w:w="90"/>
              <w:bottom w:type="dxa" w:w="60"/>
              <w:right w:type="dxa" w:w="90"/>
            </w:tcMar>
          </w:tcPr>
          <w:p>
            <w:pPr>
              <w:spacing w:after="0"/>
            </w:pPr>
            <w:r>
              <w:rPr>
                <w:b w:val="false"/>
                <w:bCs w:val="false"/>
                <w:sz w:val="19"/>
                <w:szCs w:val="19"/>
              </w:rPr>
              <w:t xml:space="preserve">1</w:t>
            </w:r>
          </w:p>
        </w:tc>
        <w:tc>
          <w:tcPr>
            <w:tcW w:type="dxa" w:w="3744"/>
            <w:tcMar>
              <w:top w:type="dxa" w:w="60"/>
              <w:left w:type="dxa" w:w="90"/>
              <w:bottom w:type="dxa" w:w="60"/>
              <w:right w:type="dxa" w:w="90"/>
            </w:tcMar>
          </w:tcPr>
          <w:p>
            <w:pPr>
              <w:spacing w:after="0"/>
            </w:pPr>
            <w:r>
              <w:rPr>
                <w:b w:val="false"/>
                <w:bCs w:val="false"/>
                <w:sz w:val="19"/>
                <w:szCs w:val="19"/>
              </w:rPr>
              <w:t xml:space="preserve">Datasource sync, marking applied, Polars transform, cleaning quantified.</w:t>
            </w:r>
          </w:p>
        </w:tc>
        <w:tc>
          <w:tcPr>
            <w:tcW w:type="dxa" w:w="5054"/>
            <w:tcMar>
              <w:top w:type="dxa" w:w="60"/>
              <w:left w:type="dxa" w:w="90"/>
              <w:bottom w:type="dxa" w:w="60"/>
              <w:right w:type="dxa" w:w="90"/>
            </w:tcMar>
          </w:tcPr>
          <w:p>
            <w:pPr>
              <w:spacing w:after="0"/>
            </w:pPr>
            <w:r>
              <w:rPr>
                <w:b w:val="false"/>
                <w:bCs w:val="false"/>
                <w:sz w:val="19"/>
                <w:szCs w:val="19"/>
              </w:rPr>
              <w:t xml:space="preserve">Row counts before and after cleaning are reported and explained. Any native property a later derived property needs exists as a column.</w:t>
            </w:r>
          </w:p>
        </w:tc>
      </w:tr>
      <w:tr>
        <w:tc>
          <w:tcPr>
            <w:tcW w:type="dxa" w:w="562"/>
            <w:tcMar>
              <w:top w:type="dxa" w:w="60"/>
              <w:left w:type="dxa" w:w="90"/>
              <w:bottom w:type="dxa" w:w="60"/>
              <w:right w:type="dxa" w:w="90"/>
            </w:tcMar>
          </w:tcPr>
          <w:p>
            <w:pPr>
              <w:spacing w:after="0"/>
            </w:pPr>
            <w:r>
              <w:rPr>
                <w:b w:val="false"/>
                <w:bCs w:val="false"/>
                <w:sz w:val="19"/>
                <w:szCs w:val="19"/>
              </w:rPr>
              <w:t xml:space="preserve">2</w:t>
            </w:r>
          </w:p>
        </w:tc>
        <w:tc>
          <w:tcPr>
            <w:tcW w:type="dxa" w:w="3744"/>
            <w:tcMar>
              <w:top w:type="dxa" w:w="60"/>
              <w:left w:type="dxa" w:w="90"/>
              <w:bottom w:type="dxa" w:w="60"/>
              <w:right w:type="dxa" w:w="90"/>
            </w:tcMar>
          </w:tcPr>
          <w:p>
            <w:pPr>
              <w:spacing w:after="0"/>
            </w:pPr>
            <w:r>
              <w:rPr>
                <w:b w:val="false"/>
                <w:bCs w:val="false"/>
                <w:sz w:val="19"/>
                <w:szCs w:val="19"/>
              </w:rPr>
              <w:t xml:space="preserve">Object types, the link, the restricted view, the Workshop derived property.</w:t>
            </w:r>
          </w:p>
        </w:tc>
        <w:tc>
          <w:tcPr>
            <w:tcW w:type="dxa" w:w="5054"/>
            <w:tcMar>
              <w:top w:type="dxa" w:w="60"/>
              <w:left w:type="dxa" w:w="90"/>
              <w:bottom w:type="dxa" w:w="60"/>
              <w:right w:type="dxa" w:w="90"/>
            </w:tcMar>
          </w:tcPr>
          <w:p>
            <w:pPr>
              <w:spacing w:after="0"/>
            </w:pPr>
            <w:r>
              <w:rPr>
                <w:b w:val="false"/>
                <w:bCs w:val="false"/>
                <w:sz w:val="19"/>
                <w:szCs w:val="19"/>
              </w:rPr>
              <w:t xml:space="preserve">The object type is backed by the restricted view — confirmed in Data Lineage — and the derived property returns a plausible value on a spot-checked object.</w:t>
            </w:r>
          </w:p>
        </w:tc>
      </w:tr>
      <w:tr>
        <w:tc>
          <w:tcPr>
            <w:tcW w:type="dxa" w:w="562"/>
            <w:tcMar>
              <w:top w:type="dxa" w:w="60"/>
              <w:left w:type="dxa" w:w="90"/>
              <w:bottom w:type="dxa" w:w="60"/>
              <w:right w:type="dxa" w:w="90"/>
            </w:tcMar>
          </w:tcPr>
          <w:p>
            <w:pPr>
              <w:spacing w:after="0"/>
            </w:pPr>
            <w:r>
              <w:rPr>
                <w:b w:val="false"/>
                <w:bCs w:val="false"/>
                <w:sz w:val="19"/>
                <w:szCs w:val="19"/>
              </w:rPr>
              <w:t xml:space="preserve">3</w:t>
            </w:r>
          </w:p>
        </w:tc>
        <w:tc>
          <w:tcPr>
            <w:tcW w:type="dxa" w:w="3744"/>
            <w:tcMar>
              <w:top w:type="dxa" w:w="60"/>
              <w:left w:type="dxa" w:w="90"/>
              <w:bottom w:type="dxa" w:w="60"/>
              <w:right w:type="dxa" w:w="90"/>
            </w:tcMar>
          </w:tcPr>
          <w:p>
            <w:pPr>
              <w:spacing w:after="0"/>
            </w:pPr>
            <w:r>
              <w:rPr>
                <w:b w:val="false"/>
                <w:bCs w:val="false"/>
                <w:sz w:val="19"/>
                <w:szCs w:val="19"/>
              </w:rPr>
              <w:t xml:space="preserve">TypeScript v2 function, tagged and released. Action type with submission criteria and group restriction.</w:t>
            </w:r>
          </w:p>
        </w:tc>
        <w:tc>
          <w:tcPr>
            <w:tcW w:type="dxa" w:w="5054"/>
            <w:tcMar>
              <w:top w:type="dxa" w:w="60"/>
              <w:left w:type="dxa" w:w="90"/>
              <w:bottom w:type="dxa" w:w="60"/>
              <w:right w:type="dxa" w:w="90"/>
            </w:tcMar>
          </w:tcPr>
          <w:p>
            <w:pPr>
              <w:spacing w:after="0"/>
            </w:pPr>
            <w:r>
              <w:rPr>
                <w:b w:val="false"/>
                <w:bCs w:val="false"/>
                <w:sz w:val="19"/>
                <w:szCs w:val="19"/>
              </w:rPr>
              <w:t xml:space="preserve">The function appears in the function registry under a release tag, and the action refuses an invalid submission.</w:t>
            </w:r>
          </w:p>
        </w:tc>
      </w:tr>
      <w:tr>
        <w:tc>
          <w:tcPr>
            <w:tcW w:type="dxa" w:w="562"/>
            <w:tcMar>
              <w:top w:type="dxa" w:w="60"/>
              <w:left w:type="dxa" w:w="90"/>
              <w:bottom w:type="dxa" w:w="60"/>
              <w:right w:type="dxa" w:w="90"/>
            </w:tcMar>
          </w:tcPr>
          <w:p>
            <w:pPr>
              <w:spacing w:after="0"/>
            </w:pPr>
            <w:r>
              <w:rPr>
                <w:b w:val="false"/>
                <w:bCs w:val="false"/>
                <w:sz w:val="19"/>
                <w:szCs w:val="19"/>
              </w:rPr>
              <w:t xml:space="preserve">4</w:t>
            </w:r>
          </w:p>
        </w:tc>
        <w:tc>
          <w:tcPr>
            <w:tcW w:type="dxa" w:w="3744"/>
            <w:tcMar>
              <w:top w:type="dxa" w:w="60"/>
              <w:left w:type="dxa" w:w="90"/>
              <w:bottom w:type="dxa" w:w="60"/>
              <w:right w:type="dxa" w:w="90"/>
            </w:tcMar>
          </w:tcPr>
          <w:p>
            <w:pPr>
              <w:spacing w:after="0"/>
            </w:pPr>
            <w:r>
              <w:rPr>
                <w:b w:val="false"/>
                <w:bCs w:val="false"/>
                <w:sz w:val="19"/>
                <w:szCs w:val="19"/>
              </w:rPr>
              <w:t xml:space="preserve">Workshop module. Quiver analysis embedded.</w:t>
            </w:r>
          </w:p>
        </w:tc>
        <w:tc>
          <w:tcPr>
            <w:tcW w:type="dxa" w:w="5054"/>
            <w:tcMar>
              <w:top w:type="dxa" w:w="60"/>
              <w:left w:type="dxa" w:w="90"/>
              <w:bottom w:type="dxa" w:w="60"/>
              <w:right w:type="dxa" w:w="90"/>
            </w:tcMar>
          </w:tcPr>
          <w:p>
            <w:pPr>
              <w:spacing w:after="0"/>
            </w:pPr>
            <w:r>
              <w:rPr>
                <w:b w:val="false"/>
                <w:bCs w:val="false"/>
                <w:sz w:val="19"/>
                <w:szCs w:val="19"/>
              </w:rPr>
              <w:t xml:space="preserve">Filter, table, detail, action. Row selection drives the detail panel. The action refreshes the table.</w:t>
            </w:r>
          </w:p>
        </w:tc>
      </w:tr>
      <w:tr>
        <w:tc>
          <w:tcPr>
            <w:tcW w:type="dxa" w:w="562"/>
            <w:tcMar>
              <w:top w:type="dxa" w:w="60"/>
              <w:left w:type="dxa" w:w="90"/>
              <w:bottom w:type="dxa" w:w="60"/>
              <w:right w:type="dxa" w:w="90"/>
            </w:tcMar>
          </w:tcPr>
          <w:p>
            <w:pPr>
              <w:spacing w:after="0"/>
            </w:pPr>
            <w:r>
              <w:rPr>
                <w:b w:val="false"/>
                <w:bCs w:val="false"/>
                <w:sz w:val="19"/>
                <w:szCs w:val="19"/>
              </w:rPr>
              <w:t xml:space="preserve">5</w:t>
            </w:r>
          </w:p>
        </w:tc>
        <w:tc>
          <w:tcPr>
            <w:tcW w:type="dxa" w:w="3744"/>
            <w:tcMar>
              <w:top w:type="dxa" w:w="60"/>
              <w:left w:type="dxa" w:w="90"/>
              <w:bottom w:type="dxa" w:w="60"/>
              <w:right w:type="dxa" w:w="90"/>
            </w:tcMar>
          </w:tcPr>
          <w:p>
            <w:pPr>
              <w:spacing w:after="0"/>
            </w:pPr>
            <w:r>
              <w:rPr>
                <w:b w:val="false"/>
                <w:bCs w:val="false"/>
                <w:sz w:val="19"/>
                <w:szCs w:val="19"/>
              </w:rPr>
              <w:t xml:space="preserve">Review.</w:t>
            </w:r>
          </w:p>
        </w:tc>
        <w:tc>
          <w:tcPr>
            <w:tcW w:type="dxa" w:w="5054"/>
            <w:tcMar>
              <w:top w:type="dxa" w:w="60"/>
              <w:left w:type="dxa" w:w="90"/>
              <w:bottom w:type="dxa" w:w="60"/>
              <w:right w:type="dxa" w:w="90"/>
            </w:tcMar>
          </w:tcPr>
          <w:p>
            <w:pPr>
              <w:spacing w:after="0"/>
            </w:pPr>
            <w:r>
              <w:rPr>
                <w:b w:val="false"/>
                <w:bCs w:val="false"/>
                <w:sz w:val="19"/>
                <w:szCs w:val="19"/>
              </w:rPr>
              <w:t xml:space="preserve">Ten-minute demonstration, lineage walk, and the questions in section 10.</w:t>
            </w:r>
          </w:p>
        </w:tc>
      </w:tr>
    </w:tbl>
    <w:p>
      <w:pPr>
        <w:spacing w:after="160"/>
      </w:pPr>
    </w:p>
    <w:p>
      <w:pPr>
        <w:pBdr>
          <w:left w:val="single" w:color="4472C4" w:sz="18" w:space="12"/>
        </w:pBdr>
        <w:spacing w:after="160" w:before="120"/>
        <w:ind w:left="220"/>
      </w:pPr>
      <w:r>
        <w:rPr>
          <w:b/>
          <w:bCs/>
        </w:rPr>
        <w:t xml:space="preserve">Enforce the Day 3 cut.  </w:t>
      </w:r>
      <w:r>
        <w:t xml:space="preserve">Action type registered and tested by end of Day 3. In the Series A cohorts, every group that was still writing submission criteria on Day 4 morning failed to finish the Workshop module. TypeScript v2 adds a step that v1 did not have — a function must be committed </w:t>
      </w:r>
      <w:r>
        <w:rPr>
          <w:b/>
          <w:bCs/>
        </w:rPr>
        <w:t xml:space="preserve">and tagged as a release</w:t>
      </w:r>
      <w:r>
        <w:t xml:space="preserve"> before Workshop can see it — so build the tag into the Day 3 definition of done, not Day 4.</w:t>
      </w:r>
    </w:p>
    <w:p>
      <w:pPr>
        <w:pStyle w:val="Heading1"/>
        <w:pageBreakBefore/>
        <w:spacing w:after="160"/>
      </w:pPr>
      <w:r>
        <w:t xml:space="preserve">5. Ontology conventions</w:t>
      </w:r>
    </w:p>
    <w:p>
      <w:pPr>
        <w:spacing w:after="120"/>
      </w:pPr>
      <w:r>
        <w:t xml:space="preserve">Each project builds its own Ontology, so names will collide across teams unless you scope them. Two rules.</w:t>
      </w:r>
    </w:p>
    <w:p>
      <w:pPr>
        <w:pStyle w:val="ListParagraph"/>
        <w:numPr>
          <w:ilvl w:val="0"/>
          <w:numId w:val="2"/>
        </w:numPr>
        <w:spacing w:after="60"/>
      </w:pPr>
      <w:r>
        <w:rPr>
          <w:b/>
          <w:bCs/>
        </w:rPr>
        <w:t xml:space="preserve">Prefix every object type, link and action with the project number</w:t>
      </w:r>
      <w:r>
        <w:t xml:space="preserve"> — </w:t>
      </w:r>
      <w:r>
        <w:rPr>
          <w:rFonts w:ascii="Consolas" w:cs="Consolas" w:eastAsia="Consolas" w:hAnsi="Consolas"/>
          <w:sz w:val="19"/>
          <w:szCs w:val="19"/>
        </w:rPr>
        <w:t xml:space="preserve">P4 Ward</w:t>
      </w:r>
      <w:r>
        <w:t xml:space="preserve">, </w:t>
      </w:r>
      <w:r>
        <w:rPr>
          <w:rFonts w:ascii="Consolas" w:cs="Consolas" w:eastAsia="Consolas" w:hAnsi="Consolas"/>
          <w:sz w:val="19"/>
          <w:szCs w:val="19"/>
        </w:rPr>
        <w:t xml:space="preserve">P5 Clinic</w:t>
      </w:r>
      <w:r>
        <w:t xml:space="preserve">, </w:t>
      </w:r>
      <w:r>
        <w:rPr>
          <w:rFonts w:ascii="Consolas" w:cs="Consolas" w:eastAsia="Consolas" w:hAnsi="Consolas"/>
          <w:sz w:val="19"/>
          <w:szCs w:val="19"/>
        </w:rPr>
        <w:t xml:space="preserve">P6 Inpatient Admission</w:t>
      </w:r>
      <w:r>
        <w:t xml:space="preserve">. Ugly, but three teams indexing an object type called Ward into the same enrollment is worse.</w:t>
      </w:r>
    </w:p>
    <w:p>
      <w:pPr>
        <w:pStyle w:val="ListParagraph"/>
        <w:numPr>
          <w:ilvl w:val="0"/>
          <w:numId w:val="2"/>
        </w:numPr>
        <w:spacing w:after="60"/>
      </w:pPr>
      <w:r>
        <w:rPr>
          <w:b/>
          <w:bCs/>
        </w:rPr>
        <w:t xml:space="preserve">Do not share backing datasets between projects.</w:t>
      </w:r>
      <w:r>
        <w:t xml:space="preserve"> Each project owns its Transform and Ontology tiers end to end. Reading another team's output is the one shortcut that would hollow the exercise out.</w:t>
      </w:r>
    </w:p>
    <w:p>
      <w:pPr>
        <w:spacing w:after="120"/>
      </w:pPr>
      <w:r>
        <w:t xml:space="preserve">Beyond that, modelling is the team's call and is assessed. The specs in sections 7 to 9 name the object types each project needs, not every object type it may have.</w:t>
      </w:r>
    </w:p>
    <w:p>
      <w:pPr>
        <w:pBdr>
          <w:left w:val="single" w:color="4472C4" w:sz="18" w:space="12"/>
        </w:pBdr>
        <w:spacing w:after="160" w:before="120"/>
        <w:ind w:left="220"/>
      </w:pPr>
      <w:r>
        <w:rPr>
          <w:b/>
          <w:bCs/>
        </w:rPr>
        <w:t xml:space="preserve">Expect this argument, and let it run:  </w:t>
      </w:r>
      <w:r>
        <w:t xml:space="preserve">all three projects can justify a Patient object type, and none of them obviously needs one. The ED feed is pseudonymised; the pathway list has a real NHS number; the admissions list has one too but the consumer never looks a patient up by name. A team that decides against a Patient object type and can say why has done better modelling than a team that built one because there was a patients.csv.</w:t>
      </w:r>
    </w:p>
    <w:p>
      <w:pPr>
        <w:pStyle w:val="Heading1"/>
        <w:spacing w:after="160" w:before="320"/>
      </w:pPr>
      <w:r>
        <w:t xml:space="preserve">6. Platform constraints that shape all three projects</w:t>
      </w:r>
    </w:p>
    <w:p>
      <w:pPr>
        <w:spacing w:after="120"/>
      </w:pPr>
      <w:r>
        <w:t xml:space="preserve">Everything in this section was read from the Palantir documentation on 3 September 2026. It is here because each item changes what a project can ask for, and because two of them contradict the way the Series A material was written.</w:t>
      </w:r>
    </w:p>
    <w:p>
      <w:pPr>
        <w:pStyle w:val="Heading2"/>
        <w:spacing w:after="120" w:before="260"/>
      </w:pPr>
      <w:r>
        <w:t xml:space="preserve">6.1 TypeScript v2 is a different programming model</w:t>
      </w:r>
    </w:p>
    <w:p>
      <w:pPr>
        <w:spacing w:after="120"/>
      </w:pPr>
      <w:r>
        <w:t xml:space="preserve">This is the largest change from Series A, whose reference code is all v1. Do not hand a v1 sample to a v2 cohort; it will not compile and the differences are structural rather than cosmetic.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370"/>
        <w:gridCol w:w="4305"/>
      </w:tblGrid>
      <w:tr>
        <w:trPr>
          <w:tblHeader/>
        </w:trPr>
        <w:tc>
          <w:tcPr>
            <w:tcW w:type="dxa" w:w="1685"/>
            <w:shd w:fill="E8EDF5" w:val="clear"/>
            <w:tcMar>
              <w:top w:type="dxa" w:w="60"/>
              <w:left w:type="dxa" w:w="90"/>
              <w:bottom w:type="dxa" w:w="60"/>
              <w:right w:type="dxa" w:w="90"/>
            </w:tcMar>
          </w:tcPr>
          <w:p>
            <w:pPr>
              <w:spacing w:after="0"/>
            </w:pPr>
          </w:p>
        </w:tc>
        <w:tc>
          <w:tcPr>
            <w:tcW w:type="dxa" w:w="3370"/>
            <w:shd w:fill="E8EDF5" w:val="clear"/>
            <w:tcMar>
              <w:top w:type="dxa" w:w="60"/>
              <w:left w:type="dxa" w:w="90"/>
              <w:bottom w:type="dxa" w:w="60"/>
              <w:right w:type="dxa" w:w="90"/>
            </w:tcMar>
          </w:tcPr>
          <w:p>
            <w:pPr>
              <w:spacing w:after="0"/>
            </w:pPr>
            <w:r>
              <w:rPr>
                <w:b/>
                <w:bCs/>
                <w:sz w:val="19"/>
                <w:szCs w:val="19"/>
              </w:rPr>
              <w:t xml:space="preserve">TypeScript v1</w:t>
            </w:r>
          </w:p>
        </w:tc>
        <w:tc>
          <w:tcPr>
            <w:tcW w:type="dxa" w:w="4305"/>
            <w:shd w:fill="E8EDF5" w:val="clear"/>
            <w:tcMar>
              <w:top w:type="dxa" w:w="60"/>
              <w:left w:type="dxa" w:w="90"/>
              <w:bottom w:type="dxa" w:w="60"/>
              <w:right w:type="dxa" w:w="90"/>
            </w:tcMar>
          </w:tcPr>
          <w:p>
            <w:pPr>
              <w:spacing w:after="0"/>
            </w:pPr>
            <w:r>
              <w:rPr>
                <w:b/>
                <w:bCs/>
                <w:sz w:val="19"/>
                <w:szCs w:val="19"/>
              </w:rPr>
              <w:t xml:space="preserve">TypeScript v2</w:t>
            </w:r>
          </w:p>
        </w:tc>
      </w:tr>
      <w:tr>
        <w:tc>
          <w:tcPr>
            <w:tcW w:type="dxa" w:w="1685"/>
            <w:tcMar>
              <w:top w:type="dxa" w:w="60"/>
              <w:left w:type="dxa" w:w="90"/>
              <w:bottom w:type="dxa" w:w="60"/>
              <w:right w:type="dxa" w:w="90"/>
            </w:tcMar>
          </w:tcPr>
          <w:p>
            <w:pPr>
              <w:spacing w:after="0"/>
            </w:pPr>
            <w:r>
              <w:rPr>
                <w:b w:val="false"/>
                <w:bCs w:val="false"/>
                <w:sz w:val="19"/>
                <w:szCs w:val="19"/>
              </w:rPr>
              <w:t xml:space="preserve">Declaring a function</w:t>
            </w:r>
          </w:p>
        </w:tc>
        <w:tc>
          <w:tcPr>
            <w:tcW w:type="dxa" w:w="3370"/>
            <w:tcMar>
              <w:top w:type="dxa" w:w="60"/>
              <w:left w:type="dxa" w:w="90"/>
              <w:bottom w:type="dxa" w:w="60"/>
              <w:right w:type="dxa" w:w="90"/>
            </w:tcMar>
          </w:tcPr>
          <w:p>
            <w:pPr>
              <w:spacing w:after="0"/>
            </w:pPr>
            <w:r>
              <w:rPr>
                <w:b w:val="false"/>
                <w:bCs w:val="false"/>
                <w:sz w:val="19"/>
                <w:szCs w:val="19"/>
              </w:rPr>
              <w:t xml:space="preserve">A method on an exported class, annotated </w:t>
            </w:r>
            <w:r>
              <w:rPr>
                <w:rFonts w:ascii="Consolas" w:cs="Consolas" w:eastAsia="Consolas" w:hAnsi="Consolas"/>
                <w:b w:val="false"/>
                <w:bCs w:val="false"/>
                <w:sz w:val="19"/>
                <w:szCs w:val="19"/>
              </w:rPr>
              <w:t xml:space="preserve">@Function()</w:t>
            </w:r>
            <w:r>
              <w:rPr>
                <w:b w:val="false"/>
                <w:bCs w:val="false"/>
                <w:sz w:val="19"/>
                <w:szCs w:val="19"/>
              </w:rPr>
              <w:t xml:space="preserve">, in </w:t>
            </w:r>
            <w:r>
              <w:rPr>
                <w:rFonts w:ascii="Consolas" w:cs="Consolas" w:eastAsia="Consolas" w:hAnsi="Consolas"/>
                <w:b w:val="false"/>
                <w:bCs w:val="false"/>
                <w:sz w:val="19"/>
                <w:szCs w:val="19"/>
              </w:rPr>
              <w:t xml:space="preserve">src/index.ts</w:t>
            </w:r>
            <w:r>
              <w:rPr>
                <w:b w:val="false"/>
                <w:bCs w:val="false"/>
                <w:sz w:val="19"/>
                <w:szCs w:val="19"/>
              </w:rPr>
              <w:t xml:space="preserve">.</w:t>
            </w:r>
          </w:p>
        </w:tc>
        <w:tc>
          <w:tcPr>
            <w:tcW w:type="dxa" w:w="430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export default function</w:t>
            </w:r>
            <w:r>
              <w:rPr>
                <w:b w:val="false"/>
                <w:bCs w:val="false"/>
                <w:sz w:val="19"/>
                <w:szCs w:val="19"/>
              </w:rPr>
              <w:t xml:space="preserve"> in its own file under </w:t>
            </w:r>
            <w:r>
              <w:rPr>
                <w:rFonts w:ascii="Consolas" w:cs="Consolas" w:eastAsia="Consolas" w:hAnsi="Consolas"/>
                <w:b w:val="false"/>
                <w:bCs w:val="false"/>
                <w:sz w:val="19"/>
                <w:szCs w:val="19"/>
              </w:rPr>
              <w:t xml:space="preserve">src/functions/</w:t>
            </w:r>
            <w:r>
              <w:rPr>
                <w:b w:val="false"/>
                <w:bCs w:val="false"/>
                <w:sz w:val="19"/>
                <w:szCs w:val="19"/>
              </w:rPr>
              <w:t xml:space="preserve">. </w:t>
            </w:r>
            <w:r>
              <w:rPr>
                <w:b/>
                <w:bCs/>
                <w:sz w:val="19"/>
                <w:szCs w:val="19"/>
              </w:rPr>
              <w:t xml:space="preserve">The filename must match the function name.</w:t>
            </w:r>
          </w:p>
        </w:tc>
      </w:tr>
      <w:tr>
        <w:tc>
          <w:tcPr>
            <w:tcW w:type="dxa" w:w="1685"/>
            <w:tcMar>
              <w:top w:type="dxa" w:w="60"/>
              <w:left w:type="dxa" w:w="90"/>
              <w:bottom w:type="dxa" w:w="60"/>
              <w:right w:type="dxa" w:w="90"/>
            </w:tcMar>
          </w:tcPr>
          <w:p>
            <w:pPr>
              <w:spacing w:after="0"/>
            </w:pPr>
            <w:r>
              <w:rPr>
                <w:b w:val="false"/>
                <w:bCs w:val="false"/>
                <w:sz w:val="19"/>
                <w:szCs w:val="19"/>
              </w:rPr>
              <w:t xml:space="preserve">Runtime</w:t>
            </w:r>
          </w:p>
        </w:tc>
        <w:tc>
          <w:tcPr>
            <w:tcW w:type="dxa" w:w="3370"/>
            <w:tcMar>
              <w:top w:type="dxa" w:w="60"/>
              <w:left w:type="dxa" w:w="90"/>
              <w:bottom w:type="dxa" w:w="60"/>
              <w:right w:type="dxa" w:w="90"/>
            </w:tcMar>
          </w:tcPr>
          <w:p>
            <w:pPr>
              <w:spacing w:after="0"/>
            </w:pPr>
            <w:r>
              <w:rPr>
                <w:b w:val="false"/>
                <w:bCs w:val="false"/>
                <w:sz w:val="19"/>
                <w:szCs w:val="19"/>
              </w:rPr>
              <w:t xml:space="preserve">Sandboxed.</w:t>
            </w:r>
          </w:p>
        </w:tc>
        <w:tc>
          <w:tcPr>
            <w:tcW w:type="dxa" w:w="4305"/>
            <w:tcMar>
              <w:top w:type="dxa" w:w="60"/>
              <w:left w:type="dxa" w:w="90"/>
              <w:bottom w:type="dxa" w:w="60"/>
              <w:right w:type="dxa" w:w="90"/>
            </w:tcMar>
          </w:tcPr>
          <w:p>
            <w:pPr>
              <w:spacing w:after="0"/>
            </w:pPr>
            <w:r>
              <w:rPr>
                <w:b w:val="false"/>
                <w:bCs w:val="false"/>
                <w:sz w:val="19"/>
                <w:szCs w:val="19"/>
              </w:rPr>
              <w:t xml:space="preserve">Node.js. The NPM ecosystem is available — </w:t>
            </w:r>
            <w:r>
              <w:rPr>
                <w:rFonts w:ascii="Consolas" w:cs="Consolas" w:eastAsia="Consolas" w:hAnsi="Consolas"/>
                <w:b w:val="false"/>
                <w:bCs w:val="false"/>
                <w:sz w:val="19"/>
                <w:szCs w:val="19"/>
              </w:rPr>
              <w:t xml:space="preserve">dayjs</w:t>
            </w:r>
            <w:r>
              <w:rPr>
                <w:b w:val="false"/>
                <w:bCs w:val="false"/>
                <w:sz w:val="19"/>
                <w:szCs w:val="19"/>
              </w:rPr>
              <w:t xml:space="preserve">, </w:t>
            </w:r>
            <w:r>
              <w:rPr>
                <w:rFonts w:ascii="Consolas" w:cs="Consolas" w:eastAsia="Consolas" w:hAnsi="Consolas"/>
                <w:b w:val="false"/>
                <w:bCs w:val="false"/>
                <w:sz w:val="19"/>
                <w:szCs w:val="19"/>
              </w:rPr>
              <w:t xml:space="preserve">date-fns</w:t>
            </w:r>
            <w:r>
              <w:rPr>
                <w:b w:val="false"/>
                <w:bCs w:val="false"/>
                <w:sz w:val="19"/>
                <w:szCs w:val="19"/>
              </w:rPr>
              <w:t xml:space="preserve">, </w:t>
            </w:r>
            <w:r>
              <w:rPr>
                <w:rFonts w:ascii="Consolas" w:cs="Consolas" w:eastAsia="Consolas" w:hAnsi="Consolas"/>
                <w:b w:val="false"/>
                <w:bCs w:val="false"/>
                <w:sz w:val="19"/>
                <w:szCs w:val="19"/>
              </w:rPr>
              <w:t xml:space="preserve">node:crypto</w:t>
            </w:r>
            <w:r>
              <w:rPr>
                <w:b w:val="false"/>
                <w:bCs w:val="false"/>
                <w:sz w:val="19"/>
                <w:szCs w:val="19"/>
              </w:rPr>
              <w:t xml:space="preserve">.</w:t>
            </w:r>
          </w:p>
        </w:tc>
      </w:tr>
      <w:tr>
        <w:tc>
          <w:tcPr>
            <w:tcW w:type="dxa" w:w="1685"/>
            <w:tcMar>
              <w:top w:type="dxa" w:w="60"/>
              <w:left w:type="dxa" w:w="90"/>
              <w:bottom w:type="dxa" w:w="60"/>
              <w:right w:type="dxa" w:w="90"/>
            </w:tcMar>
          </w:tcPr>
          <w:p>
            <w:pPr>
              <w:spacing w:after="0"/>
            </w:pPr>
            <w:r>
              <w:rPr>
                <w:b w:val="false"/>
                <w:bCs w:val="false"/>
                <w:sz w:val="19"/>
                <w:szCs w:val="19"/>
              </w:rPr>
              <w:t xml:space="preserve">Primitive types</w:t>
            </w:r>
          </w:p>
        </w:tc>
        <w:tc>
          <w:tcPr>
            <w:tcW w:type="dxa" w:w="337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@foundry/functions-api</w:t>
            </w:r>
          </w:p>
        </w:tc>
        <w:tc>
          <w:tcPr>
            <w:tcW w:type="dxa" w:w="430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@osdk/functions</w:t>
            </w:r>
          </w:p>
        </w:tc>
      </w:tr>
      <w:tr>
        <w:tc>
          <w:tcPr>
            <w:tcW w:type="dxa" w:w="1685"/>
            <w:tcMar>
              <w:top w:type="dxa" w:w="60"/>
              <w:left w:type="dxa" w:w="90"/>
              <w:bottom w:type="dxa" w:w="60"/>
              <w:right w:type="dxa" w:w="90"/>
            </w:tcMar>
          </w:tcPr>
          <w:p>
            <w:pPr>
              <w:spacing w:after="0"/>
            </w:pPr>
            <w:r>
              <w:rPr>
                <w:b w:val="false"/>
                <w:bCs w:val="false"/>
                <w:sz w:val="19"/>
                <w:szCs w:val="19"/>
              </w:rPr>
              <w:t xml:space="preserve">Ontology access</w:t>
            </w:r>
          </w:p>
        </w:tc>
        <w:tc>
          <w:tcPr>
            <w:tcW w:type="dxa" w:w="337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Objects.search()</w:t>
            </w:r>
            <w:r>
              <w:rPr>
                <w:b w:val="false"/>
                <w:bCs w:val="false"/>
                <w:sz w:val="19"/>
                <w:szCs w:val="19"/>
              </w:rPr>
              <w:t xml:space="preserve"> from </w:t>
            </w:r>
            <w:r>
              <w:rPr>
                <w:rFonts w:ascii="Consolas" w:cs="Consolas" w:eastAsia="Consolas" w:hAnsi="Consolas"/>
                <w:b w:val="false"/>
                <w:bCs w:val="false"/>
                <w:sz w:val="19"/>
                <w:szCs w:val="19"/>
              </w:rPr>
              <w:t xml:space="preserve">@foundry/ontology-api</w:t>
            </w:r>
          </w:p>
        </w:tc>
        <w:tc>
          <w:tcPr>
            <w:tcW w:type="dxa" w:w="4305"/>
            <w:tcMar>
              <w:top w:type="dxa" w:w="60"/>
              <w:left w:type="dxa" w:w="90"/>
              <w:bottom w:type="dxa" w:w="60"/>
              <w:right w:type="dxa" w:w="90"/>
            </w:tcMar>
          </w:tcPr>
          <w:p>
            <w:pPr>
              <w:spacing w:after="0"/>
            </w:pPr>
            <w:r>
              <w:rPr>
                <w:b w:val="false"/>
                <w:bCs w:val="false"/>
                <w:sz w:val="19"/>
                <w:szCs w:val="19"/>
              </w:rPr>
              <w:t xml:space="preserve">The generated Ontology SDK. A </w:t>
            </w:r>
            <w:r>
              <w:rPr>
                <w:rFonts w:ascii="Consolas" w:cs="Consolas" w:eastAsia="Consolas" w:hAnsi="Consolas"/>
                <w:b w:val="false"/>
                <w:bCs w:val="false"/>
                <w:sz w:val="19"/>
                <w:szCs w:val="19"/>
              </w:rPr>
              <w:t xml:space="preserve">Client</w:t>
            </w:r>
            <w:r>
              <w:rPr>
                <w:b w:val="false"/>
                <w:bCs w:val="false"/>
                <w:sz w:val="19"/>
                <w:szCs w:val="19"/>
              </w:rPr>
              <w:t xml:space="preserve"> is the </w:t>
            </w:r>
            <w:r>
              <w:rPr>
                <w:b/>
                <w:bCs/>
                <w:sz w:val="19"/>
                <w:szCs w:val="19"/>
              </w:rPr>
              <w:t xml:space="preserve">first argument</w:t>
            </w:r>
            <w:r>
              <w:rPr>
                <w:b w:val="false"/>
                <w:bCs w:val="false"/>
                <w:sz w:val="19"/>
                <w:szCs w:val="19"/>
              </w:rPr>
              <w:t xml:space="preserve"> of the function.</w:t>
            </w:r>
          </w:p>
        </w:tc>
      </w:tr>
      <w:tr>
        <w:tc>
          <w:tcPr>
            <w:tcW w:type="dxa" w:w="1685"/>
            <w:tcMar>
              <w:top w:type="dxa" w:w="60"/>
              <w:left w:type="dxa" w:w="90"/>
              <w:bottom w:type="dxa" w:w="60"/>
              <w:right w:type="dxa" w:w="90"/>
            </w:tcMar>
          </w:tcPr>
          <w:p>
            <w:pPr>
              <w:spacing w:after="0"/>
            </w:pPr>
            <w:r>
              <w:rPr>
                <w:b w:val="false"/>
                <w:bCs w:val="false"/>
                <w:sz w:val="19"/>
                <w:szCs w:val="19"/>
              </w:rPr>
              <w:t xml:space="preserve">Dates</w:t>
            </w:r>
          </w:p>
        </w:tc>
        <w:tc>
          <w:tcPr>
            <w:tcW w:type="dxa" w:w="337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LocalDate</w:t>
            </w:r>
            <w:r>
              <w:rPr>
                <w:b w:val="false"/>
                <w:bCs w:val="false"/>
                <w:sz w:val="19"/>
                <w:szCs w:val="19"/>
              </w:rPr>
              <w:t xml:space="preserve">, </w:t>
            </w:r>
            <w:r>
              <w:rPr>
                <w:rFonts w:ascii="Consolas" w:cs="Consolas" w:eastAsia="Consolas" w:hAnsi="Consolas"/>
                <w:b w:val="false"/>
                <w:bCs w:val="false"/>
                <w:sz w:val="19"/>
                <w:szCs w:val="19"/>
              </w:rPr>
              <w:t xml:space="preserve">Timestamp</w:t>
            </w:r>
          </w:p>
        </w:tc>
        <w:tc>
          <w:tcPr>
            <w:tcW w:type="dxa" w:w="430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DateISOString</w:t>
            </w:r>
            <w:r>
              <w:rPr>
                <w:b w:val="false"/>
                <w:bCs w:val="false"/>
                <w:sz w:val="19"/>
                <w:szCs w:val="19"/>
              </w:rPr>
              <w:t xml:space="preserve">, </w:t>
            </w:r>
            <w:r>
              <w:rPr>
                <w:rFonts w:ascii="Consolas" w:cs="Consolas" w:eastAsia="Consolas" w:hAnsi="Consolas"/>
                <w:b w:val="false"/>
                <w:bCs w:val="false"/>
                <w:sz w:val="19"/>
                <w:szCs w:val="19"/>
              </w:rPr>
              <w:t xml:space="preserve">TimestampISOString</w:t>
            </w:r>
            <w:r>
              <w:rPr>
                <w:b w:val="false"/>
                <w:bCs w:val="false"/>
                <w:sz w:val="19"/>
                <w:szCs w:val="19"/>
              </w:rPr>
              <w:t xml:space="preserve"> — ISO 8601 strings</w:t>
            </w:r>
          </w:p>
        </w:tc>
      </w:tr>
      <w:tr>
        <w:tc>
          <w:tcPr>
            <w:tcW w:type="dxa" w:w="1685"/>
            <w:tcMar>
              <w:top w:type="dxa" w:w="60"/>
              <w:left w:type="dxa" w:w="90"/>
              <w:bottom w:type="dxa" w:w="60"/>
              <w:right w:type="dxa" w:w="90"/>
            </w:tcMar>
          </w:tcPr>
          <w:p>
            <w:pPr>
              <w:spacing w:after="0"/>
            </w:pPr>
            <w:r>
              <w:rPr>
                <w:b w:val="false"/>
                <w:bCs w:val="false"/>
                <w:sz w:val="19"/>
                <w:szCs w:val="19"/>
              </w:rPr>
              <w:t xml:space="preserve">An object parameter</w:t>
            </w:r>
          </w:p>
        </w:tc>
        <w:tc>
          <w:tcPr>
            <w:tcW w:type="dxa" w:w="337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MyObjectType</w:t>
            </w:r>
          </w:p>
        </w:tc>
        <w:tc>
          <w:tcPr>
            <w:tcW w:type="dxa" w:w="430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Osdk.Instance&lt;MyObjectType&gt;</w:t>
            </w:r>
          </w:p>
        </w:tc>
      </w:tr>
      <w:tr>
        <w:tc>
          <w:tcPr>
            <w:tcW w:type="dxa" w:w="1685"/>
            <w:tcMar>
              <w:top w:type="dxa" w:w="60"/>
              <w:left w:type="dxa" w:w="90"/>
              <w:bottom w:type="dxa" w:w="60"/>
              <w:right w:type="dxa" w:w="90"/>
            </w:tcMar>
          </w:tcPr>
          <w:p>
            <w:pPr>
              <w:spacing w:after="0"/>
            </w:pPr>
            <w:r>
              <w:rPr>
                <w:b w:val="false"/>
                <w:bCs w:val="false"/>
                <w:sz w:val="19"/>
                <w:szCs w:val="19"/>
              </w:rPr>
              <w:t xml:space="preserve">An object set parameter</w:t>
            </w:r>
          </w:p>
        </w:tc>
        <w:tc>
          <w:tcPr>
            <w:tcW w:type="dxa" w:w="337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ObjectSet&lt;MyObjectType&gt;</w:t>
            </w:r>
          </w:p>
        </w:tc>
        <w:tc>
          <w:tcPr>
            <w:tcW w:type="dxa" w:w="430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ObjectSet&lt;MyObjectType&gt;</w:t>
            </w:r>
            <w:r>
              <w:rPr>
                <w:b w:val="false"/>
                <w:bCs w:val="false"/>
                <w:sz w:val="19"/>
                <w:szCs w:val="19"/>
              </w:rPr>
              <w:t xml:space="preserve"> — unchanged</w:t>
            </w:r>
          </w:p>
        </w:tc>
      </w:tr>
      <w:tr>
        <w:tc>
          <w:tcPr>
            <w:tcW w:type="dxa" w:w="1685"/>
            <w:tcMar>
              <w:top w:type="dxa" w:w="60"/>
              <w:left w:type="dxa" w:w="90"/>
              <w:bottom w:type="dxa" w:w="60"/>
              <w:right w:type="dxa" w:w="90"/>
            </w:tcMar>
          </w:tcPr>
          <w:p>
            <w:pPr>
              <w:spacing w:after="0"/>
            </w:pPr>
            <w:r>
              <w:rPr>
                <w:b w:val="false"/>
                <w:bCs w:val="false"/>
                <w:sz w:val="19"/>
                <w:szCs w:val="19"/>
              </w:rPr>
              <w:t xml:space="preserve">A map return type</w:t>
            </w:r>
          </w:p>
        </w:tc>
        <w:tc>
          <w:tcPr>
            <w:tcW w:type="dxa" w:w="337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FunctionsMap&lt;K, V&gt;</w:t>
            </w:r>
          </w:p>
        </w:tc>
        <w:tc>
          <w:tcPr>
            <w:tcW w:type="dxa" w:w="430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Record&lt;K, V&gt;</w:t>
            </w:r>
          </w:p>
        </w:tc>
      </w:tr>
      <w:tr>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Long</w:t>
            </w:r>
          </w:p>
        </w:tc>
        <w:tc>
          <w:tcPr>
            <w:tcW w:type="dxa" w:w="3370"/>
            <w:tcMar>
              <w:top w:type="dxa" w:w="60"/>
              <w:left w:type="dxa" w:w="90"/>
              <w:bottom w:type="dxa" w:w="60"/>
              <w:right w:type="dxa" w:w="90"/>
            </w:tcMar>
          </w:tcPr>
          <w:p>
            <w:pPr>
              <w:spacing w:after="0"/>
            </w:pPr>
            <w:r>
              <w:rPr>
                <w:b w:val="false"/>
                <w:bCs w:val="false"/>
                <w:sz w:val="19"/>
                <w:szCs w:val="19"/>
              </w:rPr>
              <w:t xml:space="preserve">alias for </w:t>
            </w:r>
            <w:r>
              <w:rPr>
                <w:rFonts w:ascii="Consolas" w:cs="Consolas" w:eastAsia="Consolas" w:hAnsi="Consolas"/>
                <w:b w:val="false"/>
                <w:bCs w:val="false"/>
                <w:sz w:val="19"/>
                <w:szCs w:val="19"/>
              </w:rPr>
              <w:t xml:space="preserve">number</w:t>
            </w:r>
          </w:p>
        </w:tc>
        <w:tc>
          <w:tcPr>
            <w:tcW w:type="dxa" w:w="4305"/>
            <w:tcMar>
              <w:top w:type="dxa" w:w="60"/>
              <w:left w:type="dxa" w:w="90"/>
              <w:bottom w:type="dxa" w:w="60"/>
              <w:right w:type="dxa" w:w="90"/>
            </w:tcMar>
          </w:tcPr>
          <w:p>
            <w:pPr>
              <w:spacing w:after="0"/>
            </w:pPr>
            <w:r>
              <w:rPr>
                <w:b w:val="false"/>
                <w:bCs w:val="false"/>
                <w:sz w:val="19"/>
                <w:szCs w:val="19"/>
              </w:rPr>
              <w:t xml:space="preserve">alias for </w:t>
            </w:r>
            <w:r>
              <w:rPr>
                <w:b/>
                <w:bCs/>
                <w:sz w:val="19"/>
                <w:szCs w:val="19"/>
              </w:rPr>
              <w:t xml:space="preserve">`string`</w:t>
            </w:r>
          </w:p>
        </w:tc>
      </w:tr>
      <w:tr>
        <w:tc>
          <w:tcPr>
            <w:tcW w:type="dxa" w:w="1685"/>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Set&lt;T&gt;</w:t>
            </w:r>
          </w:p>
        </w:tc>
        <w:tc>
          <w:tcPr>
            <w:tcW w:type="dxa" w:w="3370"/>
            <w:tcMar>
              <w:top w:type="dxa" w:w="60"/>
              <w:left w:type="dxa" w:w="90"/>
              <w:bottom w:type="dxa" w:w="60"/>
              <w:right w:type="dxa" w:w="90"/>
            </w:tcMar>
          </w:tcPr>
          <w:p>
            <w:pPr>
              <w:spacing w:after="0"/>
            </w:pPr>
            <w:r>
              <w:rPr>
                <w:b w:val="false"/>
                <w:bCs w:val="false"/>
                <w:sz w:val="19"/>
                <w:szCs w:val="19"/>
              </w:rPr>
              <w:t xml:space="preserve">Supported</w:t>
            </w:r>
          </w:p>
        </w:tc>
        <w:tc>
          <w:tcPr>
            <w:tcW w:type="dxa" w:w="4305"/>
            <w:tcMar>
              <w:top w:type="dxa" w:w="60"/>
              <w:left w:type="dxa" w:w="90"/>
              <w:bottom w:type="dxa" w:w="60"/>
              <w:right w:type="dxa" w:w="90"/>
            </w:tcMar>
          </w:tcPr>
          <w:p>
            <w:pPr>
              <w:spacing w:after="0"/>
            </w:pPr>
            <w:r>
              <w:rPr>
                <w:b w:val="false"/>
                <w:bCs w:val="false"/>
                <w:sz w:val="19"/>
                <w:szCs w:val="19"/>
              </w:rPr>
              <w:t xml:space="preserve">Not supported</w:t>
            </w:r>
          </w:p>
        </w:tc>
      </w:tr>
      <w:tr>
        <w:tc>
          <w:tcPr>
            <w:tcW w:type="dxa" w:w="1685"/>
            <w:tcMar>
              <w:top w:type="dxa" w:w="60"/>
              <w:left w:type="dxa" w:w="90"/>
              <w:bottom w:type="dxa" w:w="60"/>
              <w:right w:type="dxa" w:w="90"/>
            </w:tcMar>
          </w:tcPr>
          <w:p>
            <w:pPr>
              <w:spacing w:after="0"/>
            </w:pPr>
            <w:r>
              <w:rPr>
                <w:b w:val="false"/>
                <w:bCs w:val="false"/>
                <w:sz w:val="19"/>
                <w:szCs w:val="19"/>
              </w:rPr>
              <w:t xml:space="preserve">Interfaces</w:t>
            </w:r>
          </w:p>
        </w:tc>
        <w:tc>
          <w:tcPr>
            <w:tcW w:type="dxa" w:w="3370"/>
            <w:tcMar>
              <w:top w:type="dxa" w:w="60"/>
              <w:left w:type="dxa" w:w="90"/>
              <w:bottom w:type="dxa" w:w="60"/>
              <w:right w:type="dxa" w:w="90"/>
            </w:tcMar>
          </w:tcPr>
          <w:p>
            <w:pPr>
              <w:spacing w:after="0"/>
            </w:pPr>
            <w:r>
              <w:rPr>
                <w:b w:val="false"/>
                <w:bCs w:val="false"/>
                <w:sz w:val="19"/>
                <w:szCs w:val="19"/>
              </w:rPr>
              <w:t xml:space="preserve">Not supported</w:t>
            </w:r>
          </w:p>
        </w:tc>
        <w:tc>
          <w:tcPr>
            <w:tcW w:type="dxa" w:w="4305"/>
            <w:tcMar>
              <w:top w:type="dxa" w:w="60"/>
              <w:left w:type="dxa" w:w="90"/>
              <w:bottom w:type="dxa" w:w="60"/>
              <w:right w:type="dxa" w:w="90"/>
            </w:tcMar>
          </w:tcPr>
          <w:p>
            <w:pPr>
              <w:spacing w:after="0"/>
            </w:pPr>
            <w:r>
              <w:rPr>
                <w:b w:val="false"/>
                <w:bCs w:val="false"/>
                <w:sz w:val="19"/>
                <w:szCs w:val="19"/>
              </w:rPr>
              <w:t xml:space="preserve">Supported — </w:t>
            </w:r>
            <w:r>
              <w:rPr>
                <w:rFonts w:ascii="Consolas" w:cs="Consolas" w:eastAsia="Consolas" w:hAnsi="Consolas"/>
                <w:b w:val="false"/>
                <w:bCs w:val="false"/>
                <w:sz w:val="19"/>
                <w:szCs w:val="19"/>
              </w:rPr>
              <w:t xml:space="preserve">Osdk.Instance&lt;MyInterface&gt;</w:t>
            </w:r>
          </w:p>
        </w:tc>
      </w:tr>
      <w:tr>
        <w:tc>
          <w:tcPr>
            <w:tcW w:type="dxa" w:w="1685"/>
            <w:tcMar>
              <w:top w:type="dxa" w:w="60"/>
              <w:left w:type="dxa" w:w="90"/>
              <w:bottom w:type="dxa" w:w="60"/>
              <w:right w:type="dxa" w:w="90"/>
            </w:tcMar>
          </w:tcPr>
          <w:p>
            <w:pPr>
              <w:spacing w:after="0"/>
            </w:pPr>
            <w:r>
              <w:rPr>
                <w:b w:val="false"/>
                <w:bCs w:val="false"/>
                <w:sz w:val="19"/>
                <w:szCs w:val="19"/>
              </w:rPr>
              <w:t xml:space="preserve">Editing the Ontology</w:t>
            </w:r>
          </w:p>
        </w:tc>
        <w:tc>
          <w:tcPr>
            <w:tcW w:type="dxa" w:w="3370"/>
            <w:tcMar>
              <w:top w:type="dxa" w:w="60"/>
              <w:left w:type="dxa" w:w="90"/>
              <w:bottom w:type="dxa" w:w="60"/>
              <w:right w:type="dxa" w:w="90"/>
            </w:tcMar>
          </w:tcPr>
          <w:p>
            <w:pPr>
              <w:spacing w:after="0"/>
            </w:pPr>
            <w:r>
              <w:rPr>
                <w:b w:val="false"/>
                <w:bCs w:val="false"/>
                <w:sz w:val="19"/>
                <w:szCs w:val="19"/>
              </w:rPr>
              <w:t xml:space="preserve">Mutate the object; </w:t>
            </w:r>
            <w:r>
              <w:rPr>
                <w:rFonts w:ascii="Consolas" w:cs="Consolas" w:eastAsia="Consolas" w:hAnsi="Consolas"/>
                <w:b w:val="false"/>
                <w:bCs w:val="false"/>
                <w:sz w:val="19"/>
                <w:szCs w:val="19"/>
              </w:rPr>
              <w:t xml:space="preserve">@Edits(...)</w:t>
            </w:r>
            <w:r>
              <w:rPr>
                <w:b w:val="false"/>
                <w:bCs w:val="false"/>
                <w:sz w:val="19"/>
                <w:szCs w:val="19"/>
              </w:rPr>
              <w:t xml:space="preserve">; return </w:t>
            </w:r>
            <w:r>
              <w:rPr>
                <w:rFonts w:ascii="Consolas" w:cs="Consolas" w:eastAsia="Consolas" w:hAnsi="Consolas"/>
                <w:b w:val="false"/>
                <w:bCs w:val="false"/>
                <w:sz w:val="19"/>
                <w:szCs w:val="19"/>
              </w:rPr>
              <w:t xml:space="preserve">void</w:t>
            </w:r>
            <w:r>
              <w:rPr>
                <w:b w:val="false"/>
                <w:bCs w:val="false"/>
                <w:sz w:val="19"/>
                <w:szCs w:val="19"/>
              </w:rPr>
              <w:t xml:space="preserve">.</w:t>
            </w:r>
          </w:p>
        </w:tc>
        <w:tc>
          <w:tcPr>
            <w:tcW w:type="dxa" w:w="4305"/>
            <w:tcMar>
              <w:top w:type="dxa" w:w="60"/>
              <w:left w:type="dxa" w:w="90"/>
              <w:bottom w:type="dxa" w:w="60"/>
              <w:right w:type="dxa" w:w="90"/>
            </w:tcMar>
          </w:tcPr>
          <w:p>
            <w:pPr>
              <w:spacing w:after="0"/>
            </w:pPr>
            <w:r>
              <w:rPr>
                <w:b w:val="false"/>
                <w:bCs w:val="false"/>
                <w:sz w:val="19"/>
                <w:szCs w:val="19"/>
              </w:rPr>
              <w:t xml:space="preserve">Build a </w:t>
            </w:r>
            <w:r>
              <w:rPr>
                <w:rFonts w:ascii="Consolas" w:cs="Consolas" w:eastAsia="Consolas" w:hAnsi="Consolas"/>
                <w:b w:val="false"/>
                <w:bCs w:val="false"/>
                <w:sz w:val="19"/>
                <w:szCs w:val="19"/>
              </w:rPr>
              <w:t xml:space="preserve">createEditBatch</w:t>
            </w:r>
            <w:r>
              <w:rPr>
                <w:b w:val="false"/>
                <w:bCs w:val="false"/>
                <w:sz w:val="19"/>
                <w:szCs w:val="19"/>
              </w:rPr>
              <w:t xml:space="preserve">, call </w:t>
            </w:r>
            <w:r>
              <w:rPr>
                <w:rFonts w:ascii="Consolas" w:cs="Consolas" w:eastAsia="Consolas" w:hAnsi="Consolas"/>
                <w:b w:val="false"/>
                <w:bCs w:val="false"/>
                <w:sz w:val="19"/>
                <w:szCs w:val="19"/>
              </w:rPr>
              <w:t xml:space="preserve">batch.update(...)</w:t>
            </w:r>
            <w:r>
              <w:rPr>
                <w:b w:val="false"/>
                <w:bCs w:val="false"/>
                <w:sz w:val="19"/>
                <w:szCs w:val="19"/>
              </w:rPr>
              <w:t xml:space="preserve">, and </w:t>
            </w:r>
            <w:r>
              <w:rPr>
                <w:b/>
                <w:bCs/>
                <w:sz w:val="19"/>
                <w:szCs w:val="19"/>
              </w:rPr>
              <w:t xml:space="preserve">return `batch.getEdits()`</w:t>
            </w:r>
            <w:r>
              <w:rPr>
                <w:b w:val="false"/>
                <w:bCs w:val="false"/>
                <w:sz w:val="19"/>
                <w:szCs w:val="19"/>
              </w:rPr>
              <w:t xml:space="preserve">.</w:t>
            </w:r>
          </w:p>
        </w:tc>
      </w:tr>
    </w:tbl>
    <w:p>
      <w:pPr>
        <w:spacing w:after="160"/>
      </w:pPr>
    </w:p>
    <w:p>
      <w:pPr>
        <w:spacing w:after="120"/>
      </w:pPr>
      <w:r>
        <w:t xml:space="preserve">A minimal v2 read function, for the shape rather than the logic:</w:t>
      </w:r>
    </w:p>
    <w:p>
      <w:pPr>
        <w:shd w:fill="F4F5F7" w:val="clear"/>
        <w:spacing w:after="0" w:before="60"/>
        <w:ind w:left="280"/>
      </w:pPr>
      <w:r>
        <w:rPr>
          <w:rFonts w:ascii="Consolas" w:cs="Consolas" w:eastAsia="Consolas" w:hAnsi="Consolas"/>
          <w:sz w:val="17"/>
          <w:szCs w:val="17"/>
        </w:rPr>
        <w:t xml:space="preserve">// src/functions/countAvailableBeds.ts</w:t>
      </w:r>
    </w:p>
    <w:p>
      <w:pPr>
        <w:shd w:fill="F4F5F7" w:val="clear"/>
        <w:spacing w:after="0" w:before="0"/>
        <w:ind w:left="280"/>
      </w:pPr>
      <w:r>
        <w:rPr>
          <w:rFonts w:ascii="Consolas" w:cs="Consolas" w:eastAsia="Consolas" w:hAnsi="Consolas"/>
          <w:sz w:val="17"/>
          <w:szCs w:val="17"/>
        </w:rPr>
        <w:t xml:space="preserve">import { Bed } from "@ontology/sdk";</w:t>
      </w:r>
    </w:p>
    <w:p>
      <w:pPr>
        <w:shd w:fill="F4F5F7" w:val="clear"/>
        <w:spacing w:after="0" w:before="0"/>
        <w:ind w:left="280"/>
      </w:pPr>
      <w:r>
        <w:rPr>
          <w:rFonts w:ascii="Consolas" w:cs="Consolas" w:eastAsia="Consolas" w:hAnsi="Consolas"/>
          <w:sz w:val="17"/>
          <w:szCs w:val="17"/>
        </w:rPr>
        <w:t xml:space="preserve">import { Client } from "@osdk/client";</w:t>
      </w:r>
    </w:p>
    <w:p>
      <w:pPr>
        <w:shd w:fill="F4F5F7" w:val="clear"/>
        <w:spacing w:after="0" w:before="0"/>
        <w:ind w:left="280"/>
      </w:pPr>
      <w:r>
        <w:rPr>
          <w:rFonts w:ascii="Consolas" w:cs="Consolas" w:eastAsia="Consolas" w:hAnsi="Consolas"/>
          <w:sz w:val="17"/>
          <w:szCs w:val="17"/>
        </w:rPr>
        <w:t xml:space="preserve">import { Integer } from "@osdk/functions";</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export default async function countAvailableBeds(client: Client): Promise&lt;Integer&gt; {</w:t>
      </w:r>
    </w:p>
    <w:p>
      <w:pPr>
        <w:shd w:fill="F4F5F7" w:val="clear"/>
        <w:spacing w:after="0" w:before="0"/>
        <w:ind w:left="280"/>
      </w:pPr>
      <w:r>
        <w:rPr>
          <w:rFonts w:ascii="Consolas" w:cs="Consolas" w:eastAsia="Consolas" w:hAnsi="Consolas"/>
          <w:sz w:val="17"/>
          <w:szCs w:val="17"/>
        </w:rPr>
        <w:t xml:space="preserve">    const result = await client(Bed)</w:t>
      </w:r>
    </w:p>
    <w:p>
      <w:pPr>
        <w:shd w:fill="F4F5F7" w:val="clear"/>
        <w:spacing w:after="0" w:before="0"/>
        <w:ind w:left="280"/>
      </w:pPr>
      <w:r>
        <w:rPr>
          <w:rFonts w:ascii="Consolas" w:cs="Consolas" w:eastAsia="Consolas" w:hAnsi="Consolas"/>
          <w:sz w:val="17"/>
          <w:szCs w:val="17"/>
        </w:rPr>
        <w:t xml:space="preserve">        .where({ status: "Available" })</w:t>
      </w:r>
    </w:p>
    <w:p>
      <w:pPr>
        <w:shd w:fill="F4F5F7" w:val="clear"/>
        <w:spacing w:after="0" w:before="0"/>
        <w:ind w:left="280"/>
      </w:pPr>
      <w:r>
        <w:rPr>
          <w:rFonts w:ascii="Consolas" w:cs="Consolas" w:eastAsia="Consolas" w:hAnsi="Consolas"/>
          <w:sz w:val="17"/>
          <w:szCs w:val="17"/>
        </w:rPr>
        <w:t xml:space="preserve">        .aggregate({ $select: { $count: "unordered" } });</w:t>
      </w:r>
    </w:p>
    <w:p>
      <w:pPr>
        <w:shd w:fill="F4F5F7" w:val="clear"/>
        <w:spacing w:after="0" w:before="0"/>
        <w:ind w:left="280"/>
      </w:pPr>
      <w:r>
        <w:rPr>
          <w:rFonts w:ascii="Consolas" w:cs="Consolas" w:eastAsia="Consolas" w:hAnsi="Consolas"/>
          <w:sz w:val="17"/>
          <w:szCs w:val="17"/>
        </w:rPr>
        <w:t xml:space="preserve">    return result.$count;</w:t>
      </w:r>
    </w:p>
    <w:p>
      <w:pPr>
        <w:shd w:fill="F4F5F7" w:val="clear"/>
        <w:spacing w:after="140" w:before="0"/>
        <w:ind w:left="280"/>
      </w:pPr>
      <w:r>
        <w:rPr>
          <w:rFonts w:ascii="Consolas" w:cs="Consolas" w:eastAsia="Consolas" w:hAnsi="Consolas"/>
          <w:sz w:val="17"/>
          <w:szCs w:val="17"/>
        </w:rPr>
        <w:t xml:space="preserve">}</w:t>
      </w:r>
    </w:p>
    <w:p>
      <w:pPr>
        <w:spacing w:after="120"/>
      </w:pPr>
      <w:r>
        <w:t xml:space="preserve">And an edit function, which is where the model differs most:</w:t>
      </w:r>
    </w:p>
    <w:p>
      <w:pPr>
        <w:shd w:fill="F4F5F7" w:val="clear"/>
        <w:spacing w:after="0" w:before="60"/>
        <w:ind w:left="280"/>
      </w:pPr>
      <w:r>
        <w:rPr>
          <w:rFonts w:ascii="Consolas" w:cs="Consolas" w:eastAsia="Consolas" w:hAnsi="Consolas"/>
          <w:sz w:val="17"/>
          <w:szCs w:val="17"/>
        </w:rPr>
        <w:t xml:space="preserve">import { Ward } from "@ontology/sdk";</w:t>
      </w:r>
    </w:p>
    <w:p>
      <w:pPr>
        <w:shd w:fill="F4F5F7" w:val="clear"/>
        <w:spacing w:after="0" w:before="0"/>
        <w:ind w:left="280"/>
      </w:pPr>
      <w:r>
        <w:rPr>
          <w:rFonts w:ascii="Consolas" w:cs="Consolas" w:eastAsia="Consolas" w:hAnsi="Consolas"/>
          <w:sz w:val="17"/>
          <w:szCs w:val="17"/>
        </w:rPr>
        <w:t xml:space="preserve">import { Client, Osdk } from "@osdk/client";</w:t>
      </w:r>
    </w:p>
    <w:p>
      <w:pPr>
        <w:shd w:fill="F4F5F7" w:val="clear"/>
        <w:spacing w:after="0" w:before="0"/>
        <w:ind w:left="280"/>
      </w:pPr>
      <w:r>
        <w:rPr>
          <w:rFonts w:ascii="Consolas" w:cs="Consolas" w:eastAsia="Consolas" w:hAnsi="Consolas"/>
          <w:sz w:val="17"/>
          <w:szCs w:val="17"/>
        </w:rPr>
        <w:t xml:space="preserve">import { createEditBatch, Edits } from "@osdk/functions";</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type OntologyEdit = Edits.Object&lt;Ward&gt;;</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export default function setEscalationLevel(</w:t>
      </w:r>
    </w:p>
    <w:p>
      <w:pPr>
        <w:shd w:fill="F4F5F7" w:val="clear"/>
        <w:spacing w:after="0" w:before="0"/>
        <w:ind w:left="280"/>
      </w:pPr>
      <w:r>
        <w:rPr>
          <w:rFonts w:ascii="Consolas" w:cs="Consolas" w:eastAsia="Consolas" w:hAnsi="Consolas"/>
          <w:sz w:val="17"/>
          <w:szCs w:val="17"/>
        </w:rPr>
        <w:t xml:space="preserve">    client: Client,</w:t>
      </w:r>
    </w:p>
    <w:p>
      <w:pPr>
        <w:shd w:fill="F4F5F7" w:val="clear"/>
        <w:spacing w:after="0" w:before="0"/>
        <w:ind w:left="280"/>
      </w:pPr>
      <w:r>
        <w:rPr>
          <w:rFonts w:ascii="Consolas" w:cs="Consolas" w:eastAsia="Consolas" w:hAnsi="Consolas"/>
          <w:sz w:val="17"/>
          <w:szCs w:val="17"/>
        </w:rPr>
        <w:t xml:space="preserve">    ward: Osdk.Instance&lt;Ward&gt;,</w:t>
      </w:r>
    </w:p>
    <w:p>
      <w:pPr>
        <w:shd w:fill="F4F5F7" w:val="clear"/>
        <w:spacing w:after="0" w:before="0"/>
        <w:ind w:left="280"/>
      </w:pPr>
      <w:r>
        <w:rPr>
          <w:rFonts w:ascii="Consolas" w:cs="Consolas" w:eastAsia="Consolas" w:hAnsi="Consolas"/>
          <w:sz w:val="17"/>
          <w:szCs w:val="17"/>
        </w:rPr>
        <w:t xml:space="preserve">    level: string,</w:t>
      </w:r>
    </w:p>
    <w:p>
      <w:pPr>
        <w:shd w:fill="F4F5F7" w:val="clear"/>
        <w:spacing w:after="0" w:before="0"/>
        <w:ind w:left="280"/>
      </w:pPr>
      <w:r>
        <w:rPr>
          <w:rFonts w:ascii="Consolas" w:cs="Consolas" w:eastAsia="Consolas" w:hAnsi="Consolas"/>
          <w:sz w:val="17"/>
          <w:szCs w:val="17"/>
        </w:rPr>
        <w:t xml:space="preserve">): OntologyEdit[] {</w:t>
      </w:r>
    </w:p>
    <w:p>
      <w:pPr>
        <w:shd w:fill="F4F5F7" w:val="clear"/>
        <w:spacing w:after="0" w:before="0"/>
        <w:ind w:left="280"/>
      </w:pPr>
      <w:r>
        <w:rPr>
          <w:rFonts w:ascii="Consolas" w:cs="Consolas" w:eastAsia="Consolas" w:hAnsi="Consolas"/>
          <w:sz w:val="17"/>
          <w:szCs w:val="17"/>
        </w:rPr>
        <w:t xml:space="preserve">    const batch = createEditBatch&lt;OntologyEdit&gt;(client);</w:t>
      </w:r>
    </w:p>
    <w:p>
      <w:pPr>
        <w:shd w:fill="F4F5F7" w:val="clear"/>
        <w:spacing w:after="0" w:before="0"/>
        <w:ind w:left="280"/>
      </w:pPr>
      <w:r>
        <w:rPr>
          <w:rFonts w:ascii="Consolas" w:cs="Consolas" w:eastAsia="Consolas" w:hAnsi="Consolas"/>
          <w:sz w:val="17"/>
          <w:szCs w:val="17"/>
        </w:rPr>
        <w:t xml:space="preserve">    batch.update(ward, { escalationLevel: level });</w:t>
      </w:r>
    </w:p>
    <w:p>
      <w:pPr>
        <w:shd w:fill="F4F5F7" w:val="clear"/>
        <w:spacing w:after="0" w:before="0"/>
        <w:ind w:left="280"/>
      </w:pPr>
      <w:r>
        <w:rPr>
          <w:rFonts w:ascii="Consolas" w:cs="Consolas" w:eastAsia="Consolas" w:hAnsi="Consolas"/>
          <w:sz w:val="17"/>
          <w:szCs w:val="17"/>
        </w:rPr>
        <w:t xml:space="preserve">    return batch.getEdits();   // v1 mutated in place; v2 must return</w:t>
      </w:r>
    </w:p>
    <w:p>
      <w:pPr>
        <w:shd w:fill="F4F5F7" w:val="clear"/>
        <w:spacing w:after="140" w:before="0"/>
        <w:ind w:left="280"/>
      </w:pPr>
      <w:r>
        <w:rPr>
          <w:rFonts w:ascii="Consolas" w:cs="Consolas" w:eastAsia="Consolas" w:hAnsi="Consolas"/>
          <w:sz w:val="17"/>
          <w:szCs w:val="17"/>
        </w:rPr>
        <w:t xml:space="preserve">}</w:t>
      </w:r>
    </w:p>
    <w:p>
      <w:pPr>
        <w:pBdr>
          <w:left w:val="single" w:color="4472C4" w:sz="18" w:space="12"/>
        </w:pBdr>
        <w:spacing w:after="160" w:before="120"/>
        <w:ind w:left="220"/>
      </w:pPr>
      <w:r>
        <w:rPr>
          <w:b/>
          <w:bCs/>
        </w:rPr>
        <w:t xml:space="preserve">The gotcha worth planting deliberately.  </w:t>
      </w:r>
      <w:r>
        <w:t xml:space="preserve">TypeScript v2 uses </w:t>
      </w:r>
      <w:r>
        <w:rPr>
          <w:b/>
          <w:bCs/>
        </w:rPr>
        <w:t xml:space="preserve">warm invocations</w:t>
      </w:r>
      <w:r>
        <w:t xml:space="preserve">: module-level code is evaluated once at initialisation and reused across every subsequent call. A </w:t>
      </w:r>
      <w:r>
        <w:rPr>
          <w:rFonts w:ascii="Consolas" w:cs="Consolas" w:eastAsia="Consolas" w:hAnsi="Consolas"/>
          <w:sz w:val="19"/>
          <w:szCs w:val="19"/>
        </w:rPr>
        <w:t xml:space="preserve">randomUUID()</w:t>
      </w:r>
      <w:r>
        <w:t xml:space="preserve"> at module scope therefore returns the same value forever, and the second object a trainee creates collides with the first. The documentation warns about it explicitly. Generate random values inside the function body. This is the kind of bug that passes a live-preview test and fails in the application, which makes it exactly the right thing to catch on Day 5.</w:t>
      </w:r>
    </w:p>
    <w:p>
      <w:pPr>
        <w:spacing w:after="120"/>
      </w:pPr>
      <w:r>
        <w:t xml:space="preserve">Streaming matters too. v2 exposes </w:t>
      </w:r>
      <w:r>
        <w:rPr>
          <w:rFonts w:ascii="Consolas" w:cs="Consolas" w:eastAsia="Consolas" w:hAnsi="Consolas"/>
          <w:sz w:val="19"/>
          <w:szCs w:val="19"/>
        </w:rPr>
        <w:t xml:space="preserve">client(X).asyncIter()</w:t>
      </w:r>
      <w:r>
        <w:t xml:space="preserve"> for processing an object set without holding it in memory; </w:t>
      </w:r>
      <w:r>
        <w:rPr>
          <w:rFonts w:ascii="Consolas" w:cs="Consolas" w:eastAsia="Consolas" w:hAnsi="Consolas"/>
          <w:sz w:val="19"/>
          <w:szCs w:val="19"/>
        </w:rPr>
        <w:t xml:space="preserve">Array.fromAsync(...)</w:t>
      </w:r>
      <w:r>
        <w:t xml:space="preserve"> loads it all if scale genuinely is not a concern. A trainee reaching for the second on a 20,093-row telemetry set should be asked why.</w:t>
      </w:r>
    </w:p>
    <w:p>
      <w:pPr>
        <w:pStyle w:val="Heading2"/>
        <w:spacing w:after="120" w:before="260"/>
      </w:pPr>
      <w:r>
        <w:t xml:space="preserve">6.2 Workshop derived properties, and where they stop</w:t>
      </w:r>
    </w:p>
    <w:p>
      <w:pPr>
        <w:spacing w:after="120"/>
      </w:pPr>
      <w:r>
        <w:t xml:space="preserve">Derived properties are computed at runtime from other properties or links. Configure them per object type from </w:t>
      </w:r>
      <w:r>
        <w:rPr>
          <w:b/>
          <w:bCs/>
        </w:rPr>
        <w:t xml:space="preserve">Overview → Capabilities → Derived properties</w:t>
      </w:r>
      <w:r>
        <w:t xml:space="preserve">. Two kinds:</w:t>
      </w:r>
    </w:p>
    <w:p>
      <w:pPr>
        <w:pStyle w:val="ListParagraph"/>
        <w:numPr>
          <w:ilvl w:val="0"/>
          <w:numId w:val="2"/>
        </w:numPr>
        <w:spacing w:after="60"/>
      </w:pPr>
      <w:r>
        <w:rPr>
          <w:b/>
          <w:bCs/>
        </w:rPr>
        <w:t xml:space="preserve">Linked property or aggregation.</w:t>
      </w:r>
      <w:r>
        <w:t xml:space="preserve"> Read a property across a 1:1 link, or aggregate across a 1:N link. Aggregations may only be computed over the linked object type's </w:t>
      </w:r>
      <w:r>
        <w:rPr>
          <w:b/>
          <w:bCs/>
        </w:rPr>
        <w:t xml:space="preserve">native</w:t>
      </w:r>
      <w:r>
        <w:t xml:space="preserve"> properties, and a static property filter on the linked type may be applied.</w:t>
      </w:r>
    </w:p>
    <w:p>
      <w:pPr>
        <w:pStyle w:val="ListParagraph"/>
        <w:numPr>
          <w:ilvl w:val="0"/>
          <w:numId w:val="2"/>
        </w:numPr>
        <w:spacing w:after="60"/>
      </w:pPr>
      <w:r>
        <w:rPr>
          <w:b/>
          <w:bCs/>
        </w:rPr>
        <w:t xml:space="preserve">Column math.</w:t>
      </w:r>
      <w:r>
        <w:t xml:space="preserve"> Combine properties of a single object type. It may reference native properties </w:t>
      </w:r>
      <w:r>
        <w:rPr>
          <w:b/>
          <w:bCs/>
        </w:rPr>
        <w:t xml:space="preserve">and</w:t>
      </w:r>
      <w:r>
        <w:t xml:space="preserve"> aggregation-type derived properties — but </w:t>
      </w:r>
      <w:r>
        <w:rPr>
          <w:b/>
          <w:bCs/>
        </w:rPr>
        <w:t xml:space="preserve">not</w:t>
      </w:r>
      <w:r>
        <w:t xml:space="preserve"> another column-math derived property. So one level of chaining, no more.</w:t>
      </w:r>
    </w:p>
    <w:p>
      <w:pPr>
        <w:spacing w:after="120"/>
      </w:pPr>
      <w:r>
        <w:t xml:space="preserve">That two-step chain is what Projects 4 and 5 use: an aggregation derived property, then a column-math derived property over it. It is worth pointing out to trainees, because the obvious single-expression version is not expressible.</w:t>
      </w:r>
    </w:p>
    <w:p>
      <w:pPr>
        <w:spacing w:after="120"/>
      </w:pPr>
      <w:r>
        <w:t xml:space="preserve">The limits, all documented, all load-bearing in this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E8EDF5" w:val="clear"/>
            <w:tcMar>
              <w:top w:type="dxa" w:w="60"/>
              <w:left w:type="dxa" w:w="90"/>
              <w:bottom w:type="dxa" w:w="60"/>
              <w:right w:type="dxa" w:w="90"/>
            </w:tcMar>
          </w:tcPr>
          <w:p>
            <w:pPr>
              <w:spacing w:after="0"/>
            </w:pPr>
            <w:r>
              <w:rPr>
                <w:b/>
                <w:bCs/>
                <w:sz w:val="19"/>
                <w:szCs w:val="19"/>
              </w:rPr>
              <w:t xml:space="preserve">Limit</w:t>
            </w:r>
          </w:p>
        </w:tc>
        <w:tc>
          <w:tcPr>
            <w:tcW w:type="dxa" w:w="6178"/>
            <w:shd w:fill="E8EDF5" w:val="clear"/>
            <w:tcMar>
              <w:top w:type="dxa" w:w="60"/>
              <w:left w:type="dxa" w:w="90"/>
              <w:bottom w:type="dxa" w:w="60"/>
              <w:right w:type="dxa" w:w="90"/>
            </w:tcMar>
          </w:tcPr>
          <w:p>
            <w:pPr>
              <w:spacing w:after="0"/>
            </w:pPr>
            <w:r>
              <w:rPr>
                <w:b/>
                <w:bCs/>
                <w:sz w:val="19"/>
                <w:szCs w:val="19"/>
              </w:rPr>
              <w:t xml:space="preserve">Consequence here</w:t>
            </w:r>
          </w:p>
        </w:tc>
      </w:tr>
      <w:tr>
        <w:tc>
          <w:tcPr>
            <w:tcW w:type="dxa" w:w="3182"/>
            <w:tcMar>
              <w:top w:type="dxa" w:w="60"/>
              <w:left w:type="dxa" w:w="90"/>
              <w:bottom w:type="dxa" w:w="60"/>
              <w:right w:type="dxa" w:w="90"/>
            </w:tcMar>
          </w:tcPr>
          <w:p>
            <w:pPr>
              <w:spacing w:after="0"/>
            </w:pPr>
            <w:r>
              <w:rPr>
                <w:b w:val="false"/>
                <w:bCs w:val="false"/>
                <w:sz w:val="19"/>
                <w:szCs w:val="19"/>
              </w:rPr>
              <w:t xml:space="preserve">A single link traversal only</w:t>
            </w:r>
          </w:p>
        </w:tc>
        <w:tc>
          <w:tcPr>
            <w:tcW w:type="dxa" w:w="6178"/>
            <w:tcMar>
              <w:top w:type="dxa" w:w="60"/>
              <w:left w:type="dxa" w:w="90"/>
              <w:bottom w:type="dxa" w:w="60"/>
              <w:right w:type="dxa" w:w="90"/>
            </w:tcMar>
          </w:tcPr>
          <w:p>
            <w:pPr>
              <w:spacing w:after="0"/>
            </w:pPr>
            <w:r>
              <w:rPr>
                <w:b w:val="false"/>
                <w:bCs w:val="false"/>
                <w:sz w:val="19"/>
                <w:szCs w:val="19"/>
              </w:rPr>
              <w:t xml:space="preserve">Every derived property in sections 7 to 9 is one hop. Anything two hops away must be a function-backed column or must be flattened in the pipeline.</w:t>
            </w:r>
          </w:p>
        </w:tc>
      </w:tr>
      <w:tr>
        <w:tc>
          <w:tcPr>
            <w:tcW w:type="dxa" w:w="3182"/>
            <w:tcMar>
              <w:top w:type="dxa" w:w="60"/>
              <w:left w:type="dxa" w:w="90"/>
              <w:bottom w:type="dxa" w:w="60"/>
              <w:right w:type="dxa" w:w="90"/>
            </w:tcMar>
          </w:tcPr>
          <w:p>
            <w:pPr>
              <w:spacing w:after="0"/>
            </w:pPr>
            <w:r>
              <w:rPr>
                <w:b w:val="false"/>
                <w:bCs w:val="false"/>
                <w:sz w:val="19"/>
                <w:szCs w:val="19"/>
              </w:rPr>
              <w:t xml:space="preserve">Aggregations only over the linked type's native properties</w:t>
            </w:r>
          </w:p>
        </w:tc>
        <w:tc>
          <w:tcPr>
            <w:tcW w:type="dxa" w:w="6178"/>
            <w:tcMar>
              <w:top w:type="dxa" w:w="60"/>
              <w:left w:type="dxa" w:w="90"/>
              <w:bottom w:type="dxa" w:w="60"/>
              <w:right w:type="dxa" w:w="90"/>
            </w:tcMar>
          </w:tcPr>
          <w:p>
            <w:pPr>
              <w:spacing w:after="0"/>
            </w:pPr>
            <w:r>
              <w:rPr>
                <w:b w:val="false"/>
                <w:bCs w:val="false"/>
                <w:sz w:val="19"/>
                <w:szCs w:val="19"/>
              </w:rPr>
              <w:t xml:space="preserve">Project 6 must compute </w:t>
            </w:r>
            <w:r>
              <w:rPr>
                <w:rFonts w:ascii="Consolas" w:cs="Consolas" w:eastAsia="Consolas" w:hAnsi="Consolas"/>
                <w:b w:val="false"/>
                <w:bCs w:val="false"/>
                <w:sz w:val="19"/>
                <w:szCs w:val="19"/>
              </w:rPr>
              <w:t xml:space="preserve">news2</w:t>
            </w:r>
            <w:r>
              <w:rPr>
                <w:b w:val="false"/>
                <w:bCs w:val="false"/>
                <w:sz w:val="19"/>
                <w:szCs w:val="19"/>
              </w:rPr>
              <w:t xml:space="preserve"> </w:t>
            </w:r>
            <w:r>
              <w:rPr>
                <w:b/>
                <w:bCs/>
                <w:sz w:val="19"/>
                <w:szCs w:val="19"/>
              </w:rPr>
              <w:t xml:space="preserve">per reading in the Polars pipeline</w:t>
            </w:r>
            <w:r>
              <w:rPr>
                <w:b w:val="false"/>
                <w:bCs w:val="false"/>
                <w:sz w:val="19"/>
                <w:szCs w:val="19"/>
              </w:rPr>
              <w:t xml:space="preserve">, because you cannot aggregate over something that is not a stored column.</w:t>
            </w:r>
          </w:p>
        </w:tc>
      </w:tr>
      <w:tr>
        <w:tc>
          <w:tcPr>
            <w:tcW w:type="dxa" w:w="3182"/>
            <w:tcMar>
              <w:top w:type="dxa" w:w="60"/>
              <w:left w:type="dxa" w:w="90"/>
              <w:bottom w:type="dxa" w:w="60"/>
              <w:right w:type="dxa" w:w="90"/>
            </w:tcMar>
          </w:tcPr>
          <w:p>
            <w:pPr>
              <w:spacing w:after="0"/>
            </w:pPr>
            <w:r>
              <w:rPr>
                <w:b w:val="false"/>
                <w:bCs w:val="false"/>
                <w:sz w:val="19"/>
                <w:szCs w:val="19"/>
              </w:rPr>
              <w:t xml:space="preserve">Sorting caps the object set at 200 rows</w:t>
            </w:r>
          </w:p>
        </w:tc>
        <w:tc>
          <w:tcPr>
            <w:tcW w:type="dxa" w:w="6178"/>
            <w:tcMar>
              <w:top w:type="dxa" w:w="60"/>
              <w:left w:type="dxa" w:w="90"/>
              <w:bottom w:type="dxa" w:w="60"/>
              <w:right w:type="dxa" w:w="90"/>
            </w:tcMar>
          </w:tcPr>
          <w:p>
            <w:pPr>
              <w:spacing w:after="0"/>
            </w:pPr>
            <w:r>
              <w:rPr>
                <w:b w:val="false"/>
                <w:bCs w:val="false"/>
                <w:sz w:val="19"/>
                <w:szCs w:val="19"/>
              </w:rPr>
              <w:t xml:space="preserve">Wards (8) and Clinics (21) sort fine. Inpatient Admissions (220) do not.</w:t>
            </w:r>
          </w:p>
        </w:tc>
      </w:tr>
      <w:tr>
        <w:tc>
          <w:tcPr>
            <w:tcW w:type="dxa" w:w="3182"/>
            <w:tcMar>
              <w:top w:type="dxa" w:w="60"/>
              <w:left w:type="dxa" w:w="90"/>
              <w:bottom w:type="dxa" w:w="60"/>
              <w:right w:type="dxa" w:w="90"/>
            </w:tcMar>
          </w:tcPr>
          <w:p>
            <w:pPr>
              <w:spacing w:after="0"/>
            </w:pPr>
            <w:r>
              <w:rPr>
                <w:b w:val="false"/>
                <w:bCs w:val="false"/>
                <w:sz w:val="19"/>
                <w:szCs w:val="19"/>
              </w:rPr>
              <w:t xml:space="preserve">Function-backed columns sort to 10,000 objects</w:t>
            </w:r>
          </w:p>
        </w:tc>
        <w:tc>
          <w:tcPr>
            <w:tcW w:type="dxa" w:w="6178"/>
            <w:tcMar>
              <w:top w:type="dxa" w:w="60"/>
              <w:left w:type="dxa" w:w="90"/>
              <w:bottom w:type="dxa" w:w="60"/>
              <w:right w:type="dxa" w:w="90"/>
            </w:tcMar>
          </w:tcPr>
          <w:p>
            <w:pPr>
              <w:spacing w:after="0"/>
            </w:pPr>
            <w:r>
              <w:rPr>
                <w:b w:val="false"/>
                <w:bCs w:val="false"/>
                <w:sz w:val="19"/>
                <w:szCs w:val="19"/>
              </w:rPr>
              <w:t xml:space="preserve">The documented escape hatch, and Project 6's answer. Beyond 10,000 the user cannot sort at all and a default sort only orders each page as it loads.</w:t>
            </w:r>
          </w:p>
        </w:tc>
      </w:tr>
      <w:tr>
        <w:tc>
          <w:tcPr>
            <w:tcW w:type="dxa" w:w="3182"/>
            <w:tcMar>
              <w:top w:type="dxa" w:w="60"/>
              <w:left w:type="dxa" w:w="90"/>
              <w:bottom w:type="dxa" w:w="60"/>
              <w:right w:type="dxa" w:w="90"/>
            </w:tcMar>
          </w:tcPr>
          <w:p>
            <w:pPr>
              <w:spacing w:after="0"/>
            </w:pPr>
            <w:r>
              <w:rPr>
                <w:b w:val="false"/>
                <w:bCs w:val="false"/>
                <w:sz w:val="19"/>
                <w:szCs w:val="19"/>
              </w:rPr>
              <w:t xml:space="preserve">Supported on a subset of widgets</w:t>
            </w:r>
          </w:p>
        </w:tc>
        <w:tc>
          <w:tcPr>
            <w:tcW w:type="dxa" w:w="6178"/>
            <w:tcMar>
              <w:top w:type="dxa" w:w="60"/>
              <w:left w:type="dxa" w:w="90"/>
              <w:bottom w:type="dxa" w:w="60"/>
              <w:right w:type="dxa" w:w="90"/>
            </w:tcMar>
          </w:tcPr>
          <w:p>
            <w:pPr>
              <w:spacing w:after="0"/>
            </w:pPr>
            <w:r>
              <w:rPr>
                <w:b w:val="false"/>
                <w:bCs w:val="false"/>
                <w:sz w:val="19"/>
                <w:szCs w:val="19"/>
              </w:rPr>
              <w:t xml:space="preserve">Object Table, Pivot Table and Waterfall are confirmed. Check the in-product information icon for the current full list before designing a module around another widget.</w:t>
            </w:r>
          </w:p>
        </w:tc>
      </w:tr>
      <w:tr>
        <w:tc>
          <w:tcPr>
            <w:tcW w:type="dxa" w:w="3182"/>
            <w:tcMar>
              <w:top w:type="dxa" w:w="60"/>
              <w:left w:type="dxa" w:w="90"/>
              <w:bottom w:type="dxa" w:w="60"/>
              <w:right w:type="dxa" w:w="90"/>
            </w:tcMar>
          </w:tcPr>
          <w:p>
            <w:pPr>
              <w:spacing w:after="0"/>
            </w:pPr>
            <w:r>
              <w:rPr>
                <w:b w:val="false"/>
                <w:bCs w:val="false"/>
                <w:sz w:val="19"/>
                <w:szCs w:val="19"/>
              </w:rPr>
              <w:t xml:space="preserve">Computed on the fly</w:t>
            </w:r>
          </w:p>
        </w:tc>
        <w:tc>
          <w:tcPr>
            <w:tcW w:type="dxa" w:w="6178"/>
            <w:tcMar>
              <w:top w:type="dxa" w:w="60"/>
              <w:left w:type="dxa" w:w="90"/>
              <w:bottom w:type="dxa" w:w="60"/>
              <w:right w:type="dxa" w:w="90"/>
            </w:tcMar>
          </w:tcPr>
          <w:p>
            <w:pPr>
              <w:spacing w:after="0"/>
            </w:pPr>
            <w:r>
              <w:rPr>
                <w:b w:val="false"/>
                <w:bCs w:val="false"/>
                <w:sz w:val="19"/>
                <w:szCs w:val="19"/>
              </w:rPr>
              <w:t xml:space="preserve">Module load time is affected. Relevant when a team puts a derived property on a 3,000-row pathway table.</w:t>
            </w:r>
          </w:p>
        </w:tc>
      </w:tr>
      <w:tr>
        <w:tc>
          <w:tcPr>
            <w:tcW w:type="dxa" w:w="3182"/>
            <w:tcMar>
              <w:top w:type="dxa" w:w="60"/>
              <w:left w:type="dxa" w:w="90"/>
              <w:bottom w:type="dxa" w:w="60"/>
              <w:right w:type="dxa" w:w="90"/>
            </w:tcMar>
          </w:tcPr>
          <w:p>
            <w:pPr>
              <w:spacing w:after="0"/>
            </w:pPr>
            <w:r>
              <w:rPr>
                <w:b w:val="false"/>
                <w:bCs w:val="false"/>
                <w:sz w:val="19"/>
                <w:szCs w:val="19"/>
              </w:rPr>
              <w:t xml:space="preserve">Saved states do not support object sets referencing derived properties</w:t>
            </w:r>
          </w:p>
        </w:tc>
        <w:tc>
          <w:tcPr>
            <w:tcW w:type="dxa" w:w="6178"/>
            <w:tcMar>
              <w:top w:type="dxa" w:w="60"/>
              <w:left w:type="dxa" w:w="90"/>
              <w:bottom w:type="dxa" w:w="60"/>
              <w:right w:type="dxa" w:w="90"/>
            </w:tcMar>
          </w:tcPr>
          <w:p>
            <w:pPr>
              <w:spacing w:after="0"/>
            </w:pPr>
            <w:r>
              <w:rPr>
                <w:b w:val="false"/>
                <w:bCs w:val="false"/>
                <w:sz w:val="19"/>
                <w:szCs w:val="19"/>
              </w:rPr>
              <w:t xml:space="preserve">Worth knowing before a team designs a saved-view workflow.</w:t>
            </w:r>
          </w:p>
        </w:tc>
      </w:tr>
    </w:tbl>
    <w:p>
      <w:pPr>
        <w:spacing w:after="160"/>
      </w:pPr>
    </w:p>
    <w:p>
      <w:pPr>
        <w:pBdr>
          <w:left w:val="single" w:color="4472C4" w:sz="18" w:space="12"/>
        </w:pBdr>
        <w:spacing w:after="160" w:before="120"/>
        <w:ind w:left="220"/>
      </w:pPr>
      <w:r>
        <w:rPr>
          <w:b/>
          <w:bCs/>
        </w:rPr>
        <w:t xml:space="preserve">Not to be confused with:  </w:t>
      </w:r>
      <w:r>
        <w:t xml:space="preserve">Ontology derived properties, a separate </w:t>
      </w:r>
      <w:r>
        <w:rPr>
          <w:b/>
          <w:bCs/>
        </w:rPr>
        <w:t xml:space="preserve">Beta</w:t>
      </w:r>
      <w:r>
        <w:t xml:space="preserve"> feature whose documented availability is the TypeScript OSDK </w:t>
      </w:r>
      <w:r>
        <w:rPr>
          <w:rFonts w:ascii="Consolas" w:cs="Consolas" w:eastAsia="Consolas" w:hAnsi="Consolas"/>
          <w:sz w:val="19"/>
          <w:szCs w:val="19"/>
        </w:rPr>
        <w:t xml:space="preserve">withProperties</w:t>
      </w:r>
      <w:r>
        <w:t xml:space="preserve"> operation, and which "may not be available on your enrollment". Nothing in this framework depends on it. If a trainee finds that page and asks, the answer is that it is a different feature at a different layer, and we are deliberately not building on beta.</w:t>
      </w:r>
    </w:p>
    <w:p>
      <w:pPr>
        <w:pStyle w:val="Heading2"/>
        <w:spacing w:after="120" w:before="260"/>
      </w:pPr>
      <w:r>
        <w:t xml:space="preserve">6.3 Quiver</w:t>
      </w:r>
    </w:p>
    <w:p>
      <w:pPr>
        <w:spacing w:after="120"/>
      </w:pPr>
      <w:r>
        <w:t xml:space="preserve">Quiver reads the Ontology, which is why all three projects use it. Contour reads datasets and cannot analyse an object set at all — it is the right tool when the data is not in the Ontology, when a dataset is the deliverable, or at a scale the Ontology is not meant for, and none of those describe these projects.</w:t>
      </w:r>
    </w:p>
    <w:p>
      <w:pPr>
        <w:spacing w:after="120"/>
      </w:pPr>
      <w:r>
        <w:t xml:space="preserve">Quiver also offers a </w:t>
      </w:r>
      <w:r>
        <w:rPr>
          <w:b/>
          <w:bCs/>
        </w:rPr>
        <w:t xml:space="preserve">derived property from function on objects</w:t>
      </w:r>
      <w:r>
        <w:t xml:space="preserve"> transform, available on transform tables (not on a standard card). The function must take an </w:t>
      </w:r>
      <w:r>
        <w:rPr>
          <w:rFonts w:ascii="Consolas" w:cs="Consolas" w:eastAsia="Consolas" w:hAnsi="Consolas"/>
          <w:sz w:val="19"/>
          <w:szCs w:val="19"/>
        </w:rPr>
        <w:t xml:space="preserve">ObjectSet&lt;ObjectType&gt;</w:t>
      </w:r>
      <w:r>
        <w:t xml:space="preserve"> parameter and return a map keyed by object with primitive values — </w:t>
      </w:r>
      <w:r>
        <w:rPr>
          <w:rFonts w:ascii="Consolas" w:cs="Consolas" w:eastAsia="Consolas" w:hAnsi="Consolas"/>
          <w:sz w:val="19"/>
          <w:szCs w:val="19"/>
        </w:rPr>
        <w:t xml:space="preserve">FunctionsMap&lt;ObjectType, V&gt;</w:t>
      </w:r>
      <w:r>
        <w:t xml:space="preserve"> in v1 type language, </w:t>
      </w:r>
      <w:r>
        <w:rPr>
          <w:rFonts w:ascii="Consolas" w:cs="Consolas" w:eastAsia="Consolas" w:hAnsi="Consolas"/>
          <w:sz w:val="19"/>
          <w:szCs w:val="19"/>
        </w:rPr>
        <w:t xml:space="preserve">Record&lt;K, V&gt;</w:t>
      </w:r>
      <w:r>
        <w:t xml:space="preserve"> in v2. Prefer </w:t>
      </w:r>
      <w:r>
        <w:rPr>
          <w:rFonts w:ascii="Consolas" w:cs="Consolas" w:eastAsia="Consolas" w:hAnsi="Consolas"/>
          <w:sz w:val="19"/>
          <w:szCs w:val="19"/>
        </w:rPr>
        <w:t xml:space="preserve">Double</w:t>
      </w:r>
      <w:r>
        <w:t xml:space="preserve"> or </w:t>
      </w:r>
      <w:r>
        <w:rPr>
          <w:rFonts w:ascii="Consolas" w:cs="Consolas" w:eastAsia="Consolas" w:hAnsi="Consolas"/>
          <w:sz w:val="19"/>
          <w:szCs w:val="19"/>
        </w:rPr>
        <w:t xml:space="preserve">Integer</w:t>
      </w:r>
      <w:r>
        <w:t xml:space="preserve"> over </w:t>
      </w:r>
      <w:r>
        <w:rPr>
          <w:rFonts w:ascii="Consolas" w:cs="Consolas" w:eastAsia="Consolas" w:hAnsi="Consolas"/>
          <w:sz w:val="19"/>
          <w:szCs w:val="19"/>
        </w:rPr>
        <w:t xml:space="preserve">Float</w:t>
      </w:r>
      <w:r>
        <w:t xml:space="preserve"> for numeric returns.</w:t>
      </w:r>
    </w:p>
    <w:p>
      <w:pPr>
        <w:pBdr>
          <w:left w:val="single" w:color="4472C4" w:sz="18" w:space="12"/>
        </w:pBdr>
        <w:spacing w:after="160" w:before="120"/>
        <w:ind w:left="220"/>
      </w:pPr>
      <w:r>
        <w:rPr>
          <w:b/>
          <w:bCs/>
        </w:rPr>
        <w:t xml:space="preserve">Verify this one in the tenant before requiring it:  </w:t>
      </w:r>
      <w:r>
        <w:t xml:space="preserve">the function-backed-column contract is documented in v1 type language, and how a v2 function expresses a map keyed by an Ontology object is not something I could confirm from the documentation. Project 6 needs it. If it turns out to be awkward in v2, fall back to a Workshop function-backed column on a filtered object set — the teaching point about the 200-row limit survives either way.</w:t>
      </w:r>
    </w:p>
    <w:p>
      <w:pPr>
        <w:pStyle w:val="Heading2"/>
        <w:spacing w:after="120" w:before="260"/>
      </w:pPr>
      <w:r>
        <w:t xml:space="preserve">6.4 Security</w:t>
      </w:r>
    </w:p>
    <w:p>
      <w:pPr>
        <w:pStyle w:val="ListParagraph"/>
        <w:numPr>
          <w:ilvl w:val="0"/>
          <w:numId w:val="2"/>
        </w:numPr>
        <w:spacing w:after="60"/>
      </w:pPr>
      <w:r>
        <w:rPr>
          <w:b/>
          <w:bCs/>
        </w:rPr>
        <w:t xml:space="preserve">Restricted views filter rows only.</w:t>
      </w:r>
      <w:r>
        <w:t xml:space="preserve"> They do not mask columns. Anything that must not be seen should not reach the Ontology — mask or drop it in the Transform tier.</w:t>
      </w:r>
    </w:p>
    <w:p>
      <w:pPr>
        <w:pStyle w:val="ListParagraph"/>
        <w:numPr>
          <w:ilvl w:val="0"/>
          <w:numId w:val="2"/>
        </w:numPr>
        <w:spacing w:after="60"/>
      </w:pPr>
      <w:r>
        <w:rPr>
          <w:b/>
          <w:bCs/>
        </w:rPr>
        <w:t xml:space="preserve">A restricted view is not a boundary around the Ontology.</w:t>
      </w:r>
      <w:r>
        <w:t xml:space="preserve"> The documentation states the policy "does not extend to functions, actions, AIP Logic, OSDK responses, writeback operations, or exports". A function reads past it. Any rule that must hold for a function has to be in the function.</w:t>
      </w:r>
    </w:p>
    <w:p>
      <w:pPr>
        <w:pStyle w:val="ListParagraph"/>
        <w:numPr>
          <w:ilvl w:val="0"/>
          <w:numId w:val="2"/>
        </w:numPr>
        <w:spacing w:after="60"/>
      </w:pPr>
      <w:r>
        <w:t xml:space="preserve">On OSv2 a user must be able to see the restricted view in order to see objects of a type backed by it. Select the restricted view as the datasource in Ontology Manager's </w:t>
      </w:r>
      <w:r>
        <w:rPr>
          <w:b/>
          <w:bCs/>
        </w:rPr>
        <w:t xml:space="preserve">Datasources</w:t>
      </w:r>
      <w:r>
        <w:t xml:space="preserve"> tab.</w:t>
      </w:r>
    </w:p>
    <w:p>
      <w:pPr>
        <w:pStyle w:val="ListParagraph"/>
        <w:numPr>
          <w:ilvl w:val="0"/>
          <w:numId w:val="2"/>
        </w:numPr>
        <w:spacing w:after="60"/>
      </w:pPr>
      <w:r>
        <w:t xml:space="preserve">Editing a property that appears in an object's security can change who can see that object. Worth a sentence on Day 5.</w:t>
      </w:r>
    </w:p>
    <w:p>
      <w:pPr>
        <w:pStyle w:val="Heading1"/>
        <w:pageBreakBefore/>
        <w:spacing w:after="160"/>
      </w:pPr>
      <w:r>
        <w:t xml:space="preserve">7. Project 4 — Site Pressure and Escalation</w:t>
      </w:r>
    </w:p>
    <w:p>
      <w:pPr>
        <w:spacing w:after="120"/>
      </w:pPr>
      <w:r>
        <w:rPr>
          <w:b/>
          <w:bCs/>
        </w:rPr>
        <w:t xml:space="preserve">Consumer:</w:t>
      </w:r>
      <w:r>
        <w:t xml:space="preserve"> the site operations manager, twice a day, deciding whether to escalate.</w:t>
      </w:r>
    </w:p>
    <w:p>
      <w:pPr>
        <w:spacing w:after="120"/>
      </w:pPr>
      <w:r>
        <w:rPr>
          <w:b/>
          <w:bCs/>
        </w:rPr>
        <w:t xml:space="preserve">Question:</w:t>
      </w:r>
      <w:r>
        <w:t xml:space="preserve"> how pressured is each ward and each site right now, and what does that mean for the emergency department queue behind it?</w:t>
      </w:r>
    </w:p>
    <w:p>
      <w:pPr>
        <w:pStyle w:val="Heading2"/>
        <w:spacing w:after="120" w:before="260"/>
      </w:pPr>
      <w:r>
        <w:t xml:space="preserve">Model</w:t>
      </w:r>
    </w:p>
    <w:p>
      <w:pPr>
        <w:pStyle w:val="ListParagraph"/>
        <w:numPr>
          <w:ilvl w:val="0"/>
          <w:numId w:val="2"/>
        </w:numPr>
        <w:spacing w:after="60"/>
      </w:pPr>
      <w:r>
        <w:rPr>
          <w:b/>
          <w:bCs/>
        </w:rPr>
        <w:t xml:space="preserve">P4 Ward</w:t>
      </w:r>
      <w:r>
        <w:t xml:space="preserve"> — from </w:t>
      </w:r>
      <w:r>
        <w:rPr>
          <w:rFonts w:ascii="Consolas" w:cs="Consolas" w:eastAsia="Consolas" w:hAnsi="Consolas"/>
          <w:sz w:val="19"/>
          <w:szCs w:val="19"/>
        </w:rPr>
        <w:t xml:space="preserve">wards.csv</w:t>
      </w:r>
      <w:r>
        <w:t xml:space="preserve">. </w:t>
      </w:r>
      <w:r>
        <w:rPr>
          <w:b/>
          <w:bCs/>
        </w:rPr>
        <w:t xml:space="preserve">P4 Bed</w:t>
      </w:r>
      <w:r>
        <w:t xml:space="preserve"> — from </w:t>
      </w:r>
      <w:r>
        <w:rPr>
          <w:rFonts w:ascii="Consolas" w:cs="Consolas" w:eastAsia="Consolas" w:hAnsi="Consolas"/>
          <w:sz w:val="19"/>
          <w:szCs w:val="19"/>
        </w:rPr>
        <w:t xml:space="preserve">hospital_beds.csv</w:t>
      </w:r>
      <w:r>
        <w:t xml:space="preserve">. </w:t>
      </w:r>
      <w:r>
        <w:rPr>
          <w:b/>
          <w:bCs/>
        </w:rPr>
        <w:t xml:space="preserve">P4 ED Attendance</w:t>
      </w:r>
      <w:r>
        <w:t xml:space="preserve"> — resolved from the event stream.</w:t>
      </w:r>
    </w:p>
    <w:p>
      <w:pPr>
        <w:pStyle w:val="ListParagraph"/>
        <w:numPr>
          <w:ilvl w:val="0"/>
          <w:numId w:val="2"/>
        </w:numPr>
        <w:spacing w:after="60"/>
      </w:pPr>
      <w:r>
        <w:t xml:space="preserve">Link: </w:t>
      </w:r>
      <w:r>
        <w:rPr>
          <w:b/>
          <w:bCs/>
        </w:rPr>
        <w:t xml:space="preserve">P4 Ward 1—N P4 Bed.</w:t>
      </w:r>
    </w:p>
    <w:p>
      <w:pPr>
        <w:pStyle w:val="ListParagraph"/>
        <w:numPr>
          <w:ilvl w:val="0"/>
          <w:numId w:val="2"/>
        </w:numPr>
        <w:spacing w:after="60"/>
      </w:pPr>
      <w:r>
        <w:t xml:space="preserve">There is no </w:t>
      </w:r>
      <w:r>
        <w:rPr>
          <w:rFonts w:ascii="Consolas" w:cs="Consolas" w:eastAsia="Consolas" w:hAnsi="Consolas"/>
          <w:sz w:val="19"/>
          <w:szCs w:val="19"/>
        </w:rPr>
        <w:t xml:space="preserve">sites.csv</w:t>
      </w:r>
      <w:r>
        <w:t xml:space="preserve">. A Site object type, if the team wants one, must be derived in the pipeline from the distinct site codes on the wards. A team that builds one has understood that object types come from the domain, not from the file list; a team that decides a site code property on Ward is enough has also answered defensibly. Either way, ask.</w:t>
      </w:r>
    </w:p>
    <w:p>
      <w:pPr>
        <w:pStyle w:val="Heading2"/>
        <w:spacing w:after="120" w:before="260"/>
      </w:pPr>
      <w:r>
        <w:t xml:space="preserve">Pipeline</w:t>
      </w:r>
    </w:p>
    <w:p>
      <w:pPr>
        <w:pStyle w:val="ListParagraph"/>
        <w:numPr>
          <w:ilvl w:val="0"/>
          <w:numId w:val="2"/>
        </w:numPr>
        <w:spacing w:after="60"/>
      </w:pPr>
      <w:r>
        <w:t xml:space="preserve">Resolve the CDC stream to one current row per attendance. Justify the sort key in a comment.</w:t>
      </w:r>
    </w:p>
    <w:p>
      <w:pPr>
        <w:pStyle w:val="ListParagraph"/>
        <w:numPr>
          <w:ilvl w:val="0"/>
          <w:numId w:val="2"/>
        </w:numPr>
        <w:spacing w:after="60"/>
      </w:pPr>
      <w:r>
        <w:t xml:space="preserve">Normalise bed </w:t>
      </w:r>
      <w:r>
        <w:rPr>
          <w:rFonts w:ascii="Consolas" w:cs="Consolas" w:eastAsia="Consolas" w:hAnsi="Consolas"/>
          <w:sz w:val="19"/>
          <w:szCs w:val="19"/>
        </w:rPr>
        <w:t xml:space="preserve">status</w:t>
      </w:r>
      <w:r>
        <w:t xml:space="preserve"> and </w:t>
      </w:r>
      <w:r>
        <w:rPr>
          <w:rFonts w:ascii="Consolas" w:cs="Consolas" w:eastAsia="Consolas" w:hAnsi="Consolas"/>
          <w:sz w:val="19"/>
          <w:szCs w:val="19"/>
        </w:rPr>
        <w:t xml:space="preserve">hospital_site_code</w:t>
      </w:r>
      <w:r>
        <w:t xml:space="preserve"> casing; drop blank and padded keys; deduplicate.</w:t>
      </w:r>
    </w:p>
    <w:p>
      <w:pPr>
        <w:pStyle w:val="ListParagraph"/>
        <w:numPr>
          <w:ilvl w:val="0"/>
          <w:numId w:val="2"/>
        </w:numPr>
        <w:spacing w:after="60"/>
      </w:pPr>
      <w:r>
        <w:t xml:space="preserve">Recompute the four-hour breach state against the current clock rather than carrying </w:t>
      </w:r>
      <w:r>
        <w:rPr>
          <w:rFonts w:ascii="Consolas" w:cs="Consolas" w:eastAsia="Consolas" w:hAnsi="Consolas"/>
          <w:sz w:val="19"/>
          <w:szCs w:val="19"/>
        </w:rPr>
        <w:t xml:space="preserve">is_breached</w:t>
      </w:r>
      <w:r>
        <w:t xml:space="preserve">.</w:t>
      </w:r>
    </w:p>
    <w:p>
      <w:pPr>
        <w:pStyle w:val="Heading2"/>
        <w:spacing w:after="120" w:before="260"/>
      </w:pPr>
      <w:r>
        <w:t xml:space="preserve">Derived properties (Workshop)</w:t>
      </w:r>
    </w:p>
    <w:p>
      <w:pPr>
        <w:pStyle w:val="ListParagraph"/>
        <w:numPr>
          <w:ilvl w:val="0"/>
          <w:numId w:val="2"/>
        </w:numPr>
        <w:spacing w:after="60"/>
      </w:pPr>
      <w:r>
        <w:rPr>
          <w:rFonts w:ascii="Consolas" w:cs="Consolas" w:eastAsia="Consolas" w:hAnsi="Consolas"/>
          <w:sz w:val="19"/>
          <w:szCs w:val="19"/>
        </w:rPr>
        <w:t xml:space="preserve">occupiedBeds</w:t>
      </w:r>
      <w:r>
        <w:t xml:space="preserve"> — aggregation: count of linked P4 Beds with a static filter of </w:t>
      </w:r>
      <w:r>
        <w:rPr>
          <w:rFonts w:ascii="Consolas" w:cs="Consolas" w:eastAsia="Consolas" w:hAnsi="Consolas"/>
          <w:sz w:val="19"/>
          <w:szCs w:val="19"/>
        </w:rPr>
        <w:t xml:space="preserve">status = Occupied</w:t>
      </w:r>
      <w:r>
        <w:t xml:space="preserve">.</w:t>
      </w:r>
    </w:p>
    <w:p>
      <w:pPr>
        <w:pStyle w:val="ListParagraph"/>
        <w:numPr>
          <w:ilvl w:val="0"/>
          <w:numId w:val="2"/>
        </w:numPr>
        <w:spacing w:after="60"/>
      </w:pPr>
      <w:r>
        <w:rPr>
          <w:rFonts w:ascii="Consolas" w:cs="Consolas" w:eastAsia="Consolas" w:hAnsi="Consolas"/>
          <w:sz w:val="19"/>
          <w:szCs w:val="19"/>
        </w:rPr>
        <w:t xml:space="preserve">occupancyPct</w:t>
      </w:r>
      <w:r>
        <w:t xml:space="preserve"> — column math: </w:t>
      </w:r>
      <w:r>
        <w:rPr>
          <w:rFonts w:ascii="Consolas" w:cs="Consolas" w:eastAsia="Consolas" w:hAnsi="Consolas"/>
          <w:sz w:val="19"/>
          <w:szCs w:val="19"/>
        </w:rPr>
        <w:t xml:space="preserve">occupiedBeds / totalBeds * 100</w:t>
      </w:r>
      <w:r>
        <w:t xml:space="preserve">, referencing the aggregation above. Two steps, because column math cannot chain onto column math.</w:t>
      </w:r>
    </w:p>
    <w:p>
      <w:pPr>
        <w:spacing w:after="120"/>
      </w:pPr>
      <w:r>
        <w:t xml:space="preserve">Eight wards, so sorting is well inside the 200-row cap.</w:t>
      </w:r>
    </w:p>
    <w:p>
      <w:pPr>
        <w:pStyle w:val="Heading2"/>
        <w:spacing w:after="120" w:before="260"/>
      </w:pPr>
      <w:r>
        <w:t xml:space="preserve">Function (TypeScript v2)</w:t>
      </w:r>
    </w:p>
    <w:p>
      <w:pPr>
        <w:spacing w:after="120"/>
      </w:pPr>
      <w:r>
        <w:rPr>
          <w:rFonts w:ascii="Consolas" w:cs="Consolas" w:eastAsia="Consolas" w:hAnsi="Consolas"/>
          <w:sz w:val="19"/>
          <w:szCs w:val="19"/>
        </w:rPr>
        <w:t xml:space="preserve">siteEscalationLevel(client, siteCode)</w:t>
      </w:r>
      <w:r>
        <w:t xml:space="preserve"> returning a string OPEL level. Combine ward occupancy across the site with the count of attendances currently awaiting a bed. The band thresholds are the team's to propose and defend — there is no single right answer, and the assessment is whether the bands are justified and implemented exactly as stated.</w:t>
      </w:r>
    </w:p>
    <w:p>
      <w:pPr>
        <w:pStyle w:val="Heading2"/>
        <w:spacing w:after="120" w:before="260"/>
      </w:pPr>
      <w:r>
        <w:t xml:space="preserve">Action</w:t>
      </w:r>
    </w:p>
    <w:p>
      <w:pPr>
        <w:spacing w:after="120"/>
      </w:pPr>
      <w:r>
        <w:rPr>
          <w:b/>
          <w:bCs/>
        </w:rPr>
        <w:t xml:space="preserve">Record Escalation Decision</w:t>
      </w:r>
      <w:r>
        <w:t xml:space="preserve"> — writes the level, the deciding user and a free-text rationale onto the Site or Ward object in one submission. Submission criteria must require a rationale and must reject a level outside the allowed set. Restricted to the provided group.</w:t>
      </w:r>
    </w:p>
    <w:p>
      <w:pPr>
        <w:pStyle w:val="Heading2"/>
        <w:spacing w:after="120" w:before="260"/>
      </w:pPr>
      <w:r>
        <w:t xml:space="preserve">Security, Quiver, Workshop</w:t>
      </w:r>
    </w:p>
    <w:p>
      <w:pPr>
        <w:pStyle w:val="ListParagraph"/>
        <w:numPr>
          <w:ilvl w:val="0"/>
          <w:numId w:val="2"/>
        </w:numPr>
        <w:spacing w:after="60"/>
      </w:pPr>
      <w:r>
        <w:rPr>
          <w:rFonts w:ascii="Consolas" w:cs="Consolas" w:eastAsia="Consolas" w:hAnsi="Consolas"/>
          <w:sz w:val="19"/>
          <w:szCs w:val="19"/>
        </w:rPr>
        <w:t xml:space="preserve">RESTRICTED_CLINICAL</w:t>
      </w:r>
      <w:r>
        <w:t xml:space="preserve"> on the raw event feed. One restricted view filtering </w:t>
      </w:r>
      <w:r>
        <w:rPr>
          <w:rFonts w:ascii="Consolas" w:cs="Consolas" w:eastAsia="Consolas" w:hAnsi="Consolas"/>
          <w:sz w:val="19"/>
          <w:szCs w:val="19"/>
        </w:rPr>
        <w:t xml:space="preserve">hospital_site_code</w:t>
      </w:r>
      <w:r>
        <w:t xml:space="preserve"> to the user's site attribute.</w:t>
      </w:r>
    </w:p>
    <w:p>
      <w:pPr>
        <w:pStyle w:val="ListParagraph"/>
        <w:numPr>
          <w:ilvl w:val="0"/>
          <w:numId w:val="2"/>
        </w:numPr>
        <w:spacing w:after="60"/>
      </w:pPr>
      <w:r>
        <w:t xml:space="preserve">Quiver: ward occupancy across both sites, and the attendances-awaiting-bed count over time.</w:t>
      </w:r>
    </w:p>
    <w:p>
      <w:pPr>
        <w:pStyle w:val="ListParagraph"/>
        <w:numPr>
          <w:ilvl w:val="0"/>
          <w:numId w:val="2"/>
        </w:numPr>
        <w:spacing w:after="60"/>
      </w:pPr>
      <w:r>
        <w:t xml:space="preserve">Workshop: ward table with the occupancy column, a detail panel for the selected ward, the escalation action, and the ED queue alongside.</w:t>
      </w:r>
    </w:p>
    <w:p>
      <w:pPr>
        <w:pStyle w:val="Heading2"/>
        <w:spacing w:after="120" w:before="260"/>
      </w:pPr>
      <w:r>
        <w:t xml:space="preserve">Expected figures</w:t>
      </w:r>
    </w:p>
    <w:p>
      <w:pPr>
        <w:spacing w:after="120"/>
      </w:pPr>
      <w:r>
        <w:t xml:space="preserve">Occupancy spans </w:t>
      </w:r>
      <w:r>
        <w:rPr>
          <w:b/>
          <w:bCs/>
        </w:rPr>
        <w:t xml:space="preserve">65.0%</w:t>
      </w:r>
      <w:r>
        <w:t xml:space="preserve"> (WARD-TRAUMA-1) to </w:t>
      </w:r>
      <w:r>
        <w:rPr>
          <w:b/>
          <w:bCs/>
        </w:rPr>
        <w:t xml:space="preserve">91.7%</w:t>
      </w:r>
      <w:r>
        <w:t xml:space="preserve"> (WARD-CARD-1); WARD-AMU-1 sits at 87.5%. 24 available beds across 144. 69 attendances awaiting a bed. 45.3% of the 128 in-flight attendances are past four hours, against a median in-flight stay of 189 minutes.</w:t>
      </w:r>
    </w:p>
    <w:p>
      <w:pPr>
        <w:pBdr>
          <w:left w:val="single" w:color="4472C4" w:sz="18" w:space="12"/>
        </w:pBdr>
        <w:spacing w:after="160" w:before="120"/>
        <w:ind w:left="220"/>
      </w:pPr>
      <w:r>
        <w:rPr>
          <w:b/>
          <w:bCs/>
        </w:rPr>
        <w:t xml:space="preserve">The trap:  </w:t>
      </w:r>
      <w:r>
        <w:t xml:space="preserve">the CDC sort key. Resolving on </w:t>
      </w:r>
      <w:r>
        <w:rPr>
          <w:rFonts w:ascii="Consolas" w:cs="Consolas" w:eastAsia="Consolas" w:hAnsi="Consolas"/>
          <w:sz w:val="19"/>
          <w:szCs w:val="19"/>
        </w:rPr>
        <w:t xml:space="preserve">arrival_timestamp</w:t>
      </w:r>
      <w:r>
        <w:t xml:space="preserve"> produces exactly 420 attendances, a green pipeline and a bed board that looks entirely reasonable, with 62.9% of dispositions wrong. Read the transform; you cannot see this from the module.</w:t>
      </w:r>
    </w:p>
    <w:p>
      <w:pPr>
        <w:pStyle w:val="Heading1"/>
        <w:pageBreakBefore/>
        <w:spacing w:after="160"/>
      </w:pPr>
      <w:r>
        <w:t xml:space="preserve">8. Project 5 — Clinic Capacity Balancing</w:t>
      </w:r>
    </w:p>
    <w:p>
      <w:pPr>
        <w:spacing w:after="120"/>
      </w:pPr>
      <w:r>
        <w:rPr>
          <w:b/>
          <w:bCs/>
        </w:rPr>
        <w:t xml:space="preserve">Consumer:</w:t>
      </w:r>
      <w:r>
        <w:t xml:space="preserve"> the elective access manager, weekly, deciding where to move work.</w:t>
      </w:r>
    </w:p>
    <w:p>
      <w:pPr>
        <w:spacing w:after="120"/>
      </w:pPr>
      <w:r>
        <w:rPr>
          <w:b/>
          <w:bCs/>
        </w:rPr>
        <w:t xml:space="preserve">Question:</w:t>
      </w:r>
      <w:r>
        <w:t xml:space="preserve"> referrals arrive at clinics roughly evenly, but the clinics have very different weekly capacity. Which clinics are drowning, and which pathways should move?</w:t>
      </w:r>
    </w:p>
    <w:p>
      <w:pPr>
        <w:pStyle w:val="Heading2"/>
        <w:spacing w:after="120" w:before="260"/>
      </w:pPr>
      <w:r>
        <w:t xml:space="preserve">Model</w:t>
      </w:r>
    </w:p>
    <w:p>
      <w:pPr>
        <w:pStyle w:val="ListParagraph"/>
        <w:numPr>
          <w:ilvl w:val="0"/>
          <w:numId w:val="2"/>
        </w:numPr>
        <w:spacing w:after="60"/>
      </w:pPr>
      <w:r>
        <w:rPr>
          <w:b/>
          <w:bCs/>
        </w:rPr>
        <w:t xml:space="preserve">P5 Clinic</w:t>
      </w:r>
      <w:r>
        <w:t xml:space="preserve"> — from </w:t>
      </w:r>
      <w:r>
        <w:rPr>
          <w:rFonts w:ascii="Consolas" w:cs="Consolas" w:eastAsia="Consolas" w:hAnsi="Consolas"/>
          <w:sz w:val="19"/>
          <w:szCs w:val="19"/>
        </w:rPr>
        <w:t xml:space="preserve">clinics.csv</w:t>
      </w:r>
      <w:r>
        <w:t xml:space="preserve">, keyed on </w:t>
      </w:r>
      <w:r>
        <w:rPr>
          <w:rFonts w:ascii="Consolas" w:cs="Consolas" w:eastAsia="Consolas" w:hAnsi="Consolas"/>
          <w:sz w:val="19"/>
          <w:szCs w:val="19"/>
        </w:rPr>
        <w:t xml:space="preserve">clinic_id</w:t>
      </w:r>
      <w:r>
        <w:t xml:space="preserve">. Three clinics per specialty, at different sites. </w:t>
      </w:r>
      <w:r>
        <w:rPr>
          <w:b/>
          <w:bCs/>
        </w:rPr>
        <w:t xml:space="preserve">P5 RTT Pathway</w:t>
      </w:r>
      <w:r>
        <w:t xml:space="preserve"> — from </w:t>
      </w:r>
      <w:r>
        <w:rPr>
          <w:rFonts w:ascii="Consolas" w:cs="Consolas" w:eastAsia="Consolas" w:hAnsi="Consolas"/>
          <w:sz w:val="19"/>
          <w:szCs w:val="19"/>
        </w:rPr>
        <w:t xml:space="preserve">rtt_pathways.csv</w:t>
      </w:r>
      <w:r>
        <w:t xml:space="preserve">. </w:t>
      </w:r>
      <w:r>
        <w:rPr>
          <w:b/>
          <w:bCs/>
        </w:rPr>
        <w:t xml:space="preserve">P5 Patient</w:t>
      </w:r>
      <w:r>
        <w:t xml:space="preserve"> — if the team can justify it.</w:t>
      </w:r>
    </w:p>
    <w:p>
      <w:pPr>
        <w:pStyle w:val="ListParagraph"/>
        <w:numPr>
          <w:ilvl w:val="0"/>
          <w:numId w:val="2"/>
        </w:numPr>
        <w:spacing w:after="60"/>
      </w:pPr>
      <w:r>
        <w:t xml:space="preserve">Link: </w:t>
      </w:r>
      <w:r>
        <w:rPr>
          <w:b/>
          <w:bCs/>
        </w:rPr>
        <w:t xml:space="preserve">P5 Clinic 1—N P5 RTT Pathway.</w:t>
      </w:r>
    </w:p>
    <w:p>
      <w:pPr>
        <w:pStyle w:val="Heading2"/>
        <w:spacing w:after="120" w:before="260"/>
      </w:pPr>
      <w:r>
        <w:t xml:space="preserve">Pipeline</w:t>
      </w:r>
    </w:p>
    <w:p>
      <w:pPr>
        <w:pStyle w:val="ListParagraph"/>
        <w:numPr>
          <w:ilvl w:val="0"/>
          <w:numId w:val="2"/>
        </w:numPr>
        <w:spacing w:after="60"/>
      </w:pPr>
      <w:r>
        <w:t xml:space="preserve">Clean pathways and clinics; normalise </w:t>
      </w:r>
      <w:r>
        <w:rPr>
          <w:rFonts w:ascii="Consolas" w:cs="Consolas" w:eastAsia="Consolas" w:hAnsi="Consolas"/>
          <w:sz w:val="19"/>
          <w:szCs w:val="19"/>
        </w:rPr>
        <w:t xml:space="preserve">clock_status</w:t>
      </w:r>
      <w:r>
        <w:t xml:space="preserve">; default a missing </w:t>
      </w:r>
      <w:r>
        <w:rPr>
          <w:rFonts w:ascii="Consolas" w:cs="Consolas" w:eastAsia="Consolas" w:hAnsi="Consolas"/>
          <w:sz w:val="19"/>
          <w:szCs w:val="19"/>
        </w:rPr>
        <w:t xml:space="preserve">priority_band</w:t>
      </w:r>
      <w:r>
        <w:t xml:space="preserve"> to P4.</w:t>
      </w:r>
    </w:p>
    <w:p>
      <w:pPr>
        <w:pStyle w:val="ListParagraph"/>
        <w:numPr>
          <w:ilvl w:val="0"/>
          <w:numId w:val="2"/>
        </w:numPr>
        <w:spacing w:after="60"/>
      </w:pPr>
      <w:r>
        <w:t xml:space="preserve">Mask in the Transform tier: emit </w:t>
      </w:r>
      <w:r>
        <w:rPr>
          <w:rFonts w:ascii="Consolas" w:cs="Consolas" w:eastAsia="Consolas" w:hAnsi="Consolas"/>
          <w:sz w:val="19"/>
          <w:szCs w:val="19"/>
        </w:rPr>
        <w:t xml:space="preserve">birth_year</w:t>
      </w:r>
      <w:r>
        <w:t xml:space="preserve"> rather than </w:t>
      </w:r>
      <w:r>
        <w:rPr>
          <w:rFonts w:ascii="Consolas" w:cs="Consolas" w:eastAsia="Consolas" w:hAnsi="Consolas"/>
          <w:sz w:val="19"/>
          <w:szCs w:val="19"/>
        </w:rPr>
        <w:t xml:space="preserve">dob</w:t>
      </w:r>
      <w:r>
        <w:t xml:space="preserve">, and a hashed patient reference. The restricted view will not do this for you.</w:t>
      </w:r>
    </w:p>
    <w:p>
      <w:pPr>
        <w:pStyle w:val="ListParagraph"/>
        <w:numPr>
          <w:ilvl w:val="0"/>
          <w:numId w:val="2"/>
        </w:numPr>
        <w:spacing w:after="60"/>
      </w:pPr>
      <w:r>
        <w:t xml:space="preserve">Do not carry </w:t>
      </w:r>
      <w:r>
        <w:rPr>
          <w:rFonts w:ascii="Consolas" w:cs="Consolas" w:eastAsia="Consolas" w:hAnsi="Consolas"/>
          <w:sz w:val="19"/>
          <w:szCs w:val="19"/>
        </w:rPr>
        <w:t xml:space="preserve">is_breached</w:t>
      </w:r>
      <w:r>
        <w:t xml:space="preserve">.</w:t>
      </w:r>
    </w:p>
    <w:p>
      <w:pPr>
        <w:pStyle w:val="Heading2"/>
        <w:spacing w:after="120" w:before="260"/>
      </w:pPr>
      <w:r>
        <w:t xml:space="preserve">Derived properties (Workshop)</w:t>
      </w:r>
    </w:p>
    <w:p>
      <w:pPr>
        <w:pStyle w:val="ListParagraph"/>
        <w:numPr>
          <w:ilvl w:val="0"/>
          <w:numId w:val="2"/>
        </w:numPr>
        <w:spacing w:after="60"/>
      </w:pPr>
      <w:r>
        <w:rPr>
          <w:rFonts w:ascii="Consolas" w:cs="Consolas" w:eastAsia="Consolas" w:hAnsi="Consolas"/>
          <w:sz w:val="19"/>
          <w:szCs w:val="19"/>
        </w:rPr>
        <w:t xml:space="preserve">activePathways</w:t>
      </w:r>
      <w:r>
        <w:t xml:space="preserve"> — aggregation: count of linked P5 RTT Pathways filtered to </w:t>
      </w:r>
      <w:r>
        <w:rPr>
          <w:rFonts w:ascii="Consolas" w:cs="Consolas" w:eastAsia="Consolas" w:hAnsi="Consolas"/>
          <w:sz w:val="19"/>
          <w:szCs w:val="19"/>
        </w:rPr>
        <w:t xml:space="preserve">clock_status = ACTIVE</w:t>
      </w:r>
      <w:r>
        <w:t xml:space="preserve">.</w:t>
      </w:r>
    </w:p>
    <w:p>
      <w:pPr>
        <w:pStyle w:val="ListParagraph"/>
        <w:numPr>
          <w:ilvl w:val="0"/>
          <w:numId w:val="2"/>
        </w:numPr>
        <w:spacing w:after="60"/>
      </w:pPr>
      <w:r>
        <w:rPr>
          <w:rFonts w:ascii="Consolas" w:cs="Consolas" w:eastAsia="Consolas" w:hAnsi="Consolas"/>
          <w:sz w:val="19"/>
          <w:szCs w:val="19"/>
        </w:rPr>
        <w:t xml:space="preserve">weeksToClear</w:t>
      </w:r>
      <w:r>
        <w:t xml:space="preserve"> — column math: </w:t>
      </w:r>
      <w:r>
        <w:rPr>
          <w:rFonts w:ascii="Consolas" w:cs="Consolas" w:eastAsia="Consolas" w:hAnsi="Consolas"/>
          <w:sz w:val="19"/>
          <w:szCs w:val="19"/>
        </w:rPr>
        <w:t xml:space="preserve">activePathways / weeklyCapacity</w:t>
      </w:r>
      <w:r>
        <w:t xml:space="preserve">.</w:t>
      </w:r>
    </w:p>
    <w:p>
      <w:pPr>
        <w:spacing w:after="120"/>
      </w:pPr>
      <w:r>
        <w:t xml:space="preserve">Twenty-one clinics, so sorting works. The spread is dramatic and the module should make it obvious.</w:t>
      </w:r>
    </w:p>
    <w:p>
      <w:pPr>
        <w:pStyle w:val="Heading2"/>
        <w:spacing w:after="120" w:before="260"/>
      </w:pPr>
      <w:r>
        <w:t xml:space="preserve">Function (TypeScript v2)</w:t>
      </w:r>
    </w:p>
    <w:p>
      <w:pPr>
        <w:spacing w:after="120"/>
      </w:pPr>
      <w:r>
        <w:rPr>
          <w:rFonts w:ascii="Consolas" w:cs="Consolas" w:eastAsia="Consolas" w:hAnsi="Consolas"/>
          <w:sz w:val="19"/>
          <w:szCs w:val="19"/>
        </w:rPr>
        <w:t xml:space="preserve">recommendTransferClinic(client, pathway)</w:t>
      </w:r>
      <w:r>
        <w:t xml:space="preserve"> returning the clinics in the same specialty whose weeks-to-clear is lower than the pathway's current clinic. Read the current clinic first, then filter — the traversal is the point. Expect an empty result for pathways already sitting at the best clinic in their specialty, and render that rather than breaking on it.</w:t>
      </w:r>
    </w:p>
    <w:p>
      <w:pPr>
        <w:pStyle w:val="Heading2"/>
        <w:spacing w:after="120" w:before="260"/>
      </w:pPr>
      <w:r>
        <w:t xml:space="preserve">Action</w:t>
      </w:r>
    </w:p>
    <w:p>
      <w:pPr>
        <w:spacing w:after="120"/>
      </w:pPr>
      <w:r>
        <w:rPr>
          <w:b/>
          <w:bCs/>
        </w:rPr>
        <w:t xml:space="preserve">Transfer Pathway to Clinic</w:t>
      </w:r>
      <w:r>
        <w:t xml:space="preserve"> — repoints the pathway's clinic link and records who moved it and why. Submission criteria must block transferring to a clinic in a different specialty, and block transferring a PAUSED pathway. Restricted to the provided group.</w:t>
      </w:r>
    </w:p>
    <w:p>
      <w:pPr>
        <w:pStyle w:val="Heading2"/>
        <w:spacing w:after="120" w:before="260"/>
      </w:pPr>
      <w:r>
        <w:t xml:space="preserve">Security, Quiver, Workshop</w:t>
      </w:r>
    </w:p>
    <w:p>
      <w:pPr>
        <w:pStyle w:val="ListParagraph"/>
        <w:numPr>
          <w:ilvl w:val="0"/>
          <w:numId w:val="2"/>
        </w:numPr>
        <w:spacing w:after="60"/>
      </w:pPr>
      <w:r>
        <w:rPr>
          <w:rFonts w:ascii="Consolas" w:cs="Consolas" w:eastAsia="Consolas" w:hAnsi="Consolas"/>
          <w:sz w:val="19"/>
          <w:szCs w:val="19"/>
        </w:rPr>
        <w:t xml:space="preserve">RESTRICTED_PII</w:t>
      </w:r>
      <w:r>
        <w:t xml:space="preserve"> on </w:t>
      </w:r>
      <w:r>
        <w:rPr>
          <w:rFonts w:ascii="Consolas" w:cs="Consolas" w:eastAsia="Consolas" w:hAnsi="Consolas"/>
          <w:sz w:val="19"/>
          <w:szCs w:val="19"/>
        </w:rPr>
        <w:t xml:space="preserve">patients_raw</w:t>
      </w:r>
      <w:r>
        <w:t xml:space="preserve">. One restricted view excluding </w:t>
      </w:r>
      <w:r>
        <w:rPr>
          <w:rFonts w:ascii="Consolas" w:cs="Consolas" w:eastAsia="Consolas" w:hAnsi="Consolas"/>
          <w:sz w:val="19"/>
          <w:szCs w:val="19"/>
        </w:rPr>
        <w:t xml:space="preserve">sensitive_care_flag = TRUE</w:t>
      </w:r>
      <w:r>
        <w:t xml:space="preserve">.</w:t>
      </w:r>
    </w:p>
    <w:p>
      <w:pPr>
        <w:pStyle w:val="ListParagraph"/>
        <w:numPr>
          <w:ilvl w:val="0"/>
          <w:numId w:val="2"/>
        </w:numPr>
        <w:spacing w:after="60"/>
      </w:pPr>
      <w:r>
        <w:t xml:space="preserve">Quiver: active backlog against weekly capacity per clinic, grouped by specialty.</w:t>
      </w:r>
    </w:p>
    <w:p>
      <w:pPr>
        <w:pStyle w:val="ListParagraph"/>
        <w:numPr>
          <w:ilvl w:val="0"/>
          <w:numId w:val="2"/>
        </w:numPr>
        <w:spacing w:after="60"/>
      </w:pPr>
      <w:r>
        <w:t xml:space="preserve">Workshop: clinic table sorted by weeks-to-clear, a pathway list for the selected clinic, the recommendation list, and the transfer action.</w:t>
      </w:r>
    </w:p>
    <w:p>
      <w:pPr>
        <w:pStyle w:val="Heading2"/>
        <w:spacing w:after="120" w:before="260"/>
      </w:pPr>
      <w:r>
        <w:t xml:space="preserve">Expected figures</w:t>
      </w:r>
    </w:p>
    <w:p>
      <w:pPr>
        <w:spacing w:after="120"/>
      </w:pPr>
      <w:r>
        <w:t xml:space="preserve">2,549 active pathways across 21 clinics. Weeks to clear spans </w:t>
      </w:r>
      <w:r>
        <w:rPr>
          <w:b/>
          <w:bCs/>
        </w:rPr>
        <w:t xml:space="preserve">4.1</w:t>
      </w:r>
      <w:r>
        <w:t xml:space="preserve"> (CLIN-130-A, capacity 30) to </w:t>
      </w:r>
      <w:r>
        <w:rPr>
          <w:b/>
          <w:bCs/>
        </w:rPr>
        <w:t xml:space="preserve">41.7</w:t>
      </w:r>
      <w:r>
        <w:t xml:space="preserve"> (CLIN-100-C, capacity 3). The pattern is systematic rather than random. Referrals are spread roughly evenly across the three clinics in a specialty — every clinic in the trust carries between 103 and 155 active pathways — while capacity is not: the site-C clinic runs at 40–60% of its site-A sibling. So the three worst clinics in the trust are CLIN-100-C, CLIN-120-C and CLIN-320-C, each carrying about 120 active pathways on a weekly capacity of 3. A working rebalancer should visibly close that gap.</w:t>
      </w:r>
    </w:p>
    <w:p>
      <w:pPr>
        <w:pBdr>
          <w:left w:val="single" w:color="4472C4" w:sz="18" w:space="12"/>
        </w:pBdr>
        <w:spacing w:after="160" w:before="120"/>
        <w:ind w:left="220"/>
      </w:pPr>
      <w:r>
        <w:rPr>
          <w:b/>
          <w:bCs/>
        </w:rPr>
        <w:t xml:space="preserve">The trap:  </w:t>
      </w:r>
      <w:r>
        <w:t xml:space="preserve">weeks-to-clear must be computed on </w:t>
      </w:r>
      <w:r>
        <w:rPr>
          <w:b/>
          <w:bCs/>
        </w:rPr>
        <w:t xml:space="preserve">cleaned</w:t>
      </w:r>
      <w:r>
        <w:t xml:space="preserve"> active pathways. Deduplication and blank-key removal cost about 2% of rows, and counting PAUSED pathways as active inflates every clinic. Both errors preserve the ranking, so the module still looks right — check the numbers, not the ordering.</w:t>
      </w:r>
    </w:p>
    <w:p>
      <w:pPr>
        <w:pStyle w:val="Heading1"/>
        <w:pageBreakBefore/>
        <w:spacing w:after="160"/>
      </w:pPr>
      <w:r>
        <w:t xml:space="preserve">9. Project 6 — Deterioration Watch</w:t>
      </w:r>
    </w:p>
    <w:p>
      <w:pPr>
        <w:spacing w:after="120"/>
      </w:pPr>
      <w:r>
        <w:rPr>
          <w:b/>
          <w:bCs/>
        </w:rPr>
        <w:t xml:space="preserve">Consumer:</w:t>
      </w:r>
      <w:r>
        <w:t xml:space="preserve"> the clinical site practitioner, on shift, working out who to see next.</w:t>
      </w:r>
    </w:p>
    <w:p>
      <w:pPr>
        <w:spacing w:after="120"/>
      </w:pPr>
      <w:r>
        <w:rPr>
          <w:b/>
          <w:bCs/>
        </w:rPr>
        <w:t xml:space="preserve">Question:</w:t>
      </w:r>
      <w:r>
        <w:t xml:space="preserve"> across every inpatient, who is deteriorating, and who has already been looked at?</w:t>
      </w:r>
    </w:p>
    <w:p>
      <w:pPr>
        <w:pStyle w:val="Heading2"/>
        <w:spacing w:after="120" w:before="260"/>
      </w:pPr>
      <w:r>
        <w:t xml:space="preserve">Model</w:t>
      </w:r>
    </w:p>
    <w:p>
      <w:pPr>
        <w:pStyle w:val="ListParagraph"/>
        <w:numPr>
          <w:ilvl w:val="0"/>
          <w:numId w:val="2"/>
        </w:numPr>
        <w:spacing w:after="60"/>
      </w:pPr>
      <w:r>
        <w:rPr>
          <w:b/>
          <w:bCs/>
        </w:rPr>
        <w:t xml:space="preserve">P6 Inpatient Admission</w:t>
      </w:r>
      <w:r>
        <w:t xml:space="preserve"> — from </w:t>
      </w:r>
      <w:r>
        <w:rPr>
          <w:rFonts w:ascii="Consolas" w:cs="Consolas" w:eastAsia="Consolas" w:hAnsi="Consolas"/>
          <w:sz w:val="19"/>
          <w:szCs w:val="19"/>
        </w:rPr>
        <w:t xml:space="preserve">inpatient_admissions.csv</w:t>
      </w:r>
      <w:r>
        <w:t xml:space="preserve">. </w:t>
      </w:r>
      <w:r>
        <w:rPr>
          <w:b/>
          <w:bCs/>
        </w:rPr>
        <w:t xml:space="preserve">P6 Telemetry Reading</w:t>
      </w:r>
      <w:r>
        <w:t xml:space="preserve"> — from </w:t>
      </w:r>
      <w:r>
        <w:rPr>
          <w:rFonts w:ascii="Consolas" w:cs="Consolas" w:eastAsia="Consolas" w:hAnsi="Consolas"/>
          <w:sz w:val="19"/>
          <w:szCs w:val="19"/>
        </w:rPr>
        <w:t xml:space="preserve">telemetry_readings.csv</w:t>
      </w:r>
      <w:r>
        <w:t xml:space="preserve">.</w:t>
      </w:r>
    </w:p>
    <w:p>
      <w:pPr>
        <w:pStyle w:val="ListParagraph"/>
        <w:numPr>
          <w:ilvl w:val="0"/>
          <w:numId w:val="2"/>
        </w:numPr>
        <w:spacing w:after="60"/>
      </w:pPr>
      <w:r>
        <w:t xml:space="preserve">Link: </w:t>
      </w:r>
      <w:r>
        <w:rPr>
          <w:b/>
          <w:bCs/>
        </w:rPr>
        <w:t xml:space="preserve">P6 Inpatient Admission 1—N P6 Telemetry Reading.</w:t>
      </w:r>
      <w:r>
        <w:t xml:space="preserve"> 84–96 valid readings per admission.</w:t>
      </w:r>
    </w:p>
    <w:p>
      <w:pPr>
        <w:pStyle w:val="Heading2"/>
        <w:spacing w:after="120" w:before="260"/>
      </w:pPr>
      <w:r>
        <w:t xml:space="preserve">Pipeline</w:t>
      </w:r>
    </w:p>
    <w:p>
      <w:pPr>
        <w:pStyle w:val="ListParagraph"/>
        <w:numPr>
          <w:ilvl w:val="0"/>
          <w:numId w:val="2"/>
        </w:numPr>
        <w:spacing w:after="60"/>
      </w:pPr>
      <w:r>
        <w:t xml:space="preserve">Drop invalid telemetry — sentinel values, nulls, and anything outside a physiologically possible range the team defines and documents. About 4.9% of readings go.</w:t>
      </w:r>
    </w:p>
    <w:p>
      <w:pPr>
        <w:pStyle w:val="ListParagraph"/>
        <w:numPr>
          <w:ilvl w:val="0"/>
          <w:numId w:val="2"/>
        </w:numPr>
        <w:spacing w:after="60"/>
      </w:pPr>
      <w:r>
        <w:rPr>
          <w:b/>
          <w:bCs/>
        </w:rPr>
        <w:t xml:space="preserve">Compute `news2` as a stored column on every surviving reading.</w:t>
      </w:r>
      <w:r>
        <w:t xml:space="preserve"> This is not optional and not a convenience: a Workshop aggregation can only aggregate over the linked type's native properties, so a NEWS2 that exists only inside a function cannot be aggregated. The score must be a column before Day 2 can use it.</w:t>
      </w:r>
    </w:p>
    <w:p>
      <w:pPr>
        <w:pStyle w:val="ListParagraph"/>
        <w:numPr>
          <w:ilvl w:val="0"/>
          <w:numId w:val="2"/>
        </w:numPr>
        <w:spacing w:after="60"/>
      </w:pPr>
      <w:r>
        <w:t xml:space="preserve">Also store the four sub-scores, or at least a boolean for "any single parameter scored 3" — the escalation rule has two limbs and the second one cannot be recovered from the total.</w:t>
      </w:r>
    </w:p>
    <w:p>
      <w:pPr>
        <w:pStyle w:val="ListParagraph"/>
        <w:numPr>
          <w:ilvl w:val="0"/>
          <w:numId w:val="2"/>
        </w:numPr>
        <w:spacing w:after="60"/>
      </w:pPr>
      <w:r>
        <w:t xml:space="preserve">Do not carry </w:t>
      </w:r>
      <w:r>
        <w:rPr>
          <w:rFonts w:ascii="Consolas" w:cs="Consolas" w:eastAsia="Consolas" w:hAnsi="Consolas"/>
          <w:sz w:val="19"/>
          <w:szCs w:val="19"/>
        </w:rPr>
        <w:t xml:space="preserve">news2_cached</w:t>
      </w:r>
      <w:r>
        <w:t xml:space="preserve">.</w:t>
      </w:r>
    </w:p>
    <w:p>
      <w:pPr>
        <w:pStyle w:val="Heading2"/>
        <w:spacing w:after="120" w:before="260"/>
      </w:pPr>
      <w:r>
        <w:t xml:space="preserve">Derived property (Workshop)</w:t>
      </w:r>
    </w:p>
    <w:p>
      <w:pPr>
        <w:spacing w:after="120"/>
      </w:pPr>
      <w:r>
        <w:rPr>
          <w:rFonts w:ascii="Consolas" w:cs="Consolas" w:eastAsia="Consolas" w:hAnsi="Consolas"/>
          <w:sz w:val="19"/>
          <w:szCs w:val="19"/>
        </w:rPr>
        <w:t xml:space="preserve">maxNews2</w:t>
      </w:r>
      <w:r>
        <w:t xml:space="preserve"> — aggregation: maximum of </w:t>
      </w:r>
      <w:r>
        <w:rPr>
          <w:rFonts w:ascii="Consolas" w:cs="Consolas" w:eastAsia="Consolas" w:hAnsi="Consolas"/>
          <w:sz w:val="19"/>
          <w:szCs w:val="19"/>
        </w:rPr>
        <w:t xml:space="preserve">news2</w:t>
      </w:r>
      <w:r>
        <w:t xml:space="preserve"> over linked P6 Telemetry Readings. One hop, over a native property, which is exactly what the feature supports.</w:t>
      </w:r>
    </w:p>
    <w:p>
      <w:pPr>
        <w:pBdr>
          <w:left w:val="single" w:color="4472C4" w:sz="18" w:space="12"/>
        </w:pBdr>
        <w:spacing w:after="160" w:before="120"/>
        <w:ind w:left="220"/>
      </w:pPr>
      <w:r>
        <w:rPr>
          <w:b/>
          <w:bCs/>
        </w:rPr>
        <w:t xml:space="preserve">And here it breaks.  </w:t>
      </w:r>
      <w:r>
        <w:t xml:space="preserve">There are 220 admissions and derived-property sorting is capped at 200 rows. The column renders; sorting it does not work. A watch list you cannot sort by severity is not a watch list. Trainees should hit this rather than be warned about it — it is on the documentation page they were pointed at on Day 2, and finding it is the exercise.</w:t>
      </w:r>
    </w:p>
    <w:p>
      <w:pPr>
        <w:spacing w:after="120"/>
      </w:pPr>
      <w:r>
        <w:t xml:space="preserve">There are two legitimate responses and the team should be able to argue for one:</w:t>
      </w:r>
    </w:p>
    <w:p>
      <w:pPr>
        <w:pStyle w:val="ListParagraph"/>
        <w:numPr>
          <w:ilvl w:val="0"/>
          <w:numId w:val="3"/>
        </w:numPr>
        <w:spacing w:after="60"/>
      </w:pPr>
      <w:r>
        <w:rPr>
          <w:b/>
          <w:bCs/>
        </w:rPr>
        <w:t xml:space="preserve">Filter first.</w:t>
      </w:r>
      <w:r>
        <w:t xml:space="preserve"> The medically-fit subset is 90 admissions, comfortably under the cap. Defensible if the consumer only ever looks at that subset — but a deterioration watch list arguably should not exclude anyone.</w:t>
      </w:r>
    </w:p>
    <w:p>
      <w:pPr>
        <w:pStyle w:val="ListParagraph"/>
        <w:numPr>
          <w:ilvl w:val="0"/>
          <w:numId w:val="3"/>
        </w:numPr>
        <w:spacing w:after="60"/>
      </w:pPr>
      <w:r>
        <w:rPr>
          <w:b/>
          <w:bCs/>
        </w:rPr>
        <w:t xml:space="preserve">Build a function-backed column,</w:t>
      </w:r>
      <w:r>
        <w:t xml:space="preserve"> which sorts to 10,000 objects. This is the documented escape hatch and the answer this project is built around.</w:t>
      </w:r>
    </w:p>
    <w:p>
      <w:pPr>
        <w:pStyle w:val="Heading2"/>
        <w:spacing w:after="120" w:before="260"/>
      </w:pPr>
      <w:r>
        <w:t xml:space="preserve">Function (TypeScript v2)</w:t>
      </w:r>
    </w:p>
    <w:p>
      <w:pPr>
        <w:spacing w:after="120"/>
      </w:pPr>
      <w:r>
        <w:rPr>
          <w:rFonts w:ascii="Consolas" w:cs="Consolas" w:eastAsia="Consolas" w:hAnsi="Consolas"/>
          <w:sz w:val="19"/>
          <w:szCs w:val="19"/>
        </w:rPr>
        <w:t xml:space="preserve">watchListPriority</w:t>
      </w:r>
      <w:r>
        <w:t xml:space="preserve"> — a function-backed column over the admission object set, returning a numeric priority per admission. It should combine the maximum NEWS2 with whether the escalation rule fired on the single-parameter limb and how long since the reading was taken. Section 6.3 has the object-set-in, map-out contract and the caveat about expressing it in v2.</w:t>
      </w:r>
    </w:p>
    <w:p>
      <w:pPr>
        <w:pStyle w:val="Heading2"/>
        <w:spacing w:after="120" w:before="260"/>
      </w:pPr>
      <w:r>
        <w:t xml:space="preserve">Action</w:t>
      </w:r>
    </w:p>
    <w:p>
      <w:pPr>
        <w:spacing w:after="120"/>
      </w:pPr>
      <w:r>
        <w:rPr>
          <w:b/>
          <w:bCs/>
        </w:rPr>
        <w:t xml:space="preserve">Acknowledge Deterioration</w:t>
      </w:r>
      <w:r>
        <w:t xml:space="preserve"> — records that a named clinician reviewed this admission at this time, with an outcome. Submission criteria should prevent acknowledging an admission with no valid telemetry. Restricted to the provided group.</w:t>
      </w:r>
    </w:p>
    <w:p>
      <w:pPr>
        <w:pStyle w:val="Heading2"/>
        <w:spacing w:after="120" w:before="260"/>
      </w:pPr>
      <w:r>
        <w:t xml:space="preserve">Security, Quiver, Workshop</w:t>
      </w:r>
    </w:p>
    <w:p>
      <w:pPr>
        <w:pStyle w:val="ListParagraph"/>
        <w:numPr>
          <w:ilvl w:val="0"/>
          <w:numId w:val="2"/>
        </w:numPr>
        <w:spacing w:after="60"/>
      </w:pPr>
      <w:r>
        <w:rPr>
          <w:rFonts w:ascii="Consolas" w:cs="Consolas" w:eastAsia="Consolas" w:hAnsi="Consolas"/>
          <w:sz w:val="19"/>
          <w:szCs w:val="19"/>
        </w:rPr>
        <w:t xml:space="preserve">NHS_CONFIDENTIAL</w:t>
      </w:r>
      <w:r>
        <w:t xml:space="preserve"> on the raw telemetry and admissions feeds. One restricted view filtering </w:t>
      </w:r>
      <w:r>
        <w:rPr>
          <w:rFonts w:ascii="Consolas" w:cs="Consolas" w:eastAsia="Consolas" w:hAnsi="Consolas"/>
          <w:sz w:val="19"/>
          <w:szCs w:val="19"/>
        </w:rPr>
        <w:t xml:space="preserve">trust_code</w:t>
      </w:r>
      <w:r>
        <w:t xml:space="preserve"> to the user's trust attribute.</w:t>
      </w:r>
    </w:p>
    <w:p>
      <w:pPr>
        <w:pStyle w:val="ListParagraph"/>
        <w:numPr>
          <w:ilvl w:val="0"/>
          <w:numId w:val="2"/>
        </w:numPr>
        <w:spacing w:after="60"/>
      </w:pPr>
      <w:r>
        <w:t xml:space="preserve">Quiver: the distribution of maximum NEWS2 across admissions, and a 48-hour vitals trend for a selected patient with the SpO2 92% threshold marked.</w:t>
      </w:r>
    </w:p>
    <w:p>
      <w:pPr>
        <w:pStyle w:val="ListParagraph"/>
        <w:numPr>
          <w:ilvl w:val="0"/>
          <w:numId w:val="2"/>
        </w:numPr>
        <w:spacing w:after="60"/>
      </w:pPr>
      <w:r>
        <w:t xml:space="preserve">Workshop: the watch list sorted by priority, a vitals panel for the selected admission, and the acknowledge action.</w:t>
      </w:r>
    </w:p>
    <w:p>
      <w:pPr>
        <w:pStyle w:val="Heading2"/>
        <w:spacing w:after="120" w:before="260"/>
      </w:pPr>
      <w:r>
        <w:t xml:space="preserve">Expected figures</w:t>
      </w:r>
    </w:p>
    <w:p>
      <w:pPr>
        <w:spacing w:after="120"/>
      </w:pPr>
      <w:r>
        <w:t xml:space="preserve">220 admissions, 20,093 valid readings after cleaning. Maximum NEWS2 per admission spans </w:t>
      </w:r>
      <w:r>
        <w:rPr>
          <w:b/>
          <w:bCs/>
        </w:rPr>
        <w:t xml:space="preserve">2 to 12</w:t>
      </w:r>
      <w:r>
        <w:t xml:space="preserve">; </w:t>
      </w:r>
      <w:r>
        <w:rPr>
          <w:b/>
          <w:bCs/>
        </w:rPr>
        <w:t xml:space="preserve">92 admissions</w:t>
      </w:r>
      <w:r>
        <w:t xml:space="preserve"> reach 7 or more. The medically-fit subset is 90. Five admissions escalate only on the "any single parameter scored 3" limb, with a total below 5 — an implementation that checks the total alone misses them and looks correct on a spot check.</w:t>
      </w:r>
    </w:p>
    <w:p>
      <w:pPr>
        <w:pBdr>
          <w:left w:val="single" w:color="4472C4" w:sz="18" w:space="12"/>
        </w:pBdr>
        <w:spacing w:after="160" w:before="120"/>
        <w:ind w:left="220"/>
      </w:pPr>
      <w:r>
        <w:rPr>
          <w:b/>
          <w:bCs/>
        </w:rPr>
        <w:t xml:space="preserve">The trap:  </w:t>
      </w:r>
      <w:r>
        <w:t xml:space="preserve">smoothing. A rolling median over the vitals is tempting and clinically wrong — a six-hour median is precisely the operation that hides the acute deterioration the score exists to catch, and it makes the expected answer depend on window handling. Clean by exclusion, then score. The most recent valid reading for every admission is guaranteed valid, so the current state is always well defined.</w:t>
      </w:r>
    </w:p>
    <w:p>
      <w:pPr>
        <w:pStyle w:val="Heading1"/>
        <w:pageBreakBefore/>
        <w:spacing w:after="160"/>
      </w:pPr>
      <w:r>
        <w:t xml:space="preserve">10. Assessment</w:t>
      </w:r>
    </w:p>
    <w:p>
      <w:pPr>
        <w:spacing w:after="120"/>
      </w:pPr>
      <w:r>
        <w:t xml:space="preserve">One hundred points, the same six dimensions across all three projects, so that scores are comparable between teams working on different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62"/>
        <w:gridCol w:w="6739"/>
      </w:tblGrid>
      <w:tr>
        <w:trPr>
          <w:tblHeader/>
        </w:trPr>
        <w:tc>
          <w:tcPr>
            <w:tcW w:type="dxa" w:w="2059"/>
            <w:shd w:fill="E8EDF5" w:val="clear"/>
            <w:tcMar>
              <w:top w:type="dxa" w:w="60"/>
              <w:left w:type="dxa" w:w="90"/>
              <w:bottom w:type="dxa" w:w="60"/>
              <w:right w:type="dxa" w:w="90"/>
            </w:tcMar>
          </w:tcPr>
          <w:p>
            <w:pPr>
              <w:spacing w:after="0"/>
            </w:pPr>
            <w:r>
              <w:rPr>
                <w:b/>
                <w:bCs/>
                <w:sz w:val="19"/>
                <w:szCs w:val="19"/>
              </w:rPr>
              <w:t xml:space="preserve">Dimension</w:t>
            </w:r>
          </w:p>
        </w:tc>
        <w:tc>
          <w:tcPr>
            <w:tcW w:type="dxa" w:w="562"/>
            <w:shd w:fill="E8EDF5" w:val="clear"/>
            <w:tcMar>
              <w:top w:type="dxa" w:w="60"/>
              <w:left w:type="dxa" w:w="90"/>
              <w:bottom w:type="dxa" w:w="60"/>
              <w:right w:type="dxa" w:w="90"/>
            </w:tcMar>
          </w:tcPr>
          <w:p>
            <w:pPr>
              <w:spacing w:after="0"/>
            </w:pPr>
            <w:r>
              <w:rPr>
                <w:b/>
                <w:bCs/>
                <w:sz w:val="19"/>
                <w:szCs w:val="19"/>
              </w:rPr>
              <w:t xml:space="preserve">Pts</w:t>
            </w:r>
          </w:p>
        </w:tc>
        <w:tc>
          <w:tcPr>
            <w:tcW w:type="dxa" w:w="6739"/>
            <w:shd w:fill="E8EDF5" w:val="clear"/>
            <w:tcMar>
              <w:top w:type="dxa" w:w="60"/>
              <w:left w:type="dxa" w:w="90"/>
              <w:bottom w:type="dxa" w:w="60"/>
              <w:right w:type="dxa" w:w="90"/>
            </w:tcMar>
          </w:tcPr>
          <w:p>
            <w:pPr>
              <w:spacing w:after="0"/>
            </w:pPr>
            <w:r>
              <w:rPr>
                <w:b/>
                <w:bCs/>
                <w:sz w:val="19"/>
                <w:szCs w:val="19"/>
              </w:rPr>
              <w:t xml:space="preserve">What earns the marks</w:t>
            </w:r>
          </w:p>
        </w:tc>
      </w:tr>
      <w:tr>
        <w:tc>
          <w:tcPr>
            <w:tcW w:type="dxa" w:w="2059"/>
            <w:tcMar>
              <w:top w:type="dxa" w:w="60"/>
              <w:left w:type="dxa" w:w="90"/>
              <w:bottom w:type="dxa" w:w="60"/>
              <w:right w:type="dxa" w:w="90"/>
            </w:tcMar>
          </w:tcPr>
          <w:p>
            <w:pPr>
              <w:spacing w:after="0"/>
            </w:pPr>
            <w:r>
              <w:rPr>
                <w:b w:val="false"/>
                <w:bCs w:val="false"/>
                <w:sz w:val="19"/>
                <w:szCs w:val="19"/>
              </w:rPr>
              <w:t xml:space="preserve">Pipeline and Polars</w:t>
            </w:r>
          </w:p>
        </w:tc>
        <w:tc>
          <w:tcPr>
            <w:tcW w:type="dxa" w:w="562"/>
            <w:tcMar>
              <w:top w:type="dxa" w:w="60"/>
              <w:left w:type="dxa" w:w="90"/>
              <w:bottom w:type="dxa" w:w="60"/>
              <w:right w:type="dxa" w:w="90"/>
            </w:tcMar>
          </w:tcPr>
          <w:p>
            <w:pPr>
              <w:spacing w:after="0"/>
            </w:pPr>
            <w:r>
              <w:rPr>
                <w:b w:val="false"/>
                <w:bCs w:val="false"/>
                <w:sz w:val="19"/>
                <w:szCs w:val="19"/>
              </w:rPr>
              <w:t xml:space="preserve">15</w:t>
            </w:r>
          </w:p>
        </w:tc>
        <w:tc>
          <w:tcPr>
            <w:tcW w:type="dxa" w:w="6739"/>
            <w:tcMar>
              <w:top w:type="dxa" w:w="60"/>
              <w:left w:type="dxa" w:w="90"/>
              <w:bottom w:type="dxa" w:w="60"/>
              <w:right w:type="dxa" w:w="90"/>
            </w:tcMar>
          </w:tcPr>
          <w:p>
            <w:pPr>
              <w:spacing w:after="0"/>
            </w:pPr>
            <w:r>
              <w:rPr>
                <w:b w:val="false"/>
                <w:bCs w:val="false"/>
                <w:sz w:val="19"/>
                <w:szCs w:val="19"/>
              </w:rPr>
              <w:t xml:space="preserve">Five tiers, no bypasses. Vectorised transforms. Temporal invariance respected — no elapsed-time column frozen into a table. Cleaning quantified, not just performed. Any native property a later derived property depends on exists as a column.</w:t>
            </w:r>
          </w:p>
        </w:tc>
      </w:tr>
      <w:tr>
        <w:tc>
          <w:tcPr>
            <w:tcW w:type="dxa" w:w="2059"/>
            <w:tcMar>
              <w:top w:type="dxa" w:w="60"/>
              <w:left w:type="dxa" w:w="90"/>
              <w:bottom w:type="dxa" w:w="60"/>
              <w:right w:type="dxa" w:w="90"/>
            </w:tcMar>
          </w:tcPr>
          <w:p>
            <w:pPr>
              <w:spacing w:after="0"/>
            </w:pPr>
            <w:r>
              <w:rPr>
                <w:b w:val="false"/>
                <w:bCs w:val="false"/>
                <w:sz w:val="19"/>
                <w:szCs w:val="19"/>
              </w:rPr>
              <w:t xml:space="preserve">Information governance</w:t>
            </w:r>
          </w:p>
        </w:tc>
        <w:tc>
          <w:tcPr>
            <w:tcW w:type="dxa" w:w="562"/>
            <w:tcMar>
              <w:top w:type="dxa" w:w="60"/>
              <w:left w:type="dxa" w:w="90"/>
              <w:bottom w:type="dxa" w:w="60"/>
              <w:right w:type="dxa" w:w="90"/>
            </w:tcMar>
          </w:tcPr>
          <w:p>
            <w:pPr>
              <w:spacing w:after="0"/>
            </w:pPr>
            <w:r>
              <w:rPr>
                <w:b w:val="false"/>
                <w:bCs w:val="false"/>
                <w:sz w:val="19"/>
                <w:szCs w:val="19"/>
              </w:rPr>
              <w:t xml:space="preserve">15</w:t>
            </w:r>
          </w:p>
        </w:tc>
        <w:tc>
          <w:tcPr>
            <w:tcW w:type="dxa" w:w="6739"/>
            <w:tcMar>
              <w:top w:type="dxa" w:w="60"/>
              <w:left w:type="dxa" w:w="90"/>
              <w:bottom w:type="dxa" w:w="60"/>
              <w:right w:type="dxa" w:w="90"/>
            </w:tcMar>
          </w:tcPr>
          <w:p>
            <w:pPr>
              <w:spacing w:after="0"/>
            </w:pPr>
            <w:r>
              <w:rPr>
                <w:b w:val="false"/>
                <w:bCs w:val="false"/>
                <w:sz w:val="19"/>
                <w:szCs w:val="19"/>
              </w:rPr>
              <w:t xml:space="preserve">Marking applied at the Datasource tier and shown propagating in Data Lineage. Identifying columns masked or dropped in the Transform tier. Object type backed by the restricted view. Understands that a function reads past a restricted view.</w:t>
            </w:r>
          </w:p>
        </w:tc>
      </w:tr>
      <w:tr>
        <w:tc>
          <w:tcPr>
            <w:tcW w:type="dxa" w:w="2059"/>
            <w:tcMar>
              <w:top w:type="dxa" w:w="60"/>
              <w:left w:type="dxa" w:w="90"/>
              <w:bottom w:type="dxa" w:w="60"/>
              <w:right w:type="dxa" w:w="90"/>
            </w:tcMar>
          </w:tcPr>
          <w:p>
            <w:pPr>
              <w:spacing w:after="0"/>
            </w:pPr>
            <w:r>
              <w:rPr>
                <w:b w:val="false"/>
                <w:bCs w:val="false"/>
                <w:sz w:val="19"/>
                <w:szCs w:val="19"/>
              </w:rPr>
              <w:t xml:space="preserve">Ontology modelling</w:t>
            </w:r>
          </w:p>
        </w:tc>
        <w:tc>
          <w:tcPr>
            <w:tcW w:type="dxa" w:w="562"/>
            <w:tcMar>
              <w:top w:type="dxa" w:w="60"/>
              <w:left w:type="dxa" w:w="90"/>
              <w:bottom w:type="dxa" w:w="60"/>
              <w:right w:type="dxa" w:w="90"/>
            </w:tcMar>
          </w:tcPr>
          <w:p>
            <w:pPr>
              <w:spacing w:after="0"/>
            </w:pPr>
            <w:r>
              <w:rPr>
                <w:b w:val="false"/>
                <w:bCs w:val="false"/>
                <w:sz w:val="19"/>
                <w:szCs w:val="19"/>
              </w:rPr>
              <w:t xml:space="preserve">15</w:t>
            </w:r>
          </w:p>
        </w:tc>
        <w:tc>
          <w:tcPr>
            <w:tcW w:type="dxa" w:w="6739"/>
            <w:tcMar>
              <w:top w:type="dxa" w:w="60"/>
              <w:left w:type="dxa" w:w="90"/>
              <w:bottom w:type="dxa" w:w="60"/>
              <w:right w:type="dxa" w:w="90"/>
            </w:tcMar>
          </w:tcPr>
          <w:p>
            <w:pPr>
              <w:spacing w:after="0"/>
            </w:pPr>
            <w:r>
              <w:rPr>
                <w:b w:val="false"/>
                <w:bCs w:val="false"/>
                <w:sz w:val="19"/>
                <w:szCs w:val="19"/>
              </w:rPr>
              <w:t xml:space="preserve">Domain entities, not CSV mirrors. The link is named readably in both directions. Only the properties the consumer needs. Can defend what was left out — including a Patient object type, if they chose not to build one.</w:t>
            </w:r>
          </w:p>
        </w:tc>
      </w:tr>
      <w:tr>
        <w:tc>
          <w:tcPr>
            <w:tcW w:type="dxa" w:w="2059"/>
            <w:tcMar>
              <w:top w:type="dxa" w:w="60"/>
              <w:left w:type="dxa" w:w="90"/>
              <w:bottom w:type="dxa" w:w="60"/>
              <w:right w:type="dxa" w:w="90"/>
            </w:tcMar>
          </w:tcPr>
          <w:p>
            <w:pPr>
              <w:spacing w:after="0"/>
            </w:pPr>
            <w:r>
              <w:rPr>
                <w:b w:val="false"/>
                <w:bCs w:val="false"/>
                <w:sz w:val="19"/>
                <w:szCs w:val="19"/>
              </w:rPr>
              <w:t xml:space="preserve">TypeScript v2</w:t>
            </w:r>
          </w:p>
        </w:tc>
        <w:tc>
          <w:tcPr>
            <w:tcW w:type="dxa" w:w="562"/>
            <w:tcMar>
              <w:top w:type="dxa" w:w="60"/>
              <w:left w:type="dxa" w:w="90"/>
              <w:bottom w:type="dxa" w:w="60"/>
              <w:right w:type="dxa" w:w="90"/>
            </w:tcMar>
          </w:tcPr>
          <w:p>
            <w:pPr>
              <w:spacing w:after="0"/>
            </w:pPr>
            <w:r>
              <w:rPr>
                <w:b w:val="false"/>
                <w:bCs w:val="false"/>
                <w:sz w:val="19"/>
                <w:szCs w:val="19"/>
              </w:rPr>
              <w:t xml:space="preserve">20</w:t>
            </w:r>
          </w:p>
        </w:tc>
        <w:tc>
          <w:tcPr>
            <w:tcW w:type="dxa" w:w="6739"/>
            <w:tcMar>
              <w:top w:type="dxa" w:w="60"/>
              <w:left w:type="dxa" w:w="90"/>
              <w:bottom w:type="dxa" w:w="60"/>
              <w:right w:type="dxa" w:w="90"/>
            </w:tcMar>
          </w:tcPr>
          <w:p>
            <w:pPr>
              <w:spacing w:after="0"/>
            </w:pPr>
            <w:r>
              <w:rPr>
                <w:b w:val="false"/>
                <w:bCs w:val="false"/>
                <w:sz w:val="19"/>
                <w:szCs w:val="19"/>
              </w:rPr>
              <w:t xml:space="preserve">Correct v2 structure: one function per file, filename matching, client as first argument, edits returned from a batch. Formula implemented exactly. Streaming rather than in-memory loading where the set is large. Function tagged and released.</w:t>
            </w:r>
          </w:p>
        </w:tc>
      </w:tr>
      <w:tr>
        <w:tc>
          <w:tcPr>
            <w:tcW w:type="dxa" w:w="2059"/>
            <w:tcMar>
              <w:top w:type="dxa" w:w="60"/>
              <w:left w:type="dxa" w:w="90"/>
              <w:bottom w:type="dxa" w:w="60"/>
              <w:right w:type="dxa" w:w="90"/>
            </w:tcMar>
          </w:tcPr>
          <w:p>
            <w:pPr>
              <w:spacing w:after="0"/>
            </w:pPr>
            <w:r>
              <w:rPr>
                <w:b w:val="false"/>
                <w:bCs w:val="false"/>
                <w:sz w:val="19"/>
                <w:szCs w:val="19"/>
              </w:rPr>
              <w:t xml:space="preserve">Derived property and action</w:t>
            </w:r>
          </w:p>
        </w:tc>
        <w:tc>
          <w:tcPr>
            <w:tcW w:type="dxa" w:w="562"/>
            <w:tcMar>
              <w:top w:type="dxa" w:w="60"/>
              <w:left w:type="dxa" w:w="90"/>
              <w:bottom w:type="dxa" w:w="60"/>
              <w:right w:type="dxa" w:w="90"/>
            </w:tcMar>
          </w:tcPr>
          <w:p>
            <w:pPr>
              <w:spacing w:after="0"/>
            </w:pPr>
            <w:r>
              <w:rPr>
                <w:b w:val="false"/>
                <w:bCs w:val="false"/>
                <w:sz w:val="19"/>
                <w:szCs w:val="19"/>
              </w:rPr>
              <w:t xml:space="preserve">15</w:t>
            </w:r>
          </w:p>
        </w:tc>
        <w:tc>
          <w:tcPr>
            <w:tcW w:type="dxa" w:w="6739"/>
            <w:tcMar>
              <w:top w:type="dxa" w:w="60"/>
              <w:left w:type="dxa" w:w="90"/>
              <w:bottom w:type="dxa" w:w="60"/>
              <w:right w:type="dxa" w:w="90"/>
            </w:tcMar>
          </w:tcPr>
          <w:p>
            <w:pPr>
              <w:spacing w:after="0"/>
            </w:pPr>
            <w:r>
              <w:rPr>
                <w:b w:val="false"/>
                <w:bCs w:val="false"/>
                <w:sz w:val="19"/>
                <w:szCs w:val="19"/>
              </w:rPr>
              <w:t xml:space="preserve">The derived property is expressed within the documented limits and the team knows what those limits are. The action performs one complete business operation with submission criteria that block invalid states, restricted to the provided group.</w:t>
            </w:r>
          </w:p>
        </w:tc>
      </w:tr>
      <w:tr>
        <w:tc>
          <w:tcPr>
            <w:tcW w:type="dxa" w:w="2059"/>
            <w:tcMar>
              <w:top w:type="dxa" w:w="60"/>
              <w:left w:type="dxa" w:w="90"/>
              <w:bottom w:type="dxa" w:w="60"/>
              <w:right w:type="dxa" w:w="90"/>
            </w:tcMar>
          </w:tcPr>
          <w:p>
            <w:pPr>
              <w:spacing w:after="0"/>
            </w:pPr>
            <w:r>
              <w:rPr>
                <w:b w:val="false"/>
                <w:bCs w:val="false"/>
                <w:sz w:val="19"/>
                <w:szCs w:val="19"/>
              </w:rPr>
              <w:t xml:space="preserve">Workshop and Quiver</w:t>
            </w:r>
          </w:p>
        </w:tc>
        <w:tc>
          <w:tcPr>
            <w:tcW w:type="dxa" w:w="562"/>
            <w:tcMar>
              <w:top w:type="dxa" w:w="60"/>
              <w:left w:type="dxa" w:w="90"/>
              <w:bottom w:type="dxa" w:w="60"/>
              <w:right w:type="dxa" w:w="90"/>
            </w:tcMar>
          </w:tcPr>
          <w:p>
            <w:pPr>
              <w:spacing w:after="0"/>
            </w:pPr>
            <w:r>
              <w:rPr>
                <w:b w:val="false"/>
                <w:bCs w:val="false"/>
                <w:sz w:val="19"/>
                <w:szCs w:val="19"/>
              </w:rPr>
              <w:t xml:space="preserve">20</w:t>
            </w:r>
          </w:p>
        </w:tc>
        <w:tc>
          <w:tcPr>
            <w:tcW w:type="dxa" w:w="6739"/>
            <w:tcMar>
              <w:top w:type="dxa" w:w="60"/>
              <w:left w:type="dxa" w:w="90"/>
              <w:bottom w:type="dxa" w:w="60"/>
              <w:right w:type="dxa" w:w="90"/>
            </w:tcMar>
          </w:tcPr>
          <w:p>
            <w:pPr>
              <w:spacing w:after="0"/>
            </w:pPr>
            <w:r>
              <w:rPr>
                <w:b w:val="false"/>
                <w:bCs w:val="false"/>
                <w:sz w:val="19"/>
                <w:szCs w:val="19"/>
              </w:rPr>
              <w:t xml:space="preserve">Filter, table, detail, action. Row selection drives the detail panel. Table refreshes after submission. Empty states handled visibly. One Quiver analysis wired to the active object set.</w:t>
            </w:r>
          </w:p>
        </w:tc>
      </w:tr>
    </w:tbl>
    <w:p>
      <w:pPr>
        <w:spacing w:after="160"/>
      </w:pPr>
    </w:p>
    <w:p>
      <w:pPr>
        <w:pStyle w:val="Heading2"/>
        <w:spacing w:after="120" w:before="260"/>
      </w:pPr>
      <w:r>
        <w:t xml:space="preserve">Day 5 questions</w:t>
      </w:r>
    </w:p>
    <w:p>
      <w:pPr>
        <w:spacing w:after="120"/>
      </w:pPr>
      <w:r>
        <w:t xml:space="preserve">Six shared questions, then one specific to the project. The shared ones are where the understanding shows.</w:t>
      </w:r>
    </w:p>
    <w:p>
      <w:pPr>
        <w:pStyle w:val="ListParagraph"/>
        <w:numPr>
          <w:ilvl w:val="0"/>
          <w:numId w:val="4"/>
        </w:numPr>
        <w:spacing w:after="60"/>
      </w:pPr>
      <w:r>
        <w:t xml:space="preserve">Your pipeline dropped rows on Day 1. How many, and what were they? Account for the difference rather than observing it.</w:t>
      </w:r>
    </w:p>
    <w:p>
      <w:pPr>
        <w:pStyle w:val="ListParagraph"/>
        <w:numPr>
          <w:ilvl w:val="0"/>
          <w:numId w:val="4"/>
        </w:numPr>
        <w:spacing w:after="60"/>
      </w:pPr>
      <w:r>
        <w:t xml:space="preserve">What are the limits of the derived property you built, and how do you know? What would you do if the object set doubled?</w:t>
      </w:r>
    </w:p>
    <w:p>
      <w:pPr>
        <w:pStyle w:val="ListParagraph"/>
        <w:numPr>
          <w:ilvl w:val="0"/>
          <w:numId w:val="4"/>
        </w:numPr>
        <w:spacing w:after="60"/>
      </w:pPr>
      <w:r>
        <w:t xml:space="preserve">Where does masking happen in your build, and why there rather than in the restricted view?</w:t>
      </w:r>
    </w:p>
    <w:p>
      <w:pPr>
        <w:pStyle w:val="ListParagraph"/>
        <w:numPr>
          <w:ilvl w:val="0"/>
          <w:numId w:val="4"/>
        </w:numPr>
        <w:spacing w:after="60"/>
      </w:pPr>
      <w:r>
        <w:t xml:space="preserve">A user edits an object through your action. What in your system is now stale, and how would anyone find out?</w:t>
      </w:r>
    </w:p>
    <w:p>
      <w:pPr>
        <w:pStyle w:val="ListParagraph"/>
        <w:numPr>
          <w:ilvl w:val="0"/>
          <w:numId w:val="4"/>
        </w:numPr>
        <w:spacing w:after="60"/>
      </w:pPr>
      <w:r>
        <w:t xml:space="preserve">Show me an empty state and tell me whether it is a data problem or the correct answer.</w:t>
      </w:r>
    </w:p>
    <w:p>
      <w:pPr>
        <w:pStyle w:val="ListParagraph"/>
        <w:numPr>
          <w:ilvl w:val="0"/>
          <w:numId w:val="4"/>
        </w:numPr>
        <w:spacing w:after="60"/>
      </w:pPr>
      <w:r>
        <w:t xml:space="preserve">Why is your object model not a copy of the CSV schema? Name something you left out and defend leaving it out.</w:t>
      </w:r>
    </w:p>
    <w:p>
      <w:pPr>
        <w:spacing w:after="120"/>
      </w:pPr>
      <w:r>
        <w:t xml:space="preserve">And one each: </w:t>
      </w:r>
      <w:r>
        <w:rPr>
          <w:b/>
          <w:bCs/>
        </w:rPr>
        <w:t xml:space="preserve">Project 4</w:t>
      </w:r>
      <w:r>
        <w:t xml:space="preserve"> — which column did you resolve the event stream on, and how did you prove it? </w:t>
      </w:r>
      <w:r>
        <w:rPr>
          <w:b/>
          <w:bCs/>
        </w:rPr>
        <w:t xml:space="preserve">Project 5</w:t>
      </w:r>
      <w:r>
        <w:t xml:space="preserve"> — how did you verify weeks-to-clear rather than trusting the ordering? </w:t>
      </w:r>
      <w:r>
        <w:rPr>
          <w:b/>
          <w:bCs/>
        </w:rPr>
        <w:t xml:space="preserve">Project 6</w:t>
      </w:r>
      <w:r>
        <w:t xml:space="preserve"> — what happens to a patient whose NEWS2 total is 2, and does your code do it?</w:t>
      </w:r>
    </w:p>
    <w:p>
      <w:pPr>
        <w:pStyle w:val="Heading1"/>
        <w:spacing w:after="160" w:before="320"/>
      </w:pPr>
      <w:r>
        <w:t xml:space="preserve">11. Before the cohort starts</w:t>
      </w:r>
    </w:p>
    <w:p>
      <w:pPr>
        <w:pStyle w:val="ListParagraph"/>
        <w:numPr>
          <w:ilvl w:val="0"/>
          <w:numId w:val="5"/>
        </w:numPr>
        <w:spacing w:after="60"/>
      </w:pPr>
      <w:r>
        <w:t xml:space="preserve">Regenerate the data with </w:t>
      </w:r>
      <w:r>
        <w:rPr>
          <w:rFonts w:ascii="Consolas" w:cs="Consolas" w:eastAsia="Consolas" w:hAnsi="Consolas"/>
          <w:sz w:val="19"/>
          <w:szCs w:val="19"/>
        </w:rPr>
        <w:t xml:space="preserve">--as-of 2026-09-03 --seed 20260903</w:t>
      </w:r>
      <w:r>
        <w:t xml:space="preserve"> and keep </w:t>
      </w:r>
      <w:r>
        <w:rPr>
          <w:rFonts w:ascii="Consolas" w:cs="Consolas" w:eastAsia="Consolas" w:hAnsi="Consolas"/>
          <w:sz w:val="19"/>
          <w:szCs w:val="19"/>
        </w:rPr>
        <w:t xml:space="preserve">GENERATION_REPORT.md</w:t>
      </w:r>
      <w:r>
        <w:t xml:space="preserve">. Every figure in sections 7 to 9 comes from it.</w:t>
      </w:r>
    </w:p>
    <w:p>
      <w:pPr>
        <w:pStyle w:val="ListParagraph"/>
        <w:numPr>
          <w:ilvl w:val="0"/>
          <w:numId w:val="5"/>
        </w:numPr>
        <w:spacing w:after="60"/>
      </w:pPr>
      <w:r>
        <w:t xml:space="preserve">Run </w:t>
      </w:r>
      <w:r>
        <w:rPr>
          <w:rFonts w:ascii="Consolas" w:cs="Consolas" w:eastAsia="Consolas" w:hAnsi="Consolas"/>
          <w:sz w:val="19"/>
          <w:szCs w:val="19"/>
        </w:rPr>
        <w:t xml:space="preserve">verify_generated_data.py</w:t>
      </w:r>
      <w:r>
        <w:t xml:space="preserve"> in both modes — 53 assertions pass dirty, 51 clean. A failure means a figure here has moved.</w:t>
      </w:r>
    </w:p>
    <w:p>
      <w:pPr>
        <w:pStyle w:val="ListParagraph"/>
        <w:numPr>
          <w:ilvl w:val="0"/>
          <w:numId w:val="5"/>
        </w:numPr>
        <w:spacing w:after="60"/>
      </w:pPr>
      <w:r>
        <w:t xml:space="preserve">Create the three markings and the three user groups, and add each trainee to exactly one group.</w:t>
      </w:r>
    </w:p>
    <w:p>
      <w:pPr>
        <w:pStyle w:val="ListParagraph"/>
        <w:numPr>
          <w:ilvl w:val="0"/>
          <w:numId w:val="5"/>
        </w:numPr>
        <w:spacing w:after="60"/>
      </w:pPr>
      <w:r>
        <w:t xml:space="preserve">Set the site and trust user attributes, or the row filters in all three projects have nothing to match on.</w:t>
      </w:r>
    </w:p>
    <w:p>
      <w:pPr>
        <w:pStyle w:val="ListParagraph"/>
        <w:numPr>
          <w:ilvl w:val="0"/>
          <w:numId w:val="5"/>
        </w:numPr>
        <w:spacing w:after="60"/>
      </w:pPr>
      <w:r>
        <w:t xml:space="preserve">Confirm trainees can create a restricted view and tag a function release. Both are on the critical path.</w:t>
      </w:r>
    </w:p>
    <w:p>
      <w:pPr>
        <w:pStyle w:val="ListParagraph"/>
        <w:numPr>
          <w:ilvl w:val="0"/>
          <w:numId w:val="5"/>
        </w:numPr>
        <w:spacing w:after="60"/>
      </w:pPr>
      <w:r>
        <w:t xml:space="preserve">Check the Quiver function-backed-column contract in TypeScript v2 (see 6.3). Project 6 depends on it; the fallback is a Workshop function-backed column.</w:t>
      </w:r>
    </w:p>
    <w:p>
      <w:pPr>
        <w:pStyle w:val="ListParagraph"/>
        <w:numPr>
          <w:ilvl w:val="0"/>
          <w:numId w:val="5"/>
        </w:numPr>
        <w:spacing w:after="60"/>
      </w:pPr>
      <w:r>
        <w:t xml:space="preserve">Decide whether to prefix object types by project number. With three teams in one enrollment, section 5 says yes.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00"/>
      </w:pPr>
    </w:lvl>
  </w:abstractNum>
  <w:abstractNum w:abstractNumId="4" w15:restartNumberingAfterBreak="0">
    <w:multiLevelType w:val="hybridMultilevel"/>
    <w:lvl w:ilvl="0" w15:tentative="1">
      <w:start w:val="1"/>
      <w:numFmt w:val="decimal"/>
      <w:lvlText w:val="%1."/>
      <w:lvlJc w:val="left"/>
      <w:pPr>
        <w:ind w:left="400" w:hanging="200"/>
      </w:pPr>
    </w:lvl>
  </w:abstractNum>
  <w:abstractNum w:abstractNumId="5"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b/>
      <w:bCs/>
      <w:color w:val="1F3864"/>
      <w:sz w:val="40"/>
      <w:szCs w:val="40"/>
    </w:rPr>
  </w:style>
  <w:style w:type="paragraph" w:styleId="Subtitle">
    <w:name w:val="Subtitle"/>
    <w:basedOn w:val="Normal"/>
    <w:pPr>
      <w:spacing w:after="60"/>
    </w:pPr>
    <w:rPr>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2026-09-03T13:08:18.933Z</dcterms:created>
  <dcterms:modified xsi:type="dcterms:W3CDTF">2026-09-03T13:08:18.933Z</dcterms:modified>
</cp:coreProperties>
</file>

<file path=docProps/custom.xml><?xml version="1.0" encoding="utf-8"?>
<Properties xmlns="http://schemas.openxmlformats.org/officeDocument/2006/custom-properties" xmlns:vt="http://schemas.openxmlformats.org/officeDocument/2006/docPropsVTypes"/>
</file>