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Palantir Foundry Training</w:t>
      </w:r>
    </w:p>
    <w:p>
      <w:pPr>
        <w:pStyle w:val="Subtitle"/>
      </w:pPr>
      <w:r>
        <w:t xml:space="preserve">Trainee Project Briefs — Projects 1, 2 and 3</w:t>
      </w:r>
    </w:p>
    <w:p>
      <w:pPr>
        <w:pStyle w:val="Subtitle"/>
      </w:pPr>
      <w:r>
        <w:t xml:space="preserve">Version 3.1 · 3 September 2026</w:t>
      </w:r>
    </w:p>
    <w:p>
      <w:pPr>
        <w:pStyle w:val="Subtitle"/>
      </w:pPr>
      <w:r>
        <w:t xml:space="preserve">Audience: experienced data engineers moving from Databricks / PySpark to Palantir Foundry</w:t>
      </w:r>
    </w:p>
    <w:p>
      <w:pPr>
        <w:pStyle w:val="Subtitle"/>
      </w:pPr>
      <w:r>
        <w:t xml:space="preserve">Format: three independent five-day applied NHS operational engineering modules</w:t>
      </w:r>
    </w:p>
    <w:p>
      <w:pPr>
        <w:pStyle w:val="Heading1"/>
        <w:spacing w:after="160" w:before="320"/>
      </w:pPr>
      <w:r>
        <w:t xml:space="preserve">How to read this brief</w:t>
      </w:r>
    </w:p>
    <w:p>
      <w:pPr>
        <w:spacing w:after="120"/>
      </w:pPr>
      <w:r>
        <w:t xml:space="preserve">Each project is five days. Day 5 is the review and demonstration, so you have four build days. The Required section of each day is what you will be assessed on. Anything marked Optional is there if you finish early; it carries no marks and you are not expected to reach it.</w:t>
      </w:r>
    </w:p>
    <w:p>
      <w:pPr>
        <w:spacing w:after="120"/>
      </w:pPr>
      <w:r>
        <w:t xml:space="preserve">Code fragments in this brief are </w:t>
      </w:r>
      <w:r>
        <w:rPr>
          <w:b/>
          <w:bCs/>
        </w:rPr>
        <w:t xml:space="preserve">illustrative, not authoritative</w:t>
      </w:r>
      <w:r>
        <w:t xml:space="preserve">. Some are deliberately imperfect. Where a fragment matters — and one of them matters a great deal — the brief asks you to justify it rather than copy it. If a fragment contradicts the Palantir documentation, the documentation wins and we want to hear about it on Day 5.</w:t>
      </w:r>
    </w:p>
    <w:p>
      <w:pPr>
        <w:spacing w:after="120"/>
      </w:pPr>
      <w:r>
        <w:t xml:space="preserve">The data you are given is </w:t>
      </w:r>
      <w:r>
        <w:rPr>
          <w:b/>
          <w:bCs/>
        </w:rPr>
        <w:t xml:space="preserve">not clean</w:t>
      </w:r>
      <w:r>
        <w:t xml:space="preserve">. It contains duplicate rows, blank primary keys, whitespace-padded keys, inconsistent casing, null categoricals, sensor dropouts, mixed timestamp formats and at least one precomputed column that is quietly out of date. Day 1 of every project is a real cleaning day. Assume nothing in the files is trustworthy until you have checked it.</w:t>
      </w:r>
    </w:p>
    <w:p>
      <w:pPr>
        <w:pBdr>
          <w:left w:val="single" w:color="4472C4" w:sz="18" w:space="12"/>
        </w:pBdr>
        <w:spacing w:after="160" w:before="120"/>
        <w:ind w:left="220"/>
      </w:pPr>
      <w:r>
        <w:rPr>
          <w:b/>
          <w:bCs/>
        </w:rPr>
        <w:t xml:space="preserve">Before you start:  </w:t>
      </w:r>
      <w:r>
        <w:t xml:space="preserve">confirm which tenant capabilities are pre-provisioned for you. Security markings, user groups and restricted view creation are administered centrally; your instructor will tell you which already exist and which you create yourself. Do not spend build time trying to create something you do not have permission to create.</w:t>
      </w:r>
    </w:p>
    <w:p>
      <w:pPr>
        <w:pStyle w:val="Heading1"/>
        <w:spacing w:after="160" w:before="320"/>
      </w:pPr>
      <w:r>
        <w:t xml:space="preserve">Standards that apply to all three projects</w:t>
      </w:r>
    </w:p>
    <w:p>
      <w:pPr>
        <w:pStyle w:val="Heading2"/>
        <w:spacing w:after="120" w:before="260"/>
      </w:pPr>
      <w:r>
        <w:t xml:space="preserve">Project hierarchy</w:t>
      </w:r>
    </w:p>
    <w:p>
      <w:pPr>
        <w:spacing w:after="120"/>
      </w:pPr>
      <w:r>
        <w:t xml:space="preserve">Work is organised across five project spaces. Data flows down the tiers and never skips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1872"/>
        <w:gridCol w:w="4118"/>
        <w:gridCol w:w="2060"/>
      </w:tblGrid>
      <w:tr>
        <w:trPr>
          <w:tblHeader/>
        </w:trPr>
        <w:tc>
          <w:tcPr>
            <w:tcW w:type="dxa" w:w="1310"/>
            <w:shd w:fill="E8EDF5" w:val="clear"/>
            <w:tcMar>
              <w:top w:type="dxa" w:w="60"/>
              <w:left w:type="dxa" w:w="90"/>
              <w:bottom w:type="dxa" w:w="60"/>
              <w:right w:type="dxa" w:w="90"/>
            </w:tcMar>
          </w:tcPr>
          <w:p>
            <w:pPr>
              <w:spacing w:after="0"/>
            </w:pPr>
            <w:r>
              <w:rPr>
                <w:b/>
                <w:bCs/>
                <w:sz w:val="19"/>
                <w:szCs w:val="19"/>
              </w:rPr>
              <w:t xml:space="preserve">Tier</w:t>
            </w:r>
          </w:p>
        </w:tc>
        <w:tc>
          <w:tcPr>
            <w:tcW w:type="dxa" w:w="1872"/>
            <w:shd w:fill="E8EDF5" w:val="clear"/>
            <w:tcMar>
              <w:top w:type="dxa" w:w="60"/>
              <w:left w:type="dxa" w:w="90"/>
              <w:bottom w:type="dxa" w:w="60"/>
              <w:right w:type="dxa" w:w="90"/>
            </w:tcMar>
          </w:tcPr>
          <w:p>
            <w:pPr>
              <w:spacing w:after="0"/>
            </w:pPr>
            <w:r>
              <w:rPr>
                <w:b/>
                <w:bCs/>
                <w:sz w:val="19"/>
                <w:szCs w:val="19"/>
              </w:rPr>
              <w:t xml:space="preserve">Path pattern</w:t>
            </w:r>
          </w:p>
        </w:tc>
        <w:tc>
          <w:tcPr>
            <w:tcW w:type="dxa" w:w="4118"/>
            <w:shd w:fill="E8EDF5" w:val="clear"/>
            <w:tcMar>
              <w:top w:type="dxa" w:w="60"/>
              <w:left w:type="dxa" w:w="90"/>
              <w:bottom w:type="dxa" w:w="60"/>
              <w:right w:type="dxa" w:w="90"/>
            </w:tcMar>
          </w:tcPr>
          <w:p>
            <w:pPr>
              <w:spacing w:after="0"/>
            </w:pPr>
            <w:r>
              <w:rPr>
                <w:b/>
                <w:bCs/>
                <w:sz w:val="19"/>
                <w:szCs w:val="19"/>
              </w:rPr>
              <w:t xml:space="preserve">What lives here</w:t>
            </w:r>
          </w:p>
        </w:tc>
        <w:tc>
          <w:tcPr>
            <w:tcW w:type="dxa" w:w="2060"/>
            <w:shd w:fill="E8EDF5" w:val="clear"/>
            <w:tcMar>
              <w:top w:type="dxa" w:w="60"/>
              <w:left w:type="dxa" w:w="90"/>
              <w:bottom w:type="dxa" w:w="60"/>
              <w:right w:type="dxa" w:w="90"/>
            </w:tcMar>
          </w:tcPr>
          <w:p>
            <w:pPr>
              <w:spacing w:after="0"/>
            </w:pPr>
            <w:r>
              <w:rPr>
                <w:b/>
                <w:bCs/>
                <w:sz w:val="19"/>
                <w:szCs w:val="19"/>
              </w:rPr>
              <w:t xml:space="preserve">Compute</w:t>
            </w:r>
          </w:p>
        </w:tc>
      </w:tr>
      <w:tr>
        <w:tc>
          <w:tcPr>
            <w:tcW w:type="dxa" w:w="1310"/>
            <w:tcMar>
              <w:top w:type="dxa" w:w="60"/>
              <w:left w:type="dxa" w:w="90"/>
              <w:bottom w:type="dxa" w:w="60"/>
              <w:right w:type="dxa" w:w="90"/>
            </w:tcMar>
          </w:tcPr>
          <w:p>
            <w:pPr>
              <w:spacing w:after="0"/>
            </w:pPr>
            <w:r>
              <w:rPr>
                <w:b w:val="false"/>
                <w:bCs w:val="false"/>
                <w:sz w:val="19"/>
                <w:szCs w:val="19"/>
              </w:rPr>
              <w:t xml:space="preserve">1. Data Connection</w:t>
            </w:r>
          </w:p>
        </w:tc>
        <w:tc>
          <w:tcPr>
            <w:tcW w:type="dxa" w:w="1872"/>
            <w:tcMar>
              <w:top w:type="dxa" w:w="60"/>
              <w:left w:type="dxa" w:w="90"/>
              <w:bottom w:type="dxa" w:w="60"/>
              <w:right w:type="dxa" w:w="90"/>
            </w:tcMar>
          </w:tcPr>
          <w:p>
            <w:pPr>
              <w:spacing w:after="0"/>
            </w:pPr>
            <w:r>
              <w:rPr>
                <w:b w:val="false"/>
                <w:bCs w:val="false"/>
                <w:sz w:val="19"/>
                <w:szCs w:val="19"/>
              </w:rPr>
              <w:t xml:space="preserve">/Data Connection/</w:t>
            </w:r>
          </w:p>
        </w:tc>
        <w:tc>
          <w:tcPr>
            <w:tcW w:type="dxa" w:w="4118"/>
            <w:tcMar>
              <w:top w:type="dxa" w:w="60"/>
              <w:left w:type="dxa" w:w="90"/>
              <w:bottom w:type="dxa" w:w="60"/>
              <w:right w:type="dxa" w:w="90"/>
            </w:tcMar>
          </w:tcPr>
          <w:p>
            <w:pPr>
              <w:spacing w:after="0"/>
            </w:pPr>
            <w:r>
              <w:rPr>
                <w:b w:val="false"/>
                <w:bCs w:val="false"/>
                <w:sz w:val="19"/>
                <w:szCs w:val="19"/>
              </w:rPr>
              <w:t xml:space="preserve">Connection proxies, egress policies, credential stores. Service-account access only. Provided for you.</w:t>
            </w:r>
          </w:p>
        </w:tc>
        <w:tc>
          <w:tcPr>
            <w:tcW w:type="dxa" w:w="2060"/>
            <w:tcMar>
              <w:top w:type="dxa" w:w="60"/>
              <w:left w:type="dxa" w:w="90"/>
              <w:bottom w:type="dxa" w:w="60"/>
              <w:right w:type="dxa" w:w="90"/>
            </w:tcMar>
          </w:tcPr>
          <w:p>
            <w:pPr>
              <w:spacing w:after="0"/>
            </w:pPr>
            <w:r>
              <w:rPr>
                <w:b w:val="false"/>
                <w:bCs w:val="false"/>
                <w:sz w:val="19"/>
                <w:szCs w:val="19"/>
              </w:rPr>
              <w:t xml:space="preserve">Agent proxies, ingestion plugins</w:t>
            </w:r>
          </w:p>
        </w:tc>
      </w:tr>
      <w:tr>
        <w:tc>
          <w:tcPr>
            <w:tcW w:type="dxa" w:w="1310"/>
            <w:tcMar>
              <w:top w:type="dxa" w:w="60"/>
              <w:left w:type="dxa" w:w="90"/>
              <w:bottom w:type="dxa" w:w="60"/>
              <w:right w:type="dxa" w:w="90"/>
            </w:tcMar>
          </w:tcPr>
          <w:p>
            <w:pPr>
              <w:spacing w:after="0"/>
            </w:pPr>
            <w:r>
              <w:rPr>
                <w:b w:val="false"/>
                <w:bCs w:val="false"/>
                <w:sz w:val="19"/>
                <w:szCs w:val="19"/>
              </w:rPr>
              <w:t xml:space="preserve">2. Datasource</w:t>
            </w:r>
          </w:p>
        </w:tc>
        <w:tc>
          <w:tcPr>
            <w:tcW w:type="dxa" w:w="1872"/>
            <w:tcMar>
              <w:top w:type="dxa" w:w="60"/>
              <w:left w:type="dxa" w:w="90"/>
              <w:bottom w:type="dxa" w:w="60"/>
              <w:right w:type="dxa" w:w="90"/>
            </w:tcMar>
          </w:tcPr>
          <w:p>
            <w:pPr>
              <w:spacing w:after="0"/>
            </w:pPr>
            <w:r>
              <w:rPr>
                <w:b w:val="false"/>
                <w:bCs w:val="false"/>
                <w:sz w:val="19"/>
                <w:szCs w:val="19"/>
              </w:rPr>
              <w:t xml:space="preserve">/Datasource/&lt;source&gt;/</w:t>
            </w:r>
          </w:p>
        </w:tc>
        <w:tc>
          <w:tcPr>
            <w:tcW w:type="dxa" w:w="4118"/>
            <w:tcMar>
              <w:top w:type="dxa" w:w="60"/>
              <w:left w:type="dxa" w:w="90"/>
              <w:bottom w:type="dxa" w:w="60"/>
              <w:right w:type="dxa" w:w="90"/>
            </w:tcMar>
          </w:tcPr>
          <w:p>
            <w:pPr>
              <w:spacing w:after="0"/>
            </w:pPr>
            <w:r>
              <w:rPr>
                <w:b w:val="false"/>
                <w:bCs w:val="false"/>
                <w:sz w:val="19"/>
                <w:szCs w:val="19"/>
              </w:rPr>
              <w:t xml:space="preserve">Raw sync output, 1:1 with the source file. Security markings applied here.</w:t>
            </w:r>
          </w:p>
        </w:tc>
        <w:tc>
          <w:tcPr>
            <w:tcW w:type="dxa" w:w="2060"/>
            <w:tcMar>
              <w:top w:type="dxa" w:w="60"/>
              <w:left w:type="dxa" w:w="90"/>
              <w:bottom w:type="dxa" w:w="60"/>
              <w:right w:type="dxa" w:w="90"/>
            </w:tcMar>
          </w:tcPr>
          <w:p>
            <w:pPr>
              <w:spacing w:after="0"/>
            </w:pPr>
            <w:r>
              <w:rPr>
                <w:b w:val="false"/>
                <w:bCs w:val="false"/>
                <w:sz w:val="19"/>
                <w:szCs w:val="19"/>
              </w:rPr>
              <w:t xml:space="preserve">Raw syncs</w:t>
            </w:r>
          </w:p>
        </w:tc>
      </w:tr>
      <w:tr>
        <w:tc>
          <w:tcPr>
            <w:tcW w:type="dxa" w:w="1310"/>
            <w:tcMar>
              <w:top w:type="dxa" w:w="60"/>
              <w:left w:type="dxa" w:w="90"/>
              <w:bottom w:type="dxa" w:w="60"/>
              <w:right w:type="dxa" w:w="90"/>
            </w:tcMar>
          </w:tcPr>
          <w:p>
            <w:pPr>
              <w:spacing w:after="0"/>
            </w:pPr>
            <w:r>
              <w:rPr>
                <w:b w:val="false"/>
                <w:bCs w:val="false"/>
                <w:sz w:val="19"/>
                <w:szCs w:val="19"/>
              </w:rPr>
              <w:t xml:space="preserve">3. Transform</w:t>
            </w:r>
          </w:p>
        </w:tc>
        <w:tc>
          <w:tcPr>
            <w:tcW w:type="dxa" w:w="1872"/>
            <w:tcMar>
              <w:top w:type="dxa" w:w="60"/>
              <w:left w:type="dxa" w:w="90"/>
              <w:bottom w:type="dxa" w:w="60"/>
              <w:right w:type="dxa" w:w="90"/>
            </w:tcMar>
          </w:tcPr>
          <w:p>
            <w:pPr>
              <w:spacing w:after="0"/>
            </w:pPr>
            <w:r>
              <w:rPr>
                <w:b w:val="false"/>
                <w:bCs w:val="false"/>
                <w:sz w:val="19"/>
                <w:szCs w:val="19"/>
              </w:rPr>
              <w:t xml:space="preserve">/Transform/&lt;domain&gt;/</w:t>
            </w:r>
          </w:p>
        </w:tc>
        <w:tc>
          <w:tcPr>
            <w:tcW w:type="dxa" w:w="4118"/>
            <w:tcMar>
              <w:top w:type="dxa" w:w="60"/>
              <w:left w:type="dxa" w:w="90"/>
              <w:bottom w:type="dxa" w:w="60"/>
              <w:right w:type="dxa" w:w="90"/>
            </w:tcMar>
          </w:tcPr>
          <w:p>
            <w:pPr>
              <w:spacing w:after="0"/>
            </w:pPr>
            <w:r>
              <w:rPr>
                <w:b w:val="false"/>
                <w:bCs w:val="false"/>
                <w:sz w:val="19"/>
                <w:szCs w:val="19"/>
              </w:rPr>
              <w:t xml:space="preserve">Cleaning, deduplication, CDC resolution, column masking, windowed metrics.</w:t>
            </w:r>
          </w:p>
        </w:tc>
        <w:tc>
          <w:tcPr>
            <w:tcW w:type="dxa" w:w="2060"/>
            <w:tcMar>
              <w:top w:type="dxa" w:w="60"/>
              <w:left w:type="dxa" w:w="90"/>
              <w:bottom w:type="dxa" w:w="60"/>
              <w:right w:type="dxa" w:w="90"/>
            </w:tcMar>
          </w:tcPr>
          <w:p>
            <w:pPr>
              <w:spacing w:after="0"/>
            </w:pPr>
            <w:r>
              <w:rPr>
                <w:b w:val="false"/>
                <w:bCs w:val="false"/>
                <w:sz w:val="19"/>
                <w:szCs w:val="19"/>
              </w:rPr>
              <w:t xml:space="preserve">Code repositories (Polars)</w:t>
            </w:r>
          </w:p>
        </w:tc>
      </w:tr>
      <w:tr>
        <w:tc>
          <w:tcPr>
            <w:tcW w:type="dxa" w:w="1310"/>
            <w:tcMar>
              <w:top w:type="dxa" w:w="60"/>
              <w:left w:type="dxa" w:w="90"/>
              <w:bottom w:type="dxa" w:w="60"/>
              <w:right w:type="dxa" w:w="90"/>
            </w:tcMar>
          </w:tcPr>
          <w:p>
            <w:pPr>
              <w:spacing w:after="0"/>
            </w:pPr>
            <w:r>
              <w:rPr>
                <w:b w:val="false"/>
                <w:bCs w:val="false"/>
                <w:sz w:val="19"/>
                <w:szCs w:val="19"/>
              </w:rPr>
              <w:t xml:space="preserve">4. Ontology</w:t>
            </w:r>
          </w:p>
        </w:tc>
        <w:tc>
          <w:tcPr>
            <w:tcW w:type="dxa" w:w="1872"/>
            <w:tcMar>
              <w:top w:type="dxa" w:w="60"/>
              <w:left w:type="dxa" w:w="90"/>
              <w:bottom w:type="dxa" w:w="60"/>
              <w:right w:type="dxa" w:w="90"/>
            </w:tcMar>
          </w:tcPr>
          <w:p>
            <w:pPr>
              <w:spacing w:after="0"/>
            </w:pPr>
            <w:r>
              <w:rPr>
                <w:b w:val="false"/>
                <w:bCs w:val="false"/>
                <w:sz w:val="19"/>
                <w:szCs w:val="19"/>
              </w:rPr>
              <w:t xml:space="preserve">/Ontology/&lt;domain&gt;/</w:t>
            </w:r>
          </w:p>
        </w:tc>
        <w:tc>
          <w:tcPr>
            <w:tcW w:type="dxa" w:w="4118"/>
            <w:tcMar>
              <w:top w:type="dxa" w:w="60"/>
              <w:left w:type="dxa" w:w="90"/>
              <w:bottom w:type="dxa" w:w="60"/>
              <w:right w:type="dxa" w:w="90"/>
            </w:tcMar>
          </w:tcPr>
          <w:p>
            <w:pPr>
              <w:spacing w:after="0"/>
            </w:pPr>
            <w:r>
              <w:rPr>
                <w:b w:val="false"/>
                <w:bCs w:val="false"/>
                <w:sz w:val="19"/>
                <w:szCs w:val="19"/>
              </w:rPr>
              <w:t xml:space="preserve">Production backing datasets and the restricted view. Unique, non-null primary keys.</w:t>
            </w:r>
          </w:p>
        </w:tc>
        <w:tc>
          <w:tcPr>
            <w:tcW w:type="dxa" w:w="2060"/>
            <w:tcMar>
              <w:top w:type="dxa" w:w="60"/>
              <w:left w:type="dxa" w:w="90"/>
              <w:bottom w:type="dxa" w:w="60"/>
              <w:right w:type="dxa" w:w="90"/>
            </w:tcMar>
          </w:tcPr>
          <w:p>
            <w:pPr>
              <w:spacing w:after="0"/>
            </w:pPr>
            <w:r>
              <w:rPr>
                <w:b w:val="false"/>
                <w:bCs w:val="false"/>
                <w:sz w:val="19"/>
                <w:szCs w:val="19"/>
              </w:rPr>
              <w:t xml:space="preserve">OSv2 backing datasets, restricted views</w:t>
            </w:r>
          </w:p>
        </w:tc>
      </w:tr>
      <w:tr>
        <w:tc>
          <w:tcPr>
            <w:tcW w:type="dxa" w:w="1310"/>
            <w:tcMar>
              <w:top w:type="dxa" w:w="60"/>
              <w:left w:type="dxa" w:w="90"/>
              <w:bottom w:type="dxa" w:w="60"/>
              <w:right w:type="dxa" w:w="90"/>
            </w:tcMar>
          </w:tcPr>
          <w:p>
            <w:pPr>
              <w:spacing w:after="0"/>
            </w:pPr>
            <w:r>
              <w:rPr>
                <w:b w:val="false"/>
                <w:bCs w:val="false"/>
                <w:sz w:val="19"/>
                <w:szCs w:val="19"/>
              </w:rPr>
              <w:t xml:space="preserve">5. Application</w:t>
            </w:r>
          </w:p>
        </w:tc>
        <w:tc>
          <w:tcPr>
            <w:tcW w:type="dxa" w:w="1872"/>
            <w:tcMar>
              <w:top w:type="dxa" w:w="60"/>
              <w:left w:type="dxa" w:w="90"/>
              <w:bottom w:type="dxa" w:w="60"/>
              <w:right w:type="dxa" w:w="90"/>
            </w:tcMar>
          </w:tcPr>
          <w:p>
            <w:pPr>
              <w:spacing w:after="0"/>
            </w:pPr>
            <w:r>
              <w:rPr>
                <w:b w:val="false"/>
                <w:bCs w:val="false"/>
                <w:sz w:val="19"/>
                <w:szCs w:val="19"/>
              </w:rPr>
              <w:t xml:space="preserve">/Application/&lt;domain&gt;/</w:t>
            </w:r>
          </w:p>
        </w:tc>
        <w:tc>
          <w:tcPr>
            <w:tcW w:type="dxa" w:w="4118"/>
            <w:tcMar>
              <w:top w:type="dxa" w:w="60"/>
              <w:left w:type="dxa" w:w="90"/>
              <w:bottom w:type="dxa" w:w="60"/>
              <w:right w:type="dxa" w:w="90"/>
            </w:tcMar>
          </w:tcPr>
          <w:p>
            <w:pPr>
              <w:spacing w:after="0"/>
            </w:pPr>
            <w:r>
              <w:rPr>
                <w:b w:val="false"/>
                <w:bCs w:val="false"/>
                <w:sz w:val="19"/>
                <w:szCs w:val="19"/>
              </w:rPr>
              <w:t xml:space="preserve">Workshop modules, Quiver analyses, action type definitions.</w:t>
            </w:r>
          </w:p>
        </w:tc>
        <w:tc>
          <w:tcPr>
            <w:tcW w:type="dxa" w:w="2060"/>
            <w:tcMar>
              <w:top w:type="dxa" w:w="60"/>
              <w:left w:type="dxa" w:w="90"/>
              <w:bottom w:type="dxa" w:w="60"/>
              <w:right w:type="dxa" w:w="90"/>
            </w:tcMar>
          </w:tcPr>
          <w:p>
            <w:pPr>
              <w:spacing w:after="0"/>
            </w:pPr>
            <w:r>
              <w:rPr>
                <w:b w:val="false"/>
                <w:bCs w:val="false"/>
                <w:sz w:val="19"/>
                <w:szCs w:val="19"/>
              </w:rPr>
              <w:t xml:space="preserve">Workshop, Quiver, action types</w:t>
            </w:r>
          </w:p>
        </w:tc>
      </w:tr>
    </w:tbl>
    <w:p>
      <w:pPr>
        <w:spacing w:after="160"/>
      </w:pPr>
    </w:p>
    <w:p>
      <w:pPr>
        <w:pStyle w:val="Heading2"/>
        <w:spacing w:after="120" w:before="260"/>
      </w:pPr>
      <w:r>
        <w:t xml:space="preserve">Temporal invariance</w:t>
      </w:r>
    </w:p>
    <w:p>
      <w:pPr>
        <w:spacing w:after="120"/>
      </w:pPr>
      <w:r>
        <w:t xml:space="preserve">This is the mental-model shift that catches most people arriving from a lakehouse. In a batch warehouse it is natural to write </w:t>
      </w:r>
      <w:r>
        <w:rPr>
          <w:rFonts w:ascii="Consolas" w:cs="Consolas" w:eastAsia="Consolas" w:hAnsi="Consolas"/>
          <w:sz w:val="19"/>
          <w:szCs w:val="19"/>
        </w:rPr>
        <w:t xml:space="preserve">days_waiting = datediff(current_date(), referral_date)</w:t>
      </w:r>
      <w:r>
        <w:t xml:space="preserve"> into a table. In an operational system that value is wrong the moment the build finishes, and it stays wrong until someone rebuilds.</w:t>
      </w:r>
    </w:p>
    <w:p>
      <w:pPr>
        <w:spacing w:after="120"/>
      </w:pPr>
      <w:r>
        <w:t xml:space="preserve">Backing datasets persist </w:t>
      </w:r>
      <w:r>
        <w:rPr>
          <w:b/>
          <w:bCs/>
        </w:rPr>
        <w:t xml:space="preserve">anchors</w:t>
      </w:r>
      <w:r>
        <w:t xml:space="preserve"> — the timestamps events actually happened at. Anything measured from "now" is computed at read time, in a function or in the UI. If you find yourself writing an elapsed duration into a column, stop and ask where it will be read from.</w:t>
      </w:r>
    </w:p>
    <w:p>
      <w:pPr>
        <w:pBdr>
          <w:left w:val="single" w:color="4472C4" w:sz="18" w:space="12"/>
        </w:pBdr>
        <w:spacing w:after="160" w:before="120"/>
        <w:ind w:left="220"/>
      </w:pPr>
      <w:r>
        <w:rPr>
          <w:b/>
          <w:bCs/>
        </w:rPr>
        <w:t xml:space="preserve">Corollary:  </w:t>
      </w:r>
      <w:r>
        <w:t xml:space="preserve">the files contain precomputed flags — </w:t>
      </w:r>
      <w:r>
        <w:rPr>
          <w:rFonts w:ascii="Consolas" w:cs="Consolas" w:eastAsia="Consolas" w:hAnsi="Consolas"/>
          <w:sz w:val="19"/>
          <w:szCs w:val="19"/>
        </w:rPr>
        <w:t xml:space="preserve">is_breached</w:t>
      </w:r>
      <w:r>
        <w:t xml:space="preserve"> in Projects 1 and 2, </w:t>
      </w:r>
      <w:r>
        <w:rPr>
          <w:rFonts w:ascii="Consolas" w:cs="Consolas" w:eastAsia="Consolas" w:hAnsi="Consolas"/>
          <w:sz w:val="19"/>
          <w:szCs w:val="19"/>
        </w:rPr>
        <w:t xml:space="preserve">news2_cached</w:t>
      </w:r>
      <w:r>
        <w:t xml:space="preserve"> in Project 3 — written by an upstream system at some earlier moment and never revised. They are stale, and we know exactly how stale. Recompute them; do not carry them through. A pipeline that trusts them builds green and produces a confidently wrong answer, which is the worst possible outcome and the thing this exercise exists to teach.</w:t>
      </w:r>
    </w:p>
    <w:p>
      <w:pPr>
        <w:pStyle w:val="Heading2"/>
        <w:spacing w:after="120" w:before="260"/>
      </w:pPr>
      <w:r>
        <w:t xml:space="preserve">Verification and lineage</w:t>
      </w:r>
    </w:p>
    <w:p>
      <w:pPr>
        <w:spacing w:after="120"/>
      </w:pPr>
      <w:r>
        <w:t xml:space="preserve">The lineage application is called </w:t>
      </w:r>
      <w:r>
        <w:rPr>
          <w:b/>
          <w:bCs/>
        </w:rPr>
        <w:t xml:space="preserve">Data Lineage</w:t>
      </w:r>
      <w:r>
        <w:t xml:space="preserve">. Use it to confirm your object type resolves to the restricted view and not to a raw or intermediate dataset, and that the marking applied at the Datasource tier reaches the Ontology tier.</w:t>
      </w:r>
    </w:p>
    <w:p>
      <w:r>
        <w:br w:type="page"/>
      </w:r>
    </w:p>
    <w:p>
      <w:pPr>
        <w:pStyle w:val="Heading1"/>
        <w:spacing w:after="160" w:before="320"/>
      </w:pPr>
      <w:r>
        <w:t xml:space="preserve">Project 1 — Elective care RTT and waiting list validation</w:t>
      </w:r>
    </w:p>
    <w:p>
      <w:pPr>
        <w:pStyle w:val="Heading2"/>
        <w:spacing w:after="120" w:before="260"/>
      </w:pPr>
      <w:r>
        <w:t xml:space="preserve">1. Operational context</w:t>
      </w:r>
    </w:p>
    <w:p>
      <w:pPr>
        <w:spacing w:after="120"/>
      </w:pPr>
      <w:r>
        <w:t xml:space="preserve">Under the NHS constitutional standard, at least 92% of patients referred for consultant-led non-urgent care should start definitive treatment within 18 weeks, which is 126 days. Elective recovery teams work through pathways where </w:t>
      </w:r>
      <w:r>
        <w:rPr>
          <w:rFonts w:ascii="Consolas" w:cs="Consolas" w:eastAsia="Consolas" w:hAnsi="Consolas"/>
          <w:sz w:val="19"/>
          <w:szCs w:val="19"/>
        </w:rPr>
        <w:t xml:space="preserve">validated_flag</w:t>
      </w:r>
      <w:r>
        <w:t xml:space="preserve"> is false, checking how long the patient has actually waited, assessing their background risk, assigning a clinical priority band and confirming the next clinical step.</w:t>
      </w:r>
    </w:p>
    <w:p>
      <w:pPr>
        <w:spacing w:after="120"/>
      </w:pPr>
      <w:r>
        <w:t xml:space="preserve">Your job is to build the console those validators use.</w:t>
      </w:r>
    </w:p>
    <w:p>
      <w:pPr>
        <w:pStyle w:val="Heading2"/>
        <w:spacing w:after="120" w:before="260"/>
      </w:pPr>
      <w:r>
        <w:t xml:space="preserve">2. The data</w:t>
      </w:r>
    </w:p>
    <w:p>
      <w:pPr>
        <w:spacing w:after="120"/>
      </w:pPr>
      <w:r>
        <w:t xml:space="preserve">Three files in </w:t>
      </w:r>
      <w:r>
        <w:rPr>
          <w:rFonts w:ascii="Consolas" w:cs="Consolas" w:eastAsia="Consolas" w:hAnsi="Consolas"/>
          <w:sz w:val="19"/>
          <w:szCs w:val="19"/>
        </w:rPr>
        <w:t xml:space="preserve">project_1_rtt/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123"/>
        <w:gridCol w:w="6178"/>
      </w:tblGrid>
      <w:tr>
        <w:trPr>
          <w:tblHeader/>
        </w:trPr>
        <w:tc>
          <w:tcPr>
            <w:tcW w:type="dxa" w:w="2059"/>
            <w:shd w:fill="E8EDF5" w:val="clear"/>
            <w:tcMar>
              <w:top w:type="dxa" w:w="60"/>
              <w:left w:type="dxa" w:w="90"/>
              <w:bottom w:type="dxa" w:w="60"/>
              <w:right w:type="dxa" w:w="90"/>
            </w:tcMar>
          </w:tcPr>
          <w:p>
            <w:pPr>
              <w:spacing w:after="0"/>
            </w:pPr>
            <w:r>
              <w:rPr>
                <w:b/>
                <w:bCs/>
                <w:sz w:val="19"/>
                <w:szCs w:val="19"/>
              </w:rPr>
              <w:t xml:space="preserve">File</w:t>
            </w:r>
          </w:p>
        </w:tc>
        <w:tc>
          <w:tcPr>
            <w:tcW w:type="dxa" w:w="1123"/>
            <w:shd w:fill="E8EDF5" w:val="clear"/>
            <w:tcMar>
              <w:top w:type="dxa" w:w="60"/>
              <w:left w:type="dxa" w:w="90"/>
              <w:bottom w:type="dxa" w:w="60"/>
              <w:right w:type="dxa" w:w="90"/>
            </w:tcMar>
          </w:tcPr>
          <w:p>
            <w:pPr>
              <w:spacing w:after="0"/>
            </w:pPr>
            <w:r>
              <w:rPr>
                <w:b/>
                <w:bCs/>
                <w:sz w:val="19"/>
                <w:szCs w:val="19"/>
              </w:rPr>
              <w:t xml:space="preserve">Rows</w:t>
            </w:r>
          </w:p>
        </w:tc>
        <w:tc>
          <w:tcPr>
            <w:tcW w:type="dxa" w:w="6178"/>
            <w:shd w:fill="E8EDF5" w:val="clear"/>
            <w:tcMar>
              <w:top w:type="dxa" w:w="60"/>
              <w:left w:type="dxa" w:w="90"/>
              <w:bottom w:type="dxa" w:w="60"/>
              <w:right w:type="dxa" w:w="90"/>
            </w:tcMar>
          </w:tcPr>
          <w:p>
            <w:pPr>
              <w:spacing w:after="0"/>
            </w:pPr>
            <w:r>
              <w:rPr>
                <w:b/>
                <w:bCs/>
                <w:sz w:val="19"/>
                <w:szCs w:val="19"/>
              </w:rPr>
              <w:t xml:space="preserve">Columns</w:t>
            </w:r>
          </w:p>
        </w:tc>
      </w:tr>
      <w:tr>
        <w:tc>
          <w:tcPr>
            <w:tcW w:type="dxa" w:w="2059"/>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patients.csv</w:t>
            </w:r>
          </w:p>
        </w:tc>
        <w:tc>
          <w:tcPr>
            <w:tcW w:type="dxa" w:w="1123"/>
            <w:tcMar>
              <w:top w:type="dxa" w:w="60"/>
              <w:left w:type="dxa" w:w="90"/>
              <w:bottom w:type="dxa" w:w="60"/>
              <w:right w:type="dxa" w:w="90"/>
            </w:tcMar>
          </w:tcPr>
          <w:p>
            <w:pPr>
              <w:spacing w:after="0"/>
            </w:pPr>
            <w:r>
              <w:rPr>
                <w:b w:val="false"/>
                <w:bCs w:val="false"/>
                <w:sz w:val="19"/>
                <w:szCs w:val="19"/>
              </w:rPr>
              <w:t xml:space="preserve">909 raw</w:t>
            </w:r>
          </w:p>
        </w:tc>
        <w:tc>
          <w:tcPr>
            <w:tcW w:type="dxa" w:w="6178"/>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patient_id</w:t>
            </w:r>
            <w:r>
              <w:rPr>
                <w:b w:val="false"/>
                <w:bCs w:val="false"/>
                <w:sz w:val="19"/>
                <w:szCs w:val="19"/>
              </w:rPr>
              <w:t xml:space="preserve"> (NHS number, the primary key), </w:t>
            </w:r>
            <w:r>
              <w:rPr>
                <w:rFonts w:ascii="Consolas" w:cs="Consolas" w:eastAsia="Consolas" w:hAnsi="Consolas"/>
                <w:b w:val="false"/>
                <w:bCs w:val="false"/>
                <w:sz w:val="19"/>
                <w:szCs w:val="19"/>
              </w:rPr>
              <w:t xml:space="preserve">postcode_district</w:t>
            </w:r>
            <w:r>
              <w:rPr>
                <w:b w:val="false"/>
                <w:bCs w:val="false"/>
                <w:sz w:val="19"/>
                <w:szCs w:val="19"/>
              </w:rPr>
              <w:t xml:space="preserve">, </w:t>
            </w:r>
            <w:r>
              <w:rPr>
                <w:rFonts w:ascii="Consolas" w:cs="Consolas" w:eastAsia="Consolas" w:hAnsi="Consolas"/>
                <w:b w:val="false"/>
                <w:bCs w:val="false"/>
                <w:sz w:val="19"/>
                <w:szCs w:val="19"/>
              </w:rPr>
              <w:t xml:space="preserve">dob</w:t>
            </w:r>
            <w:r>
              <w:rPr>
                <w:b w:val="false"/>
                <w:bCs w:val="false"/>
                <w:sz w:val="19"/>
                <w:szCs w:val="19"/>
              </w:rPr>
              <w:t xml:space="preserve">, </w:t>
            </w:r>
            <w:r>
              <w:rPr>
                <w:rFonts w:ascii="Consolas" w:cs="Consolas" w:eastAsia="Consolas" w:hAnsi="Consolas"/>
                <w:b w:val="false"/>
                <w:bCs w:val="false"/>
                <w:sz w:val="19"/>
                <w:szCs w:val="19"/>
              </w:rPr>
              <w:t xml:space="preserve">sex</w:t>
            </w:r>
            <w:r>
              <w:rPr>
                <w:b w:val="false"/>
                <w:bCs w:val="false"/>
                <w:sz w:val="19"/>
                <w:szCs w:val="19"/>
              </w:rPr>
              <w:t xml:space="preserve">, </w:t>
            </w:r>
            <w:r>
              <w:rPr>
                <w:rFonts w:ascii="Consolas" w:cs="Consolas" w:eastAsia="Consolas" w:hAnsi="Consolas"/>
                <w:b w:val="false"/>
                <w:bCs w:val="false"/>
                <w:sz w:val="19"/>
                <w:szCs w:val="19"/>
              </w:rPr>
              <w:t xml:space="preserve">risk_category</w:t>
            </w:r>
            <w:r>
              <w:rPr>
                <w:b w:val="false"/>
                <w:bCs w:val="false"/>
                <w:sz w:val="19"/>
                <w:szCs w:val="19"/>
              </w:rPr>
              <w:t xml:space="preserve">, </w:t>
            </w:r>
            <w:r>
              <w:rPr>
                <w:rFonts w:ascii="Consolas" w:cs="Consolas" w:eastAsia="Consolas" w:hAnsi="Consolas"/>
                <w:b w:val="false"/>
                <w:bCs w:val="false"/>
                <w:sz w:val="19"/>
                <w:szCs w:val="19"/>
              </w:rPr>
              <w:t xml:space="preserve">sensitive_care_flag</w:t>
            </w:r>
          </w:p>
        </w:tc>
      </w:tr>
      <w:tr>
        <w:tc>
          <w:tcPr>
            <w:tcW w:type="dxa" w:w="2059"/>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clinics.csv</w:t>
            </w:r>
          </w:p>
        </w:tc>
        <w:tc>
          <w:tcPr>
            <w:tcW w:type="dxa" w:w="1123"/>
            <w:tcMar>
              <w:top w:type="dxa" w:w="60"/>
              <w:left w:type="dxa" w:w="90"/>
              <w:bottom w:type="dxa" w:w="60"/>
              <w:right w:type="dxa" w:w="90"/>
            </w:tcMar>
          </w:tcPr>
          <w:p>
            <w:pPr>
              <w:spacing w:after="0"/>
            </w:pPr>
            <w:r>
              <w:rPr>
                <w:b w:val="false"/>
                <w:bCs w:val="false"/>
                <w:sz w:val="19"/>
                <w:szCs w:val="19"/>
              </w:rPr>
              <w:t xml:space="preserve">21</w:t>
            </w:r>
          </w:p>
        </w:tc>
        <w:tc>
          <w:tcPr>
            <w:tcW w:type="dxa" w:w="6178"/>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clinic_id</w:t>
            </w:r>
            <w:r>
              <w:rPr>
                <w:b w:val="false"/>
                <w:bCs w:val="false"/>
                <w:sz w:val="19"/>
                <w:szCs w:val="19"/>
              </w:rPr>
              <w:t xml:space="preserve"> (primary key), </w:t>
            </w:r>
            <w:r>
              <w:rPr>
                <w:rFonts w:ascii="Consolas" w:cs="Consolas" w:eastAsia="Consolas" w:hAnsi="Consolas"/>
                <w:b w:val="false"/>
                <w:bCs w:val="false"/>
                <w:sz w:val="19"/>
                <w:szCs w:val="19"/>
              </w:rPr>
              <w:t xml:space="preserve">specialty_id</w:t>
            </w:r>
            <w:r>
              <w:rPr>
                <w:b w:val="false"/>
                <w:bCs w:val="false"/>
                <w:sz w:val="19"/>
                <w:szCs w:val="19"/>
              </w:rPr>
              <w:t xml:space="preserve">, </w:t>
            </w:r>
            <w:r>
              <w:rPr>
                <w:rFonts w:ascii="Consolas" w:cs="Consolas" w:eastAsia="Consolas" w:hAnsi="Consolas"/>
                <w:b w:val="false"/>
                <w:bCs w:val="false"/>
                <w:sz w:val="19"/>
                <w:szCs w:val="19"/>
              </w:rPr>
              <w:t xml:space="preserve">specialty_name</w:t>
            </w:r>
            <w:r>
              <w:rPr>
                <w:b w:val="false"/>
                <w:bCs w:val="false"/>
                <w:sz w:val="19"/>
                <w:szCs w:val="19"/>
              </w:rPr>
              <w:t xml:space="preserve">, </w:t>
            </w:r>
            <w:r>
              <w:rPr>
                <w:rFonts w:ascii="Consolas" w:cs="Consolas" w:eastAsia="Consolas" w:hAnsi="Consolas"/>
                <w:b w:val="false"/>
                <w:bCs w:val="false"/>
                <w:sz w:val="19"/>
                <w:szCs w:val="19"/>
              </w:rPr>
              <w:t xml:space="preserve">clinic_name</w:t>
            </w:r>
            <w:r>
              <w:rPr>
                <w:b w:val="false"/>
                <w:bCs w:val="false"/>
                <w:sz w:val="19"/>
                <w:szCs w:val="19"/>
              </w:rPr>
              <w:t xml:space="preserve">, </w:t>
            </w:r>
            <w:r>
              <w:rPr>
                <w:rFonts w:ascii="Consolas" w:cs="Consolas" w:eastAsia="Consolas" w:hAnsi="Consolas"/>
                <w:b w:val="false"/>
                <w:bCs w:val="false"/>
                <w:sz w:val="19"/>
                <w:szCs w:val="19"/>
              </w:rPr>
              <w:t xml:space="preserve">weekly_capacity</w:t>
            </w:r>
            <w:r>
              <w:rPr>
                <w:b w:val="false"/>
                <w:bCs w:val="false"/>
                <w:sz w:val="19"/>
                <w:szCs w:val="19"/>
              </w:rPr>
              <w:t xml:space="preserve">, </w:t>
            </w:r>
            <w:r>
              <w:rPr>
                <w:rFonts w:ascii="Consolas" w:cs="Consolas" w:eastAsia="Consolas" w:hAnsi="Consolas"/>
                <w:b w:val="false"/>
                <w:bCs w:val="false"/>
                <w:sz w:val="19"/>
                <w:szCs w:val="19"/>
              </w:rPr>
              <w:t xml:space="preserve">lead_consultant_code</w:t>
            </w:r>
          </w:p>
        </w:tc>
      </w:tr>
      <w:tr>
        <w:tc>
          <w:tcPr>
            <w:tcW w:type="dxa" w:w="2059"/>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rtt_pathways.csv</w:t>
            </w:r>
          </w:p>
        </w:tc>
        <w:tc>
          <w:tcPr>
            <w:tcW w:type="dxa" w:w="1123"/>
            <w:tcMar>
              <w:top w:type="dxa" w:w="60"/>
              <w:left w:type="dxa" w:w="90"/>
              <w:bottom w:type="dxa" w:w="60"/>
              <w:right w:type="dxa" w:w="90"/>
            </w:tcMar>
          </w:tcPr>
          <w:p>
            <w:pPr>
              <w:spacing w:after="0"/>
            </w:pPr>
            <w:r>
              <w:rPr>
                <w:b w:val="false"/>
                <w:bCs w:val="false"/>
                <w:sz w:val="19"/>
                <w:szCs w:val="19"/>
              </w:rPr>
              <w:t xml:space="preserve">3,057 raw</w:t>
            </w:r>
          </w:p>
        </w:tc>
        <w:tc>
          <w:tcPr>
            <w:tcW w:type="dxa" w:w="6178"/>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pathway_id</w:t>
            </w:r>
            <w:r>
              <w:rPr>
                <w:b w:val="false"/>
                <w:bCs w:val="false"/>
                <w:sz w:val="19"/>
                <w:szCs w:val="19"/>
              </w:rPr>
              <w:t xml:space="preserve"> (primary key), </w:t>
            </w:r>
            <w:r>
              <w:rPr>
                <w:rFonts w:ascii="Consolas" w:cs="Consolas" w:eastAsia="Consolas" w:hAnsi="Consolas"/>
                <w:b w:val="false"/>
                <w:bCs w:val="false"/>
                <w:sz w:val="19"/>
                <w:szCs w:val="19"/>
              </w:rPr>
              <w:t xml:space="preserve">patient_id</w:t>
            </w:r>
            <w:r>
              <w:rPr>
                <w:b w:val="false"/>
                <w:bCs w:val="false"/>
                <w:sz w:val="19"/>
                <w:szCs w:val="19"/>
              </w:rPr>
              <w:t xml:space="preserve">, </w:t>
            </w:r>
            <w:r>
              <w:rPr>
                <w:rFonts w:ascii="Consolas" w:cs="Consolas" w:eastAsia="Consolas" w:hAnsi="Consolas"/>
                <w:b w:val="false"/>
                <w:bCs w:val="false"/>
                <w:sz w:val="19"/>
                <w:szCs w:val="19"/>
              </w:rPr>
              <w:t xml:space="preserve">clinic_id</w:t>
            </w:r>
            <w:r>
              <w:rPr>
                <w:b w:val="false"/>
                <w:bCs w:val="false"/>
                <w:sz w:val="19"/>
                <w:szCs w:val="19"/>
              </w:rPr>
              <w:t xml:space="preserve">, </w:t>
            </w:r>
            <w:r>
              <w:rPr>
                <w:rFonts w:ascii="Consolas" w:cs="Consolas" w:eastAsia="Consolas" w:hAnsi="Consolas"/>
                <w:b w:val="false"/>
                <w:bCs w:val="false"/>
                <w:sz w:val="19"/>
                <w:szCs w:val="19"/>
              </w:rPr>
              <w:t xml:space="preserve">specialty_id</w:t>
            </w:r>
            <w:r>
              <w:rPr>
                <w:b w:val="false"/>
                <w:bCs w:val="false"/>
                <w:sz w:val="19"/>
                <w:szCs w:val="19"/>
              </w:rPr>
              <w:t xml:space="preserve">, </w:t>
            </w:r>
            <w:r>
              <w:rPr>
                <w:rFonts w:ascii="Consolas" w:cs="Consolas" w:eastAsia="Consolas" w:hAnsi="Consolas"/>
                <w:b w:val="false"/>
                <w:bCs w:val="false"/>
                <w:sz w:val="19"/>
                <w:szCs w:val="19"/>
              </w:rPr>
              <w:t xml:space="preserve">referral_date</w:t>
            </w:r>
            <w:r>
              <w:rPr>
                <w:b w:val="false"/>
                <w:bCs w:val="false"/>
                <w:sz w:val="19"/>
                <w:szCs w:val="19"/>
              </w:rPr>
              <w:t xml:space="preserve">, </w:t>
            </w:r>
            <w:r>
              <w:rPr>
                <w:rFonts w:ascii="Consolas" w:cs="Consolas" w:eastAsia="Consolas" w:hAnsi="Consolas"/>
                <w:b w:val="false"/>
                <w:bCs w:val="false"/>
                <w:sz w:val="19"/>
                <w:szCs w:val="19"/>
              </w:rPr>
              <w:t xml:space="preserve">clock_status</w:t>
            </w:r>
            <w:r>
              <w:rPr>
                <w:b w:val="false"/>
                <w:bCs w:val="false"/>
                <w:sz w:val="19"/>
                <w:szCs w:val="19"/>
              </w:rPr>
              <w:t xml:space="preserve">, </w:t>
            </w:r>
            <w:r>
              <w:rPr>
                <w:rFonts w:ascii="Consolas" w:cs="Consolas" w:eastAsia="Consolas" w:hAnsi="Consolas"/>
                <w:b w:val="false"/>
                <w:bCs w:val="false"/>
                <w:sz w:val="19"/>
                <w:szCs w:val="19"/>
              </w:rPr>
              <w:t xml:space="preserve">rtt_status_code</w:t>
            </w:r>
            <w:r>
              <w:rPr>
                <w:b w:val="false"/>
                <w:bCs w:val="false"/>
                <w:sz w:val="19"/>
                <w:szCs w:val="19"/>
              </w:rPr>
              <w:t xml:space="preserve">, </w:t>
            </w:r>
            <w:r>
              <w:rPr>
                <w:rFonts w:ascii="Consolas" w:cs="Consolas" w:eastAsia="Consolas" w:hAnsi="Consolas"/>
                <w:b w:val="false"/>
                <w:bCs w:val="false"/>
                <w:sz w:val="19"/>
                <w:szCs w:val="19"/>
              </w:rPr>
              <w:t xml:space="preserve">priority_band</w:t>
            </w:r>
            <w:r>
              <w:rPr>
                <w:b w:val="false"/>
                <w:bCs w:val="false"/>
                <w:sz w:val="19"/>
                <w:szCs w:val="19"/>
              </w:rPr>
              <w:t xml:space="preserve">, </w:t>
            </w:r>
            <w:r>
              <w:rPr>
                <w:rFonts w:ascii="Consolas" w:cs="Consolas" w:eastAsia="Consolas" w:hAnsi="Consolas"/>
                <w:b w:val="false"/>
                <w:bCs w:val="false"/>
                <w:sz w:val="19"/>
                <w:szCs w:val="19"/>
              </w:rPr>
              <w:t xml:space="preserve">is_breached</w:t>
            </w:r>
            <w:r>
              <w:rPr>
                <w:b w:val="false"/>
                <w:bCs w:val="false"/>
                <w:sz w:val="19"/>
                <w:szCs w:val="19"/>
              </w:rPr>
              <w:t xml:space="preserve">, </w:t>
            </w:r>
            <w:r>
              <w:rPr>
                <w:rFonts w:ascii="Consolas" w:cs="Consolas" w:eastAsia="Consolas" w:hAnsi="Consolas"/>
                <w:b w:val="false"/>
                <w:bCs w:val="false"/>
                <w:sz w:val="19"/>
                <w:szCs w:val="19"/>
              </w:rPr>
              <w:t xml:space="preserve">validated_flag</w:t>
            </w:r>
          </w:p>
        </w:tc>
      </w:tr>
    </w:tbl>
    <w:p>
      <w:pPr>
        <w:spacing w:after="140"/>
      </w:pPr>
    </w:p>
    <w:p>
      <w:pPr>
        <w:pStyle w:val="ListParagraph"/>
        <w:numPr>
          <w:ilvl w:val="0"/>
          <w:numId w:val="2"/>
        </w:numPr>
        <w:spacing w:after="60"/>
      </w:pPr>
      <w:r>
        <w:t xml:space="preserve">There are three clinics per specialty, at different sites and with different weekly capacities. A pathway is booked into one specific clinic.</w:t>
      </w:r>
    </w:p>
    <w:p>
      <w:pPr>
        <w:pStyle w:val="ListParagraph"/>
        <w:numPr>
          <w:ilvl w:val="0"/>
          <w:numId w:val="2"/>
        </w:numPr>
        <w:spacing w:after="60"/>
      </w:pPr>
      <w:r>
        <w:t xml:space="preserve">An </w:t>
      </w:r>
      <w:r>
        <w:rPr>
          <w:b/>
          <w:bCs/>
        </w:rPr>
        <w:t xml:space="preserve">active pathway</w:t>
      </w:r>
      <w:r>
        <w:t xml:space="preserve"> is one whose </w:t>
      </w:r>
      <w:r>
        <w:rPr>
          <w:rFonts w:ascii="Consolas" w:cs="Consolas" w:eastAsia="Consolas" w:hAnsi="Consolas"/>
          <w:sz w:val="19"/>
          <w:szCs w:val="19"/>
        </w:rPr>
        <w:t xml:space="preserve">clock_status</w:t>
      </w:r>
      <w:r>
        <w:t xml:space="preserve"> is ACTIVE. PAUSED pathways are excluded from waiting-time reporting.</w:t>
      </w:r>
    </w:p>
    <w:p>
      <w:pPr>
        <w:pStyle w:val="ListParagraph"/>
        <w:numPr>
          <w:ilvl w:val="0"/>
          <w:numId w:val="2"/>
        </w:numPr>
        <w:spacing w:after="60"/>
      </w:pPr>
      <w:r>
        <w:rPr>
          <w:rFonts w:ascii="Consolas" w:cs="Consolas" w:eastAsia="Consolas" w:hAnsi="Consolas"/>
          <w:sz w:val="19"/>
          <w:szCs w:val="19"/>
        </w:rPr>
        <w:t xml:space="preserve">rtt_status_code</w:t>
      </w:r>
      <w:r>
        <w:t xml:space="preserve"> is a national code that this exercise does not use. Carry it or drop it; either is defensible, but be able to say which you chose and why.</w:t>
      </w:r>
    </w:p>
    <w:p>
      <w:pPr>
        <w:pStyle w:val="ListParagraph"/>
        <w:numPr>
          <w:ilvl w:val="0"/>
          <w:numId w:val="2"/>
        </w:numPr>
        <w:spacing w:after="60"/>
      </w:pPr>
      <w:r>
        <w:t xml:space="preserve">There is no </w:t>
      </w:r>
      <w:r>
        <w:rPr>
          <w:rFonts w:ascii="Consolas" w:cs="Consolas" w:eastAsia="Consolas" w:hAnsi="Consolas"/>
          <w:sz w:val="19"/>
          <w:szCs w:val="19"/>
        </w:rPr>
        <w:t xml:space="preserve">target_breach_date</w:t>
      </w:r>
      <w:r>
        <w:t xml:space="preserve"> column. Derive it: 126 days from referral.</w:t>
      </w:r>
    </w:p>
    <w:p>
      <w:pPr>
        <w:pStyle w:val="ListParagraph"/>
        <w:numPr>
          <w:ilvl w:val="0"/>
          <w:numId w:val="2"/>
        </w:numPr>
        <w:spacing w:after="60"/>
      </w:pPr>
      <w:r>
        <w:rPr>
          <w:rFonts w:ascii="Consolas" w:cs="Consolas" w:eastAsia="Consolas" w:hAnsi="Consolas"/>
          <w:sz w:val="19"/>
          <w:szCs w:val="19"/>
        </w:rPr>
        <w:t xml:space="preserve">sensitive_care_flag</w:t>
      </w:r>
      <w:r>
        <w:t xml:space="preserve"> marks safeguarding pathways. General elective validators must not see them.</w:t>
      </w:r>
    </w:p>
    <w:p>
      <w:pPr>
        <w:pStyle w:val="Heading2"/>
        <w:spacing w:after="120" w:before="260"/>
      </w:pPr>
      <w:r>
        <w:t xml:space="preserve">3. Breach Risk Score</w:t>
      </w:r>
    </w:p>
    <w:p>
      <w:pPr>
        <w:spacing w:after="120"/>
      </w:pPr>
      <w:r>
        <w:t xml:space="preserve">A score from 0 to 100, evaluated </w:t>
      </w:r>
      <w:r>
        <w:rPr>
          <w:b/>
          <w:bCs/>
        </w:rPr>
        <w:t xml:space="preserve">at query time</w:t>
      </w:r>
      <w:r>
        <w:t xml:space="preserve">, never stored.</w:t>
      </w:r>
    </w:p>
    <w:p>
      <w:pPr>
        <w:shd w:fill="F4F5F7" w:val="clear"/>
        <w:spacing w:after="0" w:before="60"/>
        <w:ind w:left="280"/>
      </w:pPr>
      <w:r>
        <w:rPr>
          <w:rFonts w:ascii="Consolas" w:cs="Consolas" w:eastAsia="Consolas" w:hAnsi="Consolas"/>
          <w:sz w:val="17"/>
          <w:szCs w:val="17"/>
        </w:rPr>
        <w:t xml:space="preserve">BreachRiskScore = min(100, DurationScore + PriorityScore + PatientRiskScore)</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DurationScore (max 50)</w:t>
      </w:r>
    </w:p>
    <w:p>
      <w:pPr>
        <w:shd w:fill="F4F5F7" w:val="clear"/>
        <w:spacing w:after="0" w:before="0"/>
        <w:ind w:left="280"/>
      </w:pPr>
      <w:r>
        <w:rPr>
          <w:rFonts w:ascii="Consolas" w:cs="Consolas" w:eastAsia="Consolas" w:hAnsi="Consolas"/>
          <w:sz w:val="17"/>
          <w:szCs w:val="17"/>
        </w:rPr>
        <w:t xml:space="preserve">    elapsedWeeks = (now - referralDate) in weeks</w:t>
      </w:r>
    </w:p>
    <w:p>
      <w:pPr>
        <w:shd w:fill="F4F5F7" w:val="clear"/>
        <w:spacing w:after="0" w:before="0"/>
        <w:ind w:left="280"/>
      </w:pPr>
      <w:r>
        <w:rPr>
          <w:rFonts w:ascii="Consolas" w:cs="Consolas" w:eastAsia="Consolas" w:hAnsi="Consolas"/>
          <w:sz w:val="17"/>
          <w:szCs w:val="17"/>
        </w:rPr>
        <w:t xml:space="preserve">    if elapsedWeeks &gt;= 18.0:  50</w:t>
      </w:r>
    </w:p>
    <w:p>
      <w:pPr>
        <w:shd w:fill="F4F5F7" w:val="clear"/>
        <w:spacing w:after="0" w:before="0"/>
        <w:ind w:left="280"/>
      </w:pPr>
      <w:r>
        <w:rPr>
          <w:rFonts w:ascii="Consolas" w:cs="Consolas" w:eastAsia="Consolas" w:hAnsi="Consolas"/>
          <w:sz w:val="17"/>
          <w:szCs w:val="17"/>
        </w:rPr>
        <w:t xml:space="preserve">    else:                     min(50, round((elapsedWeeks / 18.0) * 50))</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PriorityScore (max 30)</w:t>
      </w:r>
    </w:p>
    <w:p>
      <w:pPr>
        <w:shd w:fill="F4F5F7" w:val="clear"/>
        <w:spacing w:after="0" w:before="0"/>
        <w:ind w:left="280"/>
      </w:pPr>
      <w:r>
        <w:rPr>
          <w:rFonts w:ascii="Consolas" w:cs="Consolas" w:eastAsia="Consolas" w:hAnsi="Consolas"/>
          <w:sz w:val="17"/>
          <w:szCs w:val="17"/>
        </w:rPr>
        <w:t xml:space="preserve">    P1  30      P2  25      P3  18      P4 or missing  10</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PatientRiskScore (max 20)</w:t>
      </w:r>
    </w:p>
    <w:p>
      <w:pPr>
        <w:shd w:fill="F4F5F7" w:val="clear"/>
        <w:spacing w:after="140" w:before="0"/>
        <w:ind w:left="280"/>
      </w:pPr>
      <w:r>
        <w:rPr>
          <w:rFonts w:ascii="Consolas" w:cs="Consolas" w:eastAsia="Consolas" w:hAnsi="Consolas"/>
          <w:sz w:val="17"/>
          <w:szCs w:val="17"/>
        </w:rPr>
        <w:t xml:space="preserve">    High  20    Medium  12  Low, missing or unresolvable  5</w:t>
      </w:r>
    </w:p>
    <w:p>
      <w:pPr>
        <w:spacing w:after="120"/>
      </w:pPr>
      <w:r>
        <w:t xml:space="preserve">Boundary cases you are expected to handle: a pathway with a null </w:t>
      </w:r>
      <w:r>
        <w:rPr>
          <w:rFonts w:ascii="Consolas" w:cs="Consolas" w:eastAsia="Consolas" w:hAnsi="Consolas"/>
          <w:sz w:val="19"/>
          <w:szCs w:val="19"/>
        </w:rPr>
        <w:t xml:space="preserve">referral_date</w:t>
      </w:r>
      <w:r>
        <w:t xml:space="preserve"> scores 0 overall; a missing </w:t>
      </w:r>
      <w:r>
        <w:rPr>
          <w:rFonts w:ascii="Consolas" w:cs="Consolas" w:eastAsia="Consolas" w:hAnsi="Consolas"/>
          <w:sz w:val="19"/>
          <w:szCs w:val="19"/>
        </w:rPr>
        <w:t xml:space="preserve">priority_band</w:t>
      </w:r>
      <w:r>
        <w:t xml:space="preserve"> defaults to P4; a patient link that does not resolve scores 5, not an error.</w:t>
      </w:r>
    </w:p>
    <w:p>
      <w:pPr>
        <w:pStyle w:val="Heading2"/>
        <w:spacing w:after="120" w:before="260"/>
      </w:pPr>
      <w:r>
        <w:t xml:space="preserve">4. Expedited slots</w:t>
      </w:r>
    </w:p>
    <w:p>
      <w:pPr>
        <w:spacing w:after="120"/>
      </w:pPr>
      <w:r>
        <w:rPr>
          <w:rFonts w:ascii="Consolas" w:cs="Consolas" w:eastAsia="Consolas" w:hAnsi="Consolas"/>
          <w:sz w:val="19"/>
          <w:szCs w:val="19"/>
        </w:rPr>
        <w:t xml:space="preserve">getEligibleExpeditedSlots(pathway)</w:t>
      </w:r>
      <w:r>
        <w:t xml:space="preserve"> returns the clinics in the pathway's own specialty whose </w:t>
      </w:r>
      <w:r>
        <w:rPr>
          <w:rFonts w:ascii="Consolas" w:cs="Consolas" w:eastAsia="Consolas" w:hAnsi="Consolas"/>
          <w:sz w:val="19"/>
          <w:szCs w:val="19"/>
        </w:rPr>
        <w:t xml:space="preserve">weekly_capacity</w:t>
      </w:r>
      <w:r>
        <w:t xml:space="preserve"> is </w:t>
      </w:r>
      <w:r>
        <w:rPr>
          <w:b/>
          <w:bCs/>
        </w:rPr>
        <w:t xml:space="preserve">strictly greater than that of the clinic the pathway is currently booked into</w:t>
      </w:r>
      <w:r>
        <w:t xml:space="preserve">. It returns an object set, not an array.</w:t>
      </w:r>
    </w:p>
    <w:p>
      <w:pPr>
        <w:spacing w:after="120"/>
      </w:pPr>
      <w:r>
        <w:t xml:space="preserve">That rule forces you to read the current clinic before you can filter, which is the point. Expect the answer to be empty for some pathways — roughly a third of them — and expect the UI to say so rather than break.</w:t>
      </w:r>
    </w:p>
    <w:p>
      <w:pPr>
        <w:pStyle w:val="Heading2"/>
        <w:spacing w:after="120" w:before="260"/>
      </w:pPr>
      <w:r>
        <w:t xml:space="preserve">5. Information governance</w:t>
      </w:r>
    </w:p>
    <w:p>
      <w:pPr>
        <w:pStyle w:val="ListParagraph"/>
        <w:numPr>
          <w:ilvl w:val="0"/>
          <w:numId w:val="2"/>
        </w:numPr>
        <w:spacing w:after="60"/>
      </w:pPr>
      <w:r>
        <w:rPr>
          <w:b/>
          <w:bCs/>
        </w:rPr>
        <w:t xml:space="preserve">Marking.</w:t>
      </w:r>
      <w:r>
        <w:t xml:space="preserve"> Apply the provided </w:t>
      </w:r>
      <w:r>
        <w:rPr>
          <w:rFonts w:ascii="Consolas" w:cs="Consolas" w:eastAsia="Consolas" w:hAnsi="Consolas"/>
          <w:sz w:val="19"/>
          <w:szCs w:val="19"/>
        </w:rPr>
        <w:t xml:space="preserve">RESTRICTED_PII</w:t>
      </w:r>
      <w:r>
        <w:t xml:space="preserve"> marking to the Datasource-tier </w:t>
      </w:r>
      <w:r>
        <w:rPr>
          <w:rFonts w:ascii="Consolas" w:cs="Consolas" w:eastAsia="Consolas" w:hAnsi="Consolas"/>
          <w:sz w:val="19"/>
          <w:szCs w:val="19"/>
        </w:rPr>
        <w:t xml:space="preserve">patients_raw</w:t>
      </w:r>
      <w:r>
        <w:t xml:space="preserve"> dataset and confirm in Data Lineage that it propagates through the transform.</w:t>
      </w:r>
    </w:p>
    <w:p>
      <w:pPr>
        <w:pStyle w:val="ListParagraph"/>
        <w:numPr>
          <w:ilvl w:val="0"/>
          <w:numId w:val="2"/>
        </w:numPr>
        <w:spacing w:after="60"/>
      </w:pPr>
      <w:r>
        <w:rPr>
          <w:b/>
          <w:bCs/>
        </w:rPr>
        <w:t xml:space="preserve">Masking happens in the Transform tier, not in the restricted view.</w:t>
      </w:r>
      <w:r>
        <w:t xml:space="preserve"> Restricted views filter rows; they do not mask columns, and they do not cover the read path your functions use. So do not carry </w:t>
      </w:r>
      <w:r>
        <w:rPr>
          <w:rFonts w:ascii="Consolas" w:cs="Consolas" w:eastAsia="Consolas" w:hAnsi="Consolas"/>
          <w:sz w:val="19"/>
          <w:szCs w:val="19"/>
        </w:rPr>
        <w:t xml:space="preserve">dob</w:t>
      </w:r>
      <w:r>
        <w:t xml:space="preserve"> into the Ontology at all — emit </w:t>
      </w:r>
      <w:r>
        <w:rPr>
          <w:rFonts w:ascii="Consolas" w:cs="Consolas" w:eastAsia="Consolas" w:hAnsi="Consolas"/>
          <w:sz w:val="19"/>
          <w:szCs w:val="19"/>
        </w:rPr>
        <w:t xml:space="preserve">birth_year</w:t>
      </w:r>
      <w:r>
        <w:t xml:space="preserve"> instead — and do not expose the raw NHS number to non-clinical reviewers; emit a hashed </w:t>
      </w:r>
      <w:r>
        <w:rPr>
          <w:rFonts w:ascii="Consolas" w:cs="Consolas" w:eastAsia="Consolas" w:hAnsi="Consolas"/>
          <w:sz w:val="19"/>
          <w:szCs w:val="19"/>
        </w:rPr>
        <w:t xml:space="preserve">patient_ref</w:t>
      </w:r>
      <w:r>
        <w:t xml:space="preserve"> alongside it.</w:t>
      </w:r>
    </w:p>
    <w:p>
      <w:pPr>
        <w:pStyle w:val="ListParagraph"/>
        <w:numPr>
          <w:ilvl w:val="0"/>
          <w:numId w:val="2"/>
        </w:numPr>
        <w:spacing w:after="60"/>
      </w:pPr>
      <w:r>
        <w:rPr>
          <w:b/>
          <w:bCs/>
        </w:rPr>
        <w:t xml:space="preserve">Restricted view.</w:t>
      </w:r>
      <w:r>
        <w:t xml:space="preserve"> Build one, </w:t>
      </w:r>
      <w:r>
        <w:rPr>
          <w:rFonts w:ascii="Consolas" w:cs="Consolas" w:eastAsia="Consolas" w:hAnsi="Consolas"/>
          <w:sz w:val="19"/>
          <w:szCs w:val="19"/>
        </w:rPr>
        <w:t xml:space="preserve">/Ontology/rv_clean_patients</w:t>
      </w:r>
      <w:r>
        <w:t xml:space="preserve">, with a single row-level rule excluding </w:t>
      </w:r>
      <w:r>
        <w:rPr>
          <w:rFonts w:ascii="Consolas" w:cs="Consolas" w:eastAsia="Consolas" w:hAnsi="Consolas"/>
          <w:sz w:val="19"/>
          <w:szCs w:val="19"/>
        </w:rPr>
        <w:t xml:space="preserve">sensitive_care_flag = TRUE</w:t>
      </w:r>
      <w:r>
        <w:t xml:space="preserve">. Back the Patient object type on it.</w:t>
      </w:r>
    </w:p>
    <w:p>
      <w:pPr>
        <w:pStyle w:val="ListParagraph"/>
        <w:numPr>
          <w:ilvl w:val="0"/>
          <w:numId w:val="2"/>
        </w:numPr>
        <w:spacing w:after="60"/>
      </w:pPr>
      <w:r>
        <w:rPr>
          <w:b/>
          <w:bCs/>
        </w:rPr>
        <w:t xml:space="preserve">Action permissions.</w:t>
      </w:r>
      <w:r>
        <w:t xml:space="preserve"> Restrict submission of Validate RTT Pathway to the provided </w:t>
      </w:r>
      <w:r>
        <w:rPr>
          <w:rFonts w:ascii="Consolas" w:cs="Consolas" w:eastAsia="Consolas" w:hAnsi="Consolas"/>
          <w:sz w:val="19"/>
          <w:szCs w:val="19"/>
        </w:rPr>
        <w:t xml:space="preserve">RTT_Validation_Team</w:t>
      </w:r>
      <w:r>
        <w:t xml:space="preserve"> group. Everyone else can see pathways but cannot change a clinical priority.</w:t>
      </w:r>
    </w:p>
    <w:p>
      <w:pPr>
        <w:pStyle w:val="Heading2"/>
        <w:spacing w:after="120" w:before="260"/>
      </w:pPr>
      <w:r>
        <w:t xml:space="preserve">6. Five-day plan</w:t>
      </w:r>
    </w:p>
    <w:p>
      <w:pPr>
        <w:pStyle w:val="Heading3"/>
        <w:spacing w:after="100" w:before="200"/>
      </w:pPr>
      <w:r>
        <w:t xml:space="preserve">Day 1 — Pipeline and cleaning (required)</w:t>
      </w:r>
    </w:p>
    <w:p>
      <w:pPr>
        <w:pStyle w:val="ListParagraph"/>
        <w:numPr>
          <w:ilvl w:val="0"/>
          <w:numId w:val="2"/>
        </w:numPr>
        <w:spacing w:after="60"/>
      </w:pPr>
      <w:r>
        <w:t xml:space="preserve">Ingest the three CSVs into the Datasource tier and apply the marking.</w:t>
      </w:r>
    </w:p>
    <w:p>
      <w:pPr>
        <w:pStyle w:val="ListParagraph"/>
        <w:numPr>
          <w:ilvl w:val="0"/>
          <w:numId w:val="2"/>
        </w:numPr>
        <w:spacing w:after="60"/>
      </w:pPr>
      <w:r>
        <w:t xml:space="preserve">In the Transform tier: trim keys, drop rows with a blank primary key, remove duplicates, normalise </w:t>
      </w:r>
      <w:r>
        <w:rPr>
          <w:rFonts w:ascii="Consolas" w:cs="Consolas" w:eastAsia="Consolas" w:hAnsi="Consolas"/>
          <w:sz w:val="19"/>
          <w:szCs w:val="19"/>
        </w:rPr>
        <w:t xml:space="preserve">clock_status</w:t>
      </w:r>
      <w:r>
        <w:t xml:space="preserve"> casing, default a missing </w:t>
      </w:r>
      <w:r>
        <w:rPr>
          <w:rFonts w:ascii="Consolas" w:cs="Consolas" w:eastAsia="Consolas" w:hAnsi="Consolas"/>
          <w:sz w:val="19"/>
          <w:szCs w:val="19"/>
        </w:rPr>
        <w:t xml:space="preserve">priority_band</w:t>
      </w:r>
      <w:r>
        <w:t xml:space="preserve"> to P4 and a missing </w:t>
      </w:r>
      <w:r>
        <w:rPr>
          <w:rFonts w:ascii="Consolas" w:cs="Consolas" w:eastAsia="Consolas" w:hAnsi="Consolas"/>
          <w:sz w:val="19"/>
          <w:szCs w:val="19"/>
        </w:rPr>
        <w:t xml:space="preserve">risk_category</w:t>
      </w:r>
      <w:r>
        <w:t xml:space="preserve"> to Low.</w:t>
      </w:r>
    </w:p>
    <w:p>
      <w:pPr>
        <w:pStyle w:val="ListParagraph"/>
        <w:numPr>
          <w:ilvl w:val="0"/>
          <w:numId w:val="2"/>
        </w:numPr>
        <w:spacing w:after="60"/>
      </w:pPr>
      <w:r>
        <w:t xml:space="preserve">Emit </w:t>
      </w:r>
      <w:r>
        <w:rPr>
          <w:rFonts w:ascii="Consolas" w:cs="Consolas" w:eastAsia="Consolas" w:hAnsi="Consolas"/>
          <w:sz w:val="19"/>
          <w:szCs w:val="19"/>
        </w:rPr>
        <w:t xml:space="preserve">birth_year</w:t>
      </w:r>
      <w:r>
        <w:t xml:space="preserve"> and </w:t>
      </w:r>
      <w:r>
        <w:rPr>
          <w:rFonts w:ascii="Consolas" w:cs="Consolas" w:eastAsia="Consolas" w:hAnsi="Consolas"/>
          <w:sz w:val="19"/>
          <w:szCs w:val="19"/>
        </w:rPr>
        <w:t xml:space="preserve">patient_ref</w:t>
      </w:r>
      <w:r>
        <w:t xml:space="preserve">; do not carry </w:t>
      </w:r>
      <w:r>
        <w:rPr>
          <w:rFonts w:ascii="Consolas" w:cs="Consolas" w:eastAsia="Consolas" w:hAnsi="Consolas"/>
          <w:sz w:val="19"/>
          <w:szCs w:val="19"/>
        </w:rPr>
        <w:t xml:space="preserve">dob</w:t>
      </w:r>
      <w:r>
        <w:t xml:space="preserve"> or the raw identifier forward.</w:t>
      </w:r>
    </w:p>
    <w:p>
      <w:pPr>
        <w:pStyle w:val="ListParagraph"/>
        <w:numPr>
          <w:ilvl w:val="0"/>
          <w:numId w:val="2"/>
        </w:numPr>
        <w:spacing w:after="60"/>
      </w:pPr>
      <w:r>
        <w:t xml:space="preserve">Derive </w:t>
      </w:r>
      <w:r>
        <w:rPr>
          <w:rFonts w:ascii="Consolas" w:cs="Consolas" w:eastAsia="Consolas" w:hAnsi="Consolas"/>
          <w:sz w:val="19"/>
          <w:szCs w:val="19"/>
        </w:rPr>
        <w:t xml:space="preserve">target_breach_date</w:t>
      </w:r>
      <w:r>
        <w:t xml:space="preserve"> as </w:t>
      </w:r>
      <w:r>
        <w:rPr>
          <w:rFonts w:ascii="Consolas" w:cs="Consolas" w:eastAsia="Consolas" w:hAnsi="Consolas"/>
          <w:sz w:val="19"/>
          <w:szCs w:val="19"/>
        </w:rPr>
        <w:t xml:space="preserve">referral_date + 126 days</w:t>
      </w:r>
      <w:r>
        <w:t xml:space="preserve">. This is an anchor, not an elapsed duration, so it is legitimate to store.</w:t>
      </w:r>
    </w:p>
    <w:p>
      <w:pPr>
        <w:pStyle w:val="ListParagraph"/>
        <w:numPr>
          <w:ilvl w:val="0"/>
          <w:numId w:val="2"/>
        </w:numPr>
        <w:spacing w:after="60"/>
      </w:pPr>
      <w:r>
        <w:rPr>
          <w:b/>
          <w:bCs/>
        </w:rPr>
        <w:t xml:space="preserve">Self-check:</w:t>
      </w:r>
      <w:r>
        <w:t xml:space="preserve"> report your row count before and after cleaning, and be ready to say what the difference is made of. A pipeline that silently drops rows is a pipeline nobody can trust.</w:t>
      </w:r>
    </w:p>
    <w:p>
      <w:pPr>
        <w:spacing w:after="120"/>
      </w:pPr>
      <w:r>
        <w:t xml:space="preserve">Optional: a 7-day rolling referral velocity per specialty. Note that a rolling window needs a grain to roll over — aggregate to one row per specialty per day first, then apply the window.</w:t>
      </w:r>
    </w:p>
    <w:p>
      <w:pPr>
        <w:pStyle w:val="Heading3"/>
        <w:spacing w:after="100" w:before="200"/>
      </w:pPr>
      <w:r>
        <w:t xml:space="preserve">Day 2 — Ontology (required)</w:t>
      </w:r>
    </w:p>
    <w:p>
      <w:pPr>
        <w:pStyle w:val="ListParagraph"/>
        <w:numPr>
          <w:ilvl w:val="0"/>
          <w:numId w:val="2"/>
        </w:numPr>
        <w:spacing w:after="60"/>
      </w:pPr>
      <w:r>
        <w:t xml:space="preserve">Object types: </w:t>
      </w:r>
      <w:r>
        <w:rPr>
          <w:b/>
          <w:bCs/>
        </w:rPr>
        <w:t xml:space="preserve">RTT Pathway</w:t>
      </w:r>
      <w:r>
        <w:t xml:space="preserve">, </w:t>
      </w:r>
      <w:r>
        <w:rPr>
          <w:b/>
          <w:bCs/>
        </w:rPr>
        <w:t xml:space="preserve">Patient</w:t>
      </w:r>
      <w:r>
        <w:t xml:space="preserve">, </w:t>
      </w:r>
      <w:r>
        <w:rPr>
          <w:b/>
          <w:bCs/>
        </w:rPr>
        <w:t xml:space="preserve">Clinic</w:t>
      </w:r>
      <w:r>
        <w:t xml:space="preserve">. Note that Clinic is keyed by </w:t>
      </w:r>
      <w:r>
        <w:rPr>
          <w:rFonts w:ascii="Consolas" w:cs="Consolas" w:eastAsia="Consolas" w:hAnsi="Consolas"/>
          <w:sz w:val="19"/>
          <w:szCs w:val="19"/>
        </w:rPr>
        <w:t xml:space="preserve">clinic_id</w:t>
      </w:r>
      <w:r>
        <w:t xml:space="preserve">, not by specialty — there are three per specialty.</w:t>
      </w:r>
    </w:p>
    <w:p>
      <w:pPr>
        <w:pStyle w:val="ListParagraph"/>
        <w:numPr>
          <w:ilvl w:val="0"/>
          <w:numId w:val="2"/>
        </w:numPr>
        <w:spacing w:after="60"/>
      </w:pPr>
      <w:r>
        <w:t xml:space="preserve">Links: Patient 1—N RTT Pathway, Clinic 1—N RTT Pathway. Name both directions so they read as English in Workshop.</w:t>
      </w:r>
    </w:p>
    <w:p>
      <w:pPr>
        <w:pStyle w:val="ListParagraph"/>
        <w:numPr>
          <w:ilvl w:val="0"/>
          <w:numId w:val="2"/>
        </w:numPr>
        <w:spacing w:after="60"/>
      </w:pPr>
      <w:r>
        <w:t xml:space="preserve">Back Patient on the restricted view. Confirm in Data Lineage that the object type node connects to the restricted view and nothing else.</w:t>
      </w:r>
    </w:p>
    <w:p>
      <w:pPr>
        <w:pStyle w:val="ListParagraph"/>
        <w:numPr>
          <w:ilvl w:val="0"/>
          <w:numId w:val="2"/>
        </w:numPr>
        <w:spacing w:after="60"/>
      </w:pPr>
      <w:r>
        <w:t xml:space="preserve">Carry only the properties the application needs. Mapping every raw column is a deduction, not a safety net.</w:t>
      </w:r>
    </w:p>
    <w:p>
      <w:pPr>
        <w:pBdr>
          <w:left w:val="single" w:color="4472C4" w:sz="18" w:space="12"/>
        </w:pBdr>
        <w:spacing w:after="160" w:before="120"/>
        <w:ind w:left="220"/>
      </w:pPr>
      <w:r>
        <w:rPr>
          <w:b/>
          <w:bCs/>
        </w:rPr>
        <w:t xml:space="preserve">Investigation (timeboxed to one hour):  </w:t>
      </w:r>
      <w:r>
        <w:t xml:space="preserve">can </w:t>
      </w:r>
      <w:r>
        <w:rPr>
          <w:rFonts w:ascii="Consolas" w:cs="Consolas" w:eastAsia="Consolas" w:hAnsi="Consolas"/>
          <w:sz w:val="19"/>
          <w:szCs w:val="19"/>
        </w:rPr>
        <w:t xml:space="preserve">weeksWaiting</w:t>
      </w:r>
      <w:r>
        <w:t xml:space="preserve"> — weeks elapsed since referral — be expressed as an Ontology derived property? Derived properties are documented as aggregations over linked objects; we have not found anything documenting access to the current time. Establish an answer from the documentation and your tenant, then move on: if it cannot, back it with a function and say so on Day 5. We are marking how you establish a platform limit, not which answer you reach.</w:t>
      </w:r>
    </w:p>
    <w:p>
      <w:pPr>
        <w:pStyle w:val="Heading3"/>
        <w:spacing w:after="100" w:before="200"/>
      </w:pPr>
      <w:r>
        <w:t xml:space="preserve">Day 3 — Functions and the action (required)</w:t>
      </w:r>
    </w:p>
    <w:p>
      <w:pPr>
        <w:pStyle w:val="ListParagraph"/>
        <w:numPr>
          <w:ilvl w:val="0"/>
          <w:numId w:val="2"/>
        </w:numPr>
        <w:spacing w:after="60"/>
      </w:pPr>
      <w:r>
        <w:rPr>
          <w:rFonts w:ascii="Consolas" w:cs="Consolas" w:eastAsia="Consolas" w:hAnsi="Consolas"/>
          <w:sz w:val="19"/>
          <w:szCs w:val="19"/>
        </w:rPr>
        <w:t xml:space="preserve">calculateBreachRiskScore(pathway)</w:t>
      </w:r>
      <w:r>
        <w:t xml:space="preserve"> returning an integer, with safe link dereferencing.</w:t>
      </w:r>
    </w:p>
    <w:p>
      <w:pPr>
        <w:pStyle w:val="ListParagraph"/>
        <w:numPr>
          <w:ilvl w:val="0"/>
          <w:numId w:val="2"/>
        </w:numPr>
        <w:spacing w:after="60"/>
      </w:pPr>
      <w:r>
        <w:rPr>
          <w:rFonts w:ascii="Consolas" w:cs="Consolas" w:eastAsia="Consolas" w:hAnsi="Consolas"/>
          <w:sz w:val="19"/>
          <w:szCs w:val="19"/>
        </w:rPr>
        <w:t xml:space="preserve">getEligibleExpeditedSlots(pathway)</w:t>
      </w:r>
      <w:r>
        <w:t xml:space="preserve"> returning </w:t>
      </w:r>
      <w:r>
        <w:rPr>
          <w:rFonts w:ascii="Consolas" w:cs="Consolas" w:eastAsia="Consolas" w:hAnsi="Consolas"/>
          <w:sz w:val="19"/>
          <w:szCs w:val="19"/>
        </w:rPr>
        <w:t xml:space="preserve">ObjectSet&lt;Clinic&gt;</w:t>
      </w:r>
      <w:r>
        <w:t xml:space="preserve">.</w:t>
      </w:r>
    </w:p>
    <w:p>
      <w:pPr>
        <w:pStyle w:val="ListParagraph"/>
        <w:numPr>
          <w:ilvl w:val="0"/>
          <w:numId w:val="2"/>
        </w:numPr>
        <w:spacing w:after="60"/>
      </w:pPr>
      <w:r>
        <w:t xml:space="preserve">Unit tests covering the boundaries: exactly 18.0 weeks, a null referral date, a missing priority band, an unresolvable patient link.</w:t>
      </w:r>
    </w:p>
    <w:p>
      <w:pPr>
        <w:pStyle w:val="ListParagraph"/>
        <w:numPr>
          <w:ilvl w:val="0"/>
          <w:numId w:val="2"/>
        </w:numPr>
        <w:spacing w:after="60"/>
      </w:pPr>
      <w:r>
        <w:t xml:space="preserve">Action type </w:t>
      </w:r>
      <w:r>
        <w:rPr>
          <w:b/>
          <w:bCs/>
        </w:rPr>
        <w:t xml:space="preserve">Validate RTT Pathway</w:t>
      </w:r>
      <w:r>
        <w:t xml:space="preserve">: sets </w:t>
      </w:r>
      <w:r>
        <w:rPr>
          <w:rFonts w:ascii="Consolas" w:cs="Consolas" w:eastAsia="Consolas" w:hAnsi="Consolas"/>
          <w:sz w:val="19"/>
          <w:szCs w:val="19"/>
        </w:rPr>
        <w:t xml:space="preserve">validated_flag</w:t>
      </w:r>
      <w:r>
        <w:t xml:space="preserve">, </w:t>
      </w:r>
      <w:r>
        <w:rPr>
          <w:rFonts w:ascii="Consolas" w:cs="Consolas" w:eastAsia="Consolas" w:hAnsi="Consolas"/>
          <w:sz w:val="19"/>
          <w:szCs w:val="19"/>
        </w:rPr>
        <w:t xml:space="preserve">priority_band</w:t>
      </w:r>
      <w:r>
        <w:t xml:space="preserve"> and a validation note in one submission. Add submission criteria that block submitting against an already-validated pathway or a PAUSED clock. Restrict submission to the provided group.</w:t>
      </w:r>
    </w:p>
    <w:p>
      <w:pPr>
        <w:pBdr>
          <w:left w:val="single" w:color="4472C4" w:sz="18" w:space="12"/>
        </w:pBdr>
        <w:spacing w:after="160" w:before="120"/>
        <w:ind w:left="220"/>
      </w:pPr>
      <w:r>
        <w:rPr>
          <w:b/>
          <w:bCs/>
        </w:rPr>
        <w:t xml:space="preserve">Naming:  </w:t>
      </w:r>
      <w:r>
        <w:t xml:space="preserve">these are validation guards, not concurrency controls. Submission criteria are documented as the conditions under which an action may be submitted; the documentation makes no claim about race conditions, and neither should you.</w:t>
      </w:r>
    </w:p>
    <w:p>
      <w:pPr>
        <w:pStyle w:val="Heading3"/>
        <w:spacing w:after="100" w:before="200"/>
      </w:pPr>
      <w:r>
        <w:t xml:space="preserve">Day 4 — Workshop (required)</w:t>
      </w:r>
    </w:p>
    <w:p>
      <w:pPr>
        <w:pStyle w:val="ListParagraph"/>
        <w:numPr>
          <w:ilvl w:val="0"/>
          <w:numId w:val="2"/>
        </w:numPr>
        <w:spacing w:after="60"/>
      </w:pPr>
      <w:r>
        <w:t xml:space="preserve">One tab. Filter, then table, then detail panel, then action button.</w:t>
      </w:r>
    </w:p>
    <w:p>
      <w:pPr>
        <w:pStyle w:val="ListParagraph"/>
        <w:numPr>
          <w:ilvl w:val="0"/>
          <w:numId w:val="2"/>
        </w:numPr>
        <w:spacing w:after="60"/>
      </w:pPr>
      <w:r>
        <w:t xml:space="preserve">The queue lists unvalidated active pathways with the risk score and a relative waiting duration. Render the duration as a duration; confirm what your Workshop version actually produces before you design around a particular format.</w:t>
      </w:r>
    </w:p>
    <w:p>
      <w:pPr>
        <w:pStyle w:val="ListParagraph"/>
        <w:numPr>
          <w:ilvl w:val="0"/>
          <w:numId w:val="2"/>
        </w:numPr>
        <w:spacing w:after="60"/>
      </w:pPr>
      <w:r>
        <w:t xml:space="preserve">Selecting a row drives the detail panel. Submitting the action refreshes the table.</w:t>
      </w:r>
    </w:p>
    <w:p>
      <w:pPr>
        <w:pStyle w:val="ListParagraph"/>
        <w:numPr>
          <w:ilvl w:val="0"/>
          <w:numId w:val="2"/>
        </w:numPr>
        <w:spacing w:after="60"/>
      </w:pPr>
      <w:r>
        <w:t xml:space="preserve">Show the expedited-slot list in the detail panel, including its empty state.</w:t>
      </w:r>
    </w:p>
    <w:p>
      <w:pPr>
        <w:pStyle w:val="Heading3"/>
        <w:spacing w:after="100" w:before="200"/>
      </w:pPr>
      <w:r>
        <w:t xml:space="preserve">Day 5 — Review</w:t>
      </w:r>
    </w:p>
    <w:p>
      <w:pPr>
        <w:pStyle w:val="ListParagraph"/>
        <w:numPr>
          <w:ilvl w:val="0"/>
          <w:numId w:val="2"/>
        </w:numPr>
        <w:spacing w:after="60"/>
      </w:pPr>
      <w:r>
        <w:t xml:space="preserve">One embedded Quiver analysis: backlog by waiting cohort (under 6 weeks, 6–12, 12–18, over 18).</w:t>
      </w:r>
    </w:p>
    <w:p>
      <w:pPr>
        <w:pStyle w:val="ListParagraph"/>
        <w:numPr>
          <w:ilvl w:val="0"/>
          <w:numId w:val="2"/>
        </w:numPr>
        <w:spacing w:after="60"/>
      </w:pPr>
      <w:r>
        <w:t xml:space="preserve">Walk your lineage in Data Lineage.</w:t>
      </w:r>
    </w:p>
    <w:p>
      <w:pPr>
        <w:pStyle w:val="ListParagraph"/>
        <w:numPr>
          <w:ilvl w:val="0"/>
          <w:numId w:val="2"/>
        </w:numPr>
        <w:spacing w:after="60"/>
      </w:pPr>
      <w:r>
        <w:t xml:space="preserve">Ten-minute demonstration and questions.</w:t>
      </w:r>
    </w:p>
    <w:p>
      <w:pPr>
        <w:spacing w:after="120"/>
      </w:pPr>
      <w:r>
        <w:t xml:space="preserve">Optional, if you have time: weeks to clear the backlog per specialty, backlog divided by total weekly capacity across that specialty's clinics. Three specialties are over twenty weeks. Compute it on cleaned rows — deduplication moves the answer.</w:t>
      </w:r>
    </w:p>
    <w:p>
      <w:r>
        <w:br w:type="page"/>
      </w:r>
    </w:p>
    <w:p>
      <w:pPr>
        <w:pStyle w:val="Heading1"/>
        <w:spacing w:after="160" w:before="320"/>
      </w:pPr>
      <w:r>
        <w:t xml:space="preserve">Project 2 — Emergency department flow and bed allocation</w:t>
      </w:r>
    </w:p>
    <w:p>
      <w:pPr>
        <w:pStyle w:val="Heading2"/>
        <w:spacing w:after="120" w:before="260"/>
      </w:pPr>
      <w:r>
        <w:t xml:space="preserve">1. Operational context</w:t>
      </w:r>
    </w:p>
    <w:p>
      <w:pPr>
        <w:spacing w:after="120"/>
      </w:pPr>
      <w:r>
        <w:t xml:space="preserve">Emergency departments work to the four-hour standard: 95% of patients admitted, transferred or discharged within 240 minutes. When a clinician records a decision to admit, a bed manager has to find a compatible acute bed. Compatible means four things at once — the bed is free, the ward matches the specialty, infection control is satisfied, and the single-sex accommodation standard is met.</w:t>
      </w:r>
    </w:p>
    <w:p>
      <w:pPr>
        <w:spacing w:after="120"/>
      </w:pPr>
      <w:r>
        <w:t xml:space="preserve">You are building the bed board those managers work from. There are two hospital sites and a manager only ever works one of them.</w:t>
      </w:r>
    </w:p>
    <w:p>
      <w:pPr>
        <w:pStyle w:val="Heading2"/>
        <w:spacing w:after="120" w:before="260"/>
      </w:pPr>
      <w:r>
        <w:t xml:space="preserve">2. The data</w:t>
      </w:r>
    </w:p>
    <w:p>
      <w:pPr>
        <w:spacing w:after="120"/>
      </w:pPr>
      <w:r>
        <w:t xml:space="preserve">Three files in </w:t>
      </w:r>
      <w:r>
        <w:rPr>
          <w:rFonts w:ascii="Consolas" w:cs="Consolas" w:eastAsia="Consolas" w:hAnsi="Consolas"/>
          <w:sz w:val="19"/>
          <w:szCs w:val="19"/>
        </w:rPr>
        <w:t xml:space="preserve">project_2_ed_flow/</w:t>
      </w:r>
      <w:r>
        <w:t xml:space="preserve">. The attendance feed is a </w:t>
      </w:r>
      <w:r>
        <w:rPr>
          <w:b/>
          <w:bCs/>
        </w:rPr>
        <w:t xml:space="preserve">change data capture event stream</w:t>
      </w:r>
      <w:r>
        <w:t xml:space="preserve">: two to four rows per attendance, one per clinical state change, and the file is shuffled so its row order carries no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5991"/>
      </w:tblGrid>
      <w:tr>
        <w:trPr>
          <w:tblHeader/>
        </w:trPr>
        <w:tc>
          <w:tcPr>
            <w:tcW w:type="dxa" w:w="2246"/>
            <w:shd w:fill="E8EDF5" w:val="clear"/>
            <w:tcMar>
              <w:top w:type="dxa" w:w="60"/>
              <w:left w:type="dxa" w:w="90"/>
              <w:bottom w:type="dxa" w:w="60"/>
              <w:right w:type="dxa" w:w="90"/>
            </w:tcMar>
          </w:tcPr>
          <w:p>
            <w:pPr>
              <w:spacing w:after="0"/>
            </w:pPr>
            <w:r>
              <w:rPr>
                <w:b/>
                <w:bCs/>
                <w:sz w:val="19"/>
                <w:szCs w:val="19"/>
              </w:rPr>
              <w:t xml:space="preserve">File</w:t>
            </w:r>
          </w:p>
        </w:tc>
        <w:tc>
          <w:tcPr>
            <w:tcW w:type="dxa" w:w="1123"/>
            <w:shd w:fill="E8EDF5" w:val="clear"/>
            <w:tcMar>
              <w:top w:type="dxa" w:w="60"/>
              <w:left w:type="dxa" w:w="90"/>
              <w:bottom w:type="dxa" w:w="60"/>
              <w:right w:type="dxa" w:w="90"/>
            </w:tcMar>
          </w:tcPr>
          <w:p>
            <w:pPr>
              <w:spacing w:after="0"/>
            </w:pPr>
            <w:r>
              <w:rPr>
                <w:b/>
                <w:bCs/>
                <w:sz w:val="19"/>
                <w:szCs w:val="19"/>
              </w:rPr>
              <w:t xml:space="preserve">Rows</w:t>
            </w:r>
          </w:p>
        </w:tc>
        <w:tc>
          <w:tcPr>
            <w:tcW w:type="dxa" w:w="5991"/>
            <w:shd w:fill="E8EDF5" w:val="clear"/>
            <w:tcMar>
              <w:top w:type="dxa" w:w="60"/>
              <w:left w:type="dxa" w:w="90"/>
              <w:bottom w:type="dxa" w:w="60"/>
              <w:right w:type="dxa" w:w="90"/>
            </w:tcMar>
          </w:tcPr>
          <w:p>
            <w:pPr>
              <w:spacing w:after="0"/>
            </w:pPr>
            <w:r>
              <w:rPr>
                <w:b/>
                <w:bCs/>
                <w:sz w:val="19"/>
                <w:szCs w:val="19"/>
              </w:rPr>
              <w:t xml:space="preserve">Notes</w:t>
            </w:r>
          </w:p>
        </w:tc>
      </w:tr>
      <w:tr>
        <w:tc>
          <w:tcPr>
            <w:tcW w:type="dxa" w:w="2246"/>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ed_attendance_events.csv</w:t>
            </w:r>
          </w:p>
        </w:tc>
        <w:tc>
          <w:tcPr>
            <w:tcW w:type="dxa" w:w="1123"/>
            <w:tcMar>
              <w:top w:type="dxa" w:w="60"/>
              <w:left w:type="dxa" w:w="90"/>
              <w:bottom w:type="dxa" w:w="60"/>
              <w:right w:type="dxa" w:w="90"/>
            </w:tcMar>
          </w:tcPr>
          <w:p>
            <w:pPr>
              <w:spacing w:after="0"/>
            </w:pPr>
            <w:r>
              <w:rPr>
                <w:b w:val="false"/>
                <w:bCs w:val="false"/>
                <w:sz w:val="19"/>
                <w:szCs w:val="19"/>
              </w:rPr>
              <w:t xml:space="preserve">1,317 raw</w:t>
            </w:r>
          </w:p>
        </w:tc>
        <w:tc>
          <w:tcPr>
            <w:tcW w:type="dxa" w:w="599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event_id</w:t>
            </w:r>
            <w:r>
              <w:rPr>
                <w:b w:val="false"/>
                <w:bCs w:val="false"/>
                <w:sz w:val="19"/>
                <w:szCs w:val="19"/>
              </w:rPr>
              <w:t xml:space="preserve"> (primary key), </w:t>
            </w:r>
            <w:r>
              <w:rPr>
                <w:rFonts w:ascii="Consolas" w:cs="Consolas" w:eastAsia="Consolas" w:hAnsi="Consolas"/>
                <w:b w:val="false"/>
                <w:bCs w:val="false"/>
                <w:sz w:val="19"/>
                <w:szCs w:val="19"/>
              </w:rPr>
              <w:t xml:space="preserve">attendance_id</w:t>
            </w:r>
            <w:r>
              <w:rPr>
                <w:b w:val="false"/>
                <w:bCs w:val="false"/>
                <w:sz w:val="19"/>
                <w:szCs w:val="19"/>
              </w:rPr>
              <w:t xml:space="preserve">, </w:t>
            </w:r>
            <w:r>
              <w:rPr>
                <w:rFonts w:ascii="Consolas" w:cs="Consolas" w:eastAsia="Consolas" w:hAnsi="Consolas"/>
                <w:b w:val="false"/>
                <w:bCs w:val="false"/>
                <w:sz w:val="19"/>
                <w:szCs w:val="19"/>
              </w:rPr>
              <w:t xml:space="preserve">event_timestamp</w:t>
            </w:r>
            <w:r>
              <w:rPr>
                <w:b w:val="false"/>
                <w:bCs w:val="false"/>
                <w:sz w:val="19"/>
                <w:szCs w:val="19"/>
              </w:rPr>
              <w:t xml:space="preserve">, </w:t>
            </w:r>
            <w:r>
              <w:rPr>
                <w:rFonts w:ascii="Consolas" w:cs="Consolas" w:eastAsia="Consolas" w:hAnsi="Consolas"/>
                <w:b w:val="false"/>
                <w:bCs w:val="false"/>
                <w:sz w:val="19"/>
                <w:szCs w:val="19"/>
              </w:rPr>
              <w:t xml:space="preserve">event_type</w:t>
            </w:r>
            <w:r>
              <w:rPr>
                <w:b w:val="false"/>
                <w:bCs w:val="false"/>
                <w:sz w:val="19"/>
                <w:szCs w:val="19"/>
              </w:rPr>
              <w:t xml:space="preserve">, </w:t>
            </w:r>
            <w:r>
              <w:rPr>
                <w:rFonts w:ascii="Consolas" w:cs="Consolas" w:eastAsia="Consolas" w:hAnsi="Consolas"/>
                <w:b w:val="false"/>
                <w:bCs w:val="false"/>
                <w:sz w:val="19"/>
                <w:szCs w:val="19"/>
              </w:rPr>
              <w:t xml:space="preserve">arrival_timestamp</w:t>
            </w:r>
            <w:r>
              <w:rPr>
                <w:b w:val="false"/>
                <w:bCs w:val="false"/>
                <w:sz w:val="19"/>
                <w:szCs w:val="19"/>
              </w:rPr>
              <w:t xml:space="preserve">, </w:t>
            </w:r>
            <w:r>
              <w:rPr>
                <w:rFonts w:ascii="Consolas" w:cs="Consolas" w:eastAsia="Consolas" w:hAnsi="Consolas"/>
                <w:b w:val="false"/>
                <w:bCs w:val="false"/>
                <w:sz w:val="19"/>
                <w:szCs w:val="19"/>
              </w:rPr>
              <w:t xml:space="preserve">patient_pseudo_id</w:t>
            </w:r>
            <w:r>
              <w:rPr>
                <w:b w:val="false"/>
                <w:bCs w:val="false"/>
                <w:sz w:val="19"/>
                <w:szCs w:val="19"/>
              </w:rPr>
              <w:t xml:space="preserve">, </w:t>
            </w:r>
            <w:r>
              <w:rPr>
                <w:rFonts w:ascii="Consolas" w:cs="Consolas" w:eastAsia="Consolas" w:hAnsi="Consolas"/>
                <w:b w:val="false"/>
                <w:bCs w:val="false"/>
                <w:sz w:val="19"/>
                <w:szCs w:val="19"/>
              </w:rPr>
              <w:t xml:space="preserve">patient_sex</w:t>
            </w:r>
            <w:r>
              <w:rPr>
                <w:b w:val="false"/>
                <w:bCs w:val="false"/>
                <w:sz w:val="19"/>
                <w:szCs w:val="19"/>
              </w:rPr>
              <w:t xml:space="preserve">, </w:t>
            </w:r>
            <w:r>
              <w:rPr>
                <w:rFonts w:ascii="Consolas" w:cs="Consolas" w:eastAsia="Consolas" w:hAnsi="Consolas"/>
                <w:b w:val="false"/>
                <w:bCs w:val="false"/>
                <w:sz w:val="19"/>
                <w:szCs w:val="19"/>
              </w:rPr>
              <w:t xml:space="preserve">hospital_site_code</w:t>
            </w:r>
            <w:r>
              <w:rPr>
                <w:b w:val="false"/>
                <w:bCs w:val="false"/>
                <w:sz w:val="19"/>
                <w:szCs w:val="19"/>
              </w:rPr>
              <w:t xml:space="preserve">, </w:t>
            </w:r>
            <w:r>
              <w:rPr>
                <w:rFonts w:ascii="Consolas" w:cs="Consolas" w:eastAsia="Consolas" w:hAnsi="Consolas"/>
                <w:b w:val="false"/>
                <w:bCs w:val="false"/>
                <w:sz w:val="19"/>
                <w:szCs w:val="19"/>
              </w:rPr>
              <w:t xml:space="preserve">triage_category</w:t>
            </w:r>
            <w:r>
              <w:rPr>
                <w:b w:val="false"/>
                <w:bCs w:val="false"/>
                <w:sz w:val="19"/>
                <w:szCs w:val="19"/>
              </w:rPr>
              <w:t xml:space="preserve">, </w:t>
            </w:r>
            <w:r>
              <w:rPr>
                <w:rFonts w:ascii="Consolas" w:cs="Consolas" w:eastAsia="Consolas" w:hAnsi="Consolas"/>
                <w:b w:val="false"/>
                <w:bCs w:val="false"/>
                <w:sz w:val="19"/>
                <w:szCs w:val="19"/>
              </w:rPr>
              <w:t xml:space="preserve">chief_complaint</w:t>
            </w:r>
            <w:r>
              <w:rPr>
                <w:b w:val="false"/>
                <w:bCs w:val="false"/>
                <w:sz w:val="19"/>
                <w:szCs w:val="19"/>
              </w:rPr>
              <w:t xml:space="preserve">, </w:t>
            </w:r>
            <w:r>
              <w:rPr>
                <w:rFonts w:ascii="Consolas" w:cs="Consolas" w:eastAsia="Consolas" w:hAnsi="Consolas"/>
                <w:b w:val="false"/>
                <w:bCs w:val="false"/>
                <w:sz w:val="19"/>
                <w:szCs w:val="19"/>
              </w:rPr>
              <w:t xml:space="preserve">required_specialty</w:t>
            </w:r>
            <w:r>
              <w:rPr>
                <w:b w:val="false"/>
                <w:bCs w:val="false"/>
                <w:sz w:val="19"/>
                <w:szCs w:val="19"/>
              </w:rPr>
              <w:t xml:space="preserve">, </w:t>
            </w:r>
            <w:r>
              <w:rPr>
                <w:rFonts w:ascii="Consolas" w:cs="Consolas" w:eastAsia="Consolas" w:hAnsi="Consolas"/>
                <w:b w:val="false"/>
                <w:bCs w:val="false"/>
                <w:sz w:val="19"/>
                <w:szCs w:val="19"/>
              </w:rPr>
              <w:t xml:space="preserve">decision_to_admit_timestamp</w:t>
            </w:r>
            <w:r>
              <w:rPr>
                <w:b w:val="false"/>
                <w:bCs w:val="false"/>
                <w:sz w:val="19"/>
                <w:szCs w:val="19"/>
              </w:rPr>
              <w:t xml:space="preserve">, </w:t>
            </w:r>
            <w:r>
              <w:rPr>
                <w:rFonts w:ascii="Consolas" w:cs="Consolas" w:eastAsia="Consolas" w:hAnsi="Consolas"/>
                <w:b w:val="false"/>
                <w:bCs w:val="false"/>
                <w:sz w:val="19"/>
                <w:szCs w:val="19"/>
              </w:rPr>
              <w:t xml:space="preserve">allocated_bed_id</w:t>
            </w:r>
            <w:r>
              <w:rPr>
                <w:b w:val="false"/>
                <w:bCs w:val="false"/>
                <w:sz w:val="19"/>
                <w:szCs w:val="19"/>
              </w:rPr>
              <w:t xml:space="preserve">, </w:t>
            </w:r>
            <w:r>
              <w:rPr>
                <w:rFonts w:ascii="Consolas" w:cs="Consolas" w:eastAsia="Consolas" w:hAnsi="Consolas"/>
                <w:b w:val="false"/>
                <w:bCs w:val="false"/>
                <w:sz w:val="19"/>
                <w:szCs w:val="19"/>
              </w:rPr>
              <w:t xml:space="preserve">disposition</w:t>
            </w:r>
            <w:r>
              <w:rPr>
                <w:b w:val="false"/>
                <w:bCs w:val="false"/>
                <w:sz w:val="19"/>
                <w:szCs w:val="19"/>
              </w:rPr>
              <w:t xml:space="preserve">, </w:t>
            </w:r>
            <w:r>
              <w:rPr>
                <w:rFonts w:ascii="Consolas" w:cs="Consolas" w:eastAsia="Consolas" w:hAnsi="Consolas"/>
                <w:b w:val="false"/>
                <w:bCs w:val="false"/>
                <w:sz w:val="19"/>
                <w:szCs w:val="19"/>
              </w:rPr>
              <w:t xml:space="preserve">discharge_timestamp</w:t>
            </w:r>
            <w:r>
              <w:rPr>
                <w:b w:val="false"/>
                <w:bCs w:val="false"/>
                <w:sz w:val="19"/>
                <w:szCs w:val="19"/>
              </w:rPr>
              <w:t xml:space="preserve">, </w:t>
            </w:r>
            <w:r>
              <w:rPr>
                <w:rFonts w:ascii="Consolas" w:cs="Consolas" w:eastAsia="Consolas" w:hAnsi="Consolas"/>
                <w:b w:val="false"/>
                <w:bCs w:val="false"/>
                <w:sz w:val="19"/>
                <w:szCs w:val="19"/>
              </w:rPr>
              <w:t xml:space="preserve">is_breached</w:t>
            </w:r>
          </w:p>
        </w:tc>
      </w:tr>
      <w:tr>
        <w:tc>
          <w:tcPr>
            <w:tcW w:type="dxa" w:w="2246"/>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wards.csv</w:t>
            </w:r>
          </w:p>
        </w:tc>
        <w:tc>
          <w:tcPr>
            <w:tcW w:type="dxa" w:w="1123"/>
            <w:tcMar>
              <w:top w:type="dxa" w:w="60"/>
              <w:left w:type="dxa" w:w="90"/>
              <w:bottom w:type="dxa" w:w="60"/>
              <w:right w:type="dxa" w:w="90"/>
            </w:tcMar>
          </w:tcPr>
          <w:p>
            <w:pPr>
              <w:spacing w:after="0"/>
            </w:pPr>
            <w:r>
              <w:rPr>
                <w:b w:val="false"/>
                <w:bCs w:val="false"/>
                <w:sz w:val="19"/>
                <w:szCs w:val="19"/>
              </w:rPr>
              <w:t xml:space="preserve">8</w:t>
            </w:r>
          </w:p>
        </w:tc>
        <w:tc>
          <w:tcPr>
            <w:tcW w:type="dxa" w:w="599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ward_id</w:t>
            </w:r>
            <w:r>
              <w:rPr>
                <w:b w:val="false"/>
                <w:bCs w:val="false"/>
                <w:sz w:val="19"/>
                <w:szCs w:val="19"/>
              </w:rPr>
              <w:t xml:space="preserve">, </w:t>
            </w:r>
            <w:r>
              <w:rPr>
                <w:rFonts w:ascii="Consolas" w:cs="Consolas" w:eastAsia="Consolas" w:hAnsi="Consolas"/>
                <w:b w:val="false"/>
                <w:bCs w:val="false"/>
                <w:sz w:val="19"/>
                <w:szCs w:val="19"/>
              </w:rPr>
              <w:t xml:space="preserve">ward_name</w:t>
            </w:r>
            <w:r>
              <w:rPr>
                <w:b w:val="false"/>
                <w:bCs w:val="false"/>
                <w:sz w:val="19"/>
                <w:szCs w:val="19"/>
              </w:rPr>
              <w:t xml:space="preserve">, </w:t>
            </w:r>
            <w:r>
              <w:rPr>
                <w:rFonts w:ascii="Consolas" w:cs="Consolas" w:eastAsia="Consolas" w:hAnsi="Consolas"/>
                <w:b w:val="false"/>
                <w:bCs w:val="false"/>
                <w:sz w:val="19"/>
                <w:szCs w:val="19"/>
              </w:rPr>
              <w:t xml:space="preserve">site_code</w:t>
            </w:r>
            <w:r>
              <w:rPr>
                <w:b w:val="false"/>
                <w:bCs w:val="false"/>
                <w:sz w:val="19"/>
                <w:szCs w:val="19"/>
              </w:rPr>
              <w:t xml:space="preserve">, </w:t>
            </w:r>
            <w:r>
              <w:rPr>
                <w:rFonts w:ascii="Consolas" w:cs="Consolas" w:eastAsia="Consolas" w:hAnsi="Consolas"/>
                <w:b w:val="false"/>
                <w:bCs w:val="false"/>
                <w:sz w:val="19"/>
                <w:szCs w:val="19"/>
              </w:rPr>
              <w:t xml:space="preserve">gender_policy</w:t>
            </w:r>
            <w:r>
              <w:rPr>
                <w:b w:val="false"/>
                <w:bCs w:val="false"/>
                <w:sz w:val="19"/>
                <w:szCs w:val="19"/>
              </w:rPr>
              <w:t xml:space="preserve">, </w:t>
            </w:r>
            <w:r>
              <w:rPr>
                <w:rFonts w:ascii="Consolas" w:cs="Consolas" w:eastAsia="Consolas" w:hAnsi="Consolas"/>
                <w:b w:val="false"/>
                <w:bCs w:val="false"/>
                <w:sz w:val="19"/>
                <w:szCs w:val="19"/>
              </w:rPr>
              <w:t xml:space="preserve">specialty_type</w:t>
            </w:r>
            <w:r>
              <w:rPr>
                <w:b w:val="false"/>
                <w:bCs w:val="false"/>
                <w:sz w:val="19"/>
                <w:szCs w:val="19"/>
              </w:rPr>
              <w:t xml:space="preserve">, </w:t>
            </w:r>
            <w:r>
              <w:rPr>
                <w:rFonts w:ascii="Consolas" w:cs="Consolas" w:eastAsia="Consolas" w:hAnsi="Consolas"/>
                <w:b w:val="false"/>
                <w:bCs w:val="false"/>
                <w:sz w:val="19"/>
                <w:szCs w:val="19"/>
              </w:rPr>
              <w:t xml:space="preserve">total_beds</w:t>
            </w:r>
          </w:p>
        </w:tc>
      </w:tr>
      <w:tr>
        <w:tc>
          <w:tcPr>
            <w:tcW w:type="dxa" w:w="2246"/>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hospital_beds.csv</w:t>
            </w:r>
          </w:p>
        </w:tc>
        <w:tc>
          <w:tcPr>
            <w:tcW w:type="dxa" w:w="1123"/>
            <w:tcMar>
              <w:top w:type="dxa" w:w="60"/>
              <w:left w:type="dxa" w:w="90"/>
              <w:bottom w:type="dxa" w:w="60"/>
              <w:right w:type="dxa" w:w="90"/>
            </w:tcMar>
          </w:tcPr>
          <w:p>
            <w:pPr>
              <w:spacing w:after="0"/>
            </w:pPr>
            <w:r>
              <w:rPr>
                <w:b w:val="false"/>
                <w:bCs w:val="false"/>
                <w:sz w:val="19"/>
                <w:szCs w:val="19"/>
              </w:rPr>
              <w:t xml:space="preserve">145 raw</w:t>
            </w:r>
          </w:p>
        </w:tc>
        <w:tc>
          <w:tcPr>
            <w:tcW w:type="dxa" w:w="599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bed_id</w:t>
            </w:r>
            <w:r>
              <w:rPr>
                <w:b w:val="false"/>
                <w:bCs w:val="false"/>
                <w:sz w:val="19"/>
                <w:szCs w:val="19"/>
              </w:rPr>
              <w:t xml:space="preserve">, </w:t>
            </w:r>
            <w:r>
              <w:rPr>
                <w:rFonts w:ascii="Consolas" w:cs="Consolas" w:eastAsia="Consolas" w:hAnsi="Consolas"/>
                <w:b w:val="false"/>
                <w:bCs w:val="false"/>
                <w:sz w:val="19"/>
                <w:szCs w:val="19"/>
              </w:rPr>
              <w:t xml:space="preserve">ward_id</w:t>
            </w:r>
            <w:r>
              <w:rPr>
                <w:b w:val="false"/>
                <w:bCs w:val="false"/>
                <w:sz w:val="19"/>
                <w:szCs w:val="19"/>
              </w:rPr>
              <w:t xml:space="preserve">, </w:t>
            </w:r>
            <w:r>
              <w:rPr>
                <w:rFonts w:ascii="Consolas" w:cs="Consolas" w:eastAsia="Consolas" w:hAnsi="Consolas"/>
                <w:b w:val="false"/>
                <w:bCs w:val="false"/>
                <w:sz w:val="19"/>
                <w:szCs w:val="19"/>
              </w:rPr>
              <w:t xml:space="preserve">bed_number</w:t>
            </w:r>
            <w:r>
              <w:rPr>
                <w:b w:val="false"/>
                <w:bCs w:val="false"/>
                <w:sz w:val="19"/>
                <w:szCs w:val="19"/>
              </w:rPr>
              <w:t xml:space="preserve">, </w:t>
            </w:r>
            <w:r>
              <w:rPr>
                <w:rFonts w:ascii="Consolas" w:cs="Consolas" w:eastAsia="Consolas" w:hAnsi="Consolas"/>
                <w:b w:val="false"/>
                <w:bCs w:val="false"/>
                <w:sz w:val="19"/>
                <w:szCs w:val="19"/>
              </w:rPr>
              <w:t xml:space="preserve">status</w:t>
            </w:r>
            <w:r>
              <w:rPr>
                <w:b w:val="false"/>
                <w:bCs w:val="false"/>
                <w:sz w:val="19"/>
                <w:szCs w:val="19"/>
              </w:rPr>
              <w:t xml:space="preserve">, </w:t>
            </w:r>
            <w:r>
              <w:rPr>
                <w:rFonts w:ascii="Consolas" w:cs="Consolas" w:eastAsia="Consolas" w:hAnsi="Consolas"/>
                <w:b w:val="false"/>
                <w:bCs w:val="false"/>
                <w:sz w:val="19"/>
                <w:szCs w:val="19"/>
              </w:rPr>
              <w:t xml:space="preserve">is_isolation_capable</w:t>
            </w:r>
          </w:p>
        </w:tc>
      </w:tr>
    </w:tbl>
    <w:p>
      <w:pPr>
        <w:spacing w:after="140"/>
      </w:pPr>
    </w:p>
    <w:p>
      <w:pPr>
        <w:pBdr>
          <w:left w:val="single" w:color="4472C4" w:sz="18" w:space="12"/>
        </w:pBdr>
        <w:spacing w:after="160" w:before="120"/>
        <w:ind w:left="220"/>
      </w:pPr>
      <w:r>
        <w:rPr>
          <w:b/>
          <w:bCs/>
        </w:rPr>
        <w:t xml:space="preserve">The central question of Day 1:  </w:t>
      </w:r>
      <w:r>
        <w:t xml:space="preserve">to get one current row per attendance you must sort the events and take the last. </w:t>
      </w:r>
      <w:r>
        <w:rPr>
          <w:b/>
          <w:bCs/>
        </w:rPr>
        <w:t xml:space="preserve">Which column do you sort on, and how would you prove your choice is right?</w:t>
      </w:r>
      <w:r>
        <w:t xml:space="preserve"> Look carefully at what varies within a single </w:t>
      </w:r>
      <w:r>
        <w:rPr>
          <w:rFonts w:ascii="Consolas" w:cs="Consolas" w:eastAsia="Consolas" w:hAnsi="Consolas"/>
          <w:sz w:val="19"/>
          <w:szCs w:val="19"/>
        </w:rPr>
        <w:t xml:space="preserve">attendance_id</w:t>
      </w:r>
      <w:r>
        <w:t xml:space="preserve"> and what does not before you answer. Getting this wrong produces a pipeline that builds green, has exactly the right row count, and is wrong about most patients. You will be asked to justify your answer on Day 5, and we will check it directly.</w:t>
      </w:r>
    </w:p>
    <w:p>
      <w:pPr>
        <w:pStyle w:val="ListParagraph"/>
        <w:numPr>
          <w:ilvl w:val="0"/>
          <w:numId w:val="2"/>
        </w:numPr>
        <w:spacing w:after="60"/>
      </w:pPr>
      <w:r>
        <w:t xml:space="preserve">Some </w:t>
      </w:r>
      <w:r>
        <w:rPr>
          <w:rFonts w:ascii="Consolas" w:cs="Consolas" w:eastAsia="Consolas" w:hAnsi="Consolas"/>
          <w:sz w:val="19"/>
          <w:szCs w:val="19"/>
        </w:rPr>
        <w:t xml:space="preserve">event_timestamp</w:t>
      </w:r>
      <w:r>
        <w:t xml:space="preserve"> values are ISO with a </w:t>
      </w:r>
      <w:r>
        <w:rPr>
          <w:rFonts w:ascii="Consolas" w:cs="Consolas" w:eastAsia="Consolas" w:hAnsi="Consolas"/>
          <w:sz w:val="19"/>
          <w:szCs w:val="19"/>
        </w:rPr>
        <w:t xml:space="preserve">T</w:t>
      </w:r>
      <w:r>
        <w:t xml:space="preserve"> separator and some use a space. Parse both.</w:t>
      </w:r>
    </w:p>
    <w:p>
      <w:pPr>
        <w:pStyle w:val="ListParagraph"/>
        <w:numPr>
          <w:ilvl w:val="0"/>
          <w:numId w:val="2"/>
        </w:numPr>
        <w:spacing w:after="60"/>
      </w:pPr>
      <w:r>
        <w:rPr>
          <w:rFonts w:ascii="Consolas" w:cs="Consolas" w:eastAsia="Consolas" w:hAnsi="Consolas"/>
          <w:sz w:val="19"/>
          <w:szCs w:val="19"/>
        </w:rPr>
        <w:t xml:space="preserve">is_breached</w:t>
      </w:r>
      <w:r>
        <w:t xml:space="preserve"> was written at the moment each event was recorded and never revised. For a patient still in the department it under-reports. Recompute against the current clock.</w:t>
      </w:r>
    </w:p>
    <w:p>
      <w:pPr>
        <w:pStyle w:val="ListParagraph"/>
        <w:numPr>
          <w:ilvl w:val="0"/>
          <w:numId w:val="2"/>
        </w:numPr>
        <w:spacing w:after="60"/>
      </w:pPr>
      <w:r>
        <w:t xml:space="preserve">Bed occupancy is not limited to today's arrivals — most occupied beds hold patients admitted before this feed opens. Every </w:t>
      </w:r>
      <w:r>
        <w:rPr>
          <w:rFonts w:ascii="Consolas" w:cs="Consolas" w:eastAsia="Consolas" w:hAnsi="Consolas"/>
          <w:sz w:val="19"/>
          <w:szCs w:val="19"/>
        </w:rPr>
        <w:t xml:space="preserve">allocated_bed_id</w:t>
      </w:r>
      <w:r>
        <w:t xml:space="preserve"> in the feed does name a bed whose status is Occupied.</w:t>
      </w:r>
    </w:p>
    <w:p>
      <w:pPr>
        <w:pStyle w:val="Heading2"/>
        <w:spacing w:after="120" w:before="260"/>
      </w:pPr>
      <w:r>
        <w:t xml:space="preserve">3. Bed compatibility</w:t>
      </w:r>
    </w:p>
    <w:p>
      <w:pPr>
        <w:spacing w:after="120"/>
      </w:pPr>
      <w:r>
        <w:rPr>
          <w:rFonts w:ascii="Consolas" w:cs="Consolas" w:eastAsia="Consolas" w:hAnsi="Consolas"/>
          <w:sz w:val="19"/>
          <w:szCs w:val="19"/>
        </w:rPr>
        <w:t xml:space="preserve">findCompatibleBeds(attendance)</w:t>
      </w:r>
      <w:r>
        <w:t xml:space="preserve"> returns </w:t>
      </w:r>
      <w:r>
        <w:rPr>
          <w:rFonts w:ascii="Consolas" w:cs="Consolas" w:eastAsia="Consolas" w:hAnsi="Consolas"/>
          <w:sz w:val="19"/>
          <w:szCs w:val="19"/>
        </w:rPr>
        <w:t xml:space="preserve">ObjectSet&lt;HospitalBed&gt;</w:t>
      </w:r>
      <w:r>
        <w:t xml:space="preserve">. All five rules apply together.</w:t>
      </w:r>
    </w:p>
    <w:p>
      <w:pPr>
        <w:shd w:fill="F4F5F7" w:val="clear"/>
        <w:spacing w:after="0" w:before="60"/>
        <w:ind w:left="280"/>
      </w:pPr>
      <w:r>
        <w:rPr>
          <w:rFonts w:ascii="Consolas" w:cs="Consolas" w:eastAsia="Consolas" w:hAnsi="Consolas"/>
          <w:sz w:val="17"/>
          <w:szCs w:val="17"/>
        </w:rPr>
        <w:t xml:space="preserve">0. Site        bed.ward.siteCode        == attendance.hospitalSiteCode</w:t>
      </w:r>
    </w:p>
    <w:p>
      <w:pPr>
        <w:shd w:fill="F4F5F7" w:val="clear"/>
        <w:spacing w:after="0" w:before="0"/>
        <w:ind w:left="280"/>
      </w:pPr>
      <w:r>
        <w:rPr>
          <w:rFonts w:ascii="Consolas" w:cs="Consolas" w:eastAsia="Consolas" w:hAnsi="Consolas"/>
          <w:sz w:val="17"/>
          <w:szCs w:val="17"/>
        </w:rPr>
        <w:t xml:space="preserve">1. Availability bed.status              == "Available"</w:t>
      </w:r>
    </w:p>
    <w:p>
      <w:pPr>
        <w:shd w:fill="F4F5F7" w:val="clear"/>
        <w:spacing w:after="0" w:before="0"/>
        <w:ind w:left="280"/>
      </w:pPr>
      <w:r>
        <w:rPr>
          <w:rFonts w:ascii="Consolas" w:cs="Consolas" w:eastAsia="Consolas" w:hAnsi="Consolas"/>
          <w:sz w:val="17"/>
          <w:szCs w:val="17"/>
        </w:rPr>
        <w:t xml:space="preserve">2. Specialty   bed.ward.specialtyType   == attendance.requiredSpecialty</w:t>
      </w:r>
    </w:p>
    <w:p>
      <w:pPr>
        <w:shd w:fill="F4F5F7" w:val="clear"/>
        <w:spacing w:after="0" w:before="0"/>
        <w:ind w:left="280"/>
      </w:pPr>
      <w:r>
        <w:rPr>
          <w:rFonts w:ascii="Consolas" w:cs="Consolas" w:eastAsia="Consolas" w:hAnsi="Consolas"/>
          <w:sz w:val="17"/>
          <w:szCs w:val="17"/>
        </w:rPr>
        <w:t xml:space="preserve">3. Isolation   if chiefComplaint contains "Sepsis" or "Fever":</w:t>
      </w:r>
    </w:p>
    <w:p>
      <w:pPr>
        <w:shd w:fill="F4F5F7" w:val="clear"/>
        <w:spacing w:after="0" w:before="0"/>
        <w:ind w:left="280"/>
      </w:pPr>
      <w:r>
        <w:rPr>
          <w:rFonts w:ascii="Consolas" w:cs="Consolas" w:eastAsia="Consolas" w:hAnsi="Consolas"/>
          <w:sz w:val="17"/>
          <w:szCs w:val="17"/>
        </w:rPr>
        <w:t xml:space="preserve">                   bed.isIsolationCapable == true</w:t>
      </w:r>
    </w:p>
    <w:p>
      <w:pPr>
        <w:shd w:fill="F4F5F7" w:val="clear"/>
        <w:spacing w:after="0" w:before="0"/>
        <w:ind w:left="280"/>
      </w:pPr>
      <w:r>
        <w:rPr>
          <w:rFonts w:ascii="Consolas" w:cs="Consolas" w:eastAsia="Consolas" w:hAnsi="Consolas"/>
          <w:sz w:val="17"/>
          <w:szCs w:val="17"/>
        </w:rPr>
        <w:t xml:space="preserve">4. Single sex  ward.genderPolicy == "Mixed"                        -&gt; any patient</w:t>
      </w:r>
    </w:p>
    <w:p>
      <w:pPr>
        <w:shd w:fill="F4F5F7" w:val="clear"/>
        <w:spacing w:after="0" w:before="0"/>
        <w:ind w:left="280"/>
      </w:pPr>
      <w:r>
        <w:rPr>
          <w:rFonts w:ascii="Consolas" w:cs="Consolas" w:eastAsia="Consolas" w:hAnsi="Consolas"/>
          <w:sz w:val="17"/>
          <w:szCs w:val="17"/>
        </w:rPr>
        <w:t xml:space="preserve">               ward.genderPolicy == "Male"   -&gt; patientSex == "Male"</w:t>
      </w:r>
    </w:p>
    <w:p>
      <w:pPr>
        <w:shd w:fill="F4F5F7" w:val="clear"/>
        <w:spacing w:after="140" w:before="0"/>
        <w:ind w:left="280"/>
      </w:pPr>
      <w:r>
        <w:rPr>
          <w:rFonts w:ascii="Consolas" w:cs="Consolas" w:eastAsia="Consolas" w:hAnsi="Consolas"/>
          <w:sz w:val="17"/>
          <w:szCs w:val="17"/>
        </w:rPr>
        <w:t xml:space="preserve">               ward.genderPolicy == "Female" -&gt; patientSex == "Female"</w:t>
      </w:r>
    </w:p>
    <w:p>
      <w:pPr>
        <w:pStyle w:val="ListParagraph"/>
        <w:numPr>
          <w:ilvl w:val="0"/>
          <w:numId w:val="2"/>
        </w:numPr>
        <w:spacing w:after="60"/>
      </w:pPr>
      <w:r>
        <w:t xml:space="preserve">Rule 0 is not optional and is not covered by the restricted view. A restricted view filters what a user reads directly; it does not extend to functions. If the site rule is not in the function, the function will offer a Northgate manager a bed at St Aldate's.</w:t>
      </w:r>
    </w:p>
    <w:p>
      <w:pPr>
        <w:pStyle w:val="ListParagraph"/>
        <w:numPr>
          <w:ilvl w:val="0"/>
          <w:numId w:val="2"/>
        </w:numPr>
        <w:spacing w:after="60"/>
      </w:pPr>
      <w:r>
        <w:t xml:space="preserve">Read the patient's sex from </w:t>
      </w:r>
      <w:r>
        <w:rPr>
          <w:rFonts w:ascii="Consolas" w:cs="Consolas" w:eastAsia="Consolas" w:hAnsi="Consolas"/>
          <w:sz w:val="19"/>
          <w:szCs w:val="19"/>
        </w:rPr>
        <w:t xml:space="preserve">patient_sex</w:t>
      </w:r>
      <w:r>
        <w:t xml:space="preserve"> on the attendance. The column is named for sex rather than gender because the single-sex accommodation standard is written that way.</w:t>
      </w:r>
    </w:p>
    <w:p>
      <w:pPr>
        <w:pStyle w:val="ListParagraph"/>
        <w:numPr>
          <w:ilvl w:val="0"/>
          <w:numId w:val="2"/>
        </w:numPr>
        <w:spacing w:after="60"/>
      </w:pPr>
      <w:r>
        <w:t xml:space="preserve">Casing in </w:t>
      </w:r>
      <w:r>
        <w:rPr>
          <w:rFonts w:ascii="Consolas" w:cs="Consolas" w:eastAsia="Consolas" w:hAnsi="Consolas"/>
          <w:sz w:val="19"/>
          <w:szCs w:val="19"/>
        </w:rPr>
        <w:t xml:space="preserve">status</w:t>
      </w:r>
      <w:r>
        <w:t xml:space="preserve"> and </w:t>
      </w:r>
      <w:r>
        <w:rPr>
          <w:rFonts w:ascii="Consolas" w:cs="Consolas" w:eastAsia="Consolas" w:hAnsi="Consolas"/>
          <w:sz w:val="19"/>
          <w:szCs w:val="19"/>
        </w:rPr>
        <w:t xml:space="preserve">hospital_site_code</w:t>
      </w:r>
      <w:r>
        <w:t xml:space="preserve"> is inconsistent in the raw file. Normalise it in the pipeline, not in the function.</w:t>
      </w:r>
    </w:p>
    <w:p>
      <w:pPr>
        <w:pStyle w:val="ListParagraph"/>
        <w:numPr>
          <w:ilvl w:val="0"/>
          <w:numId w:val="2"/>
        </w:numPr>
        <w:spacing w:after="60"/>
      </w:pPr>
      <w:r>
        <w:rPr>
          <w:b/>
          <w:bCs/>
        </w:rPr>
        <w:t xml:space="preserve">Empty results are correct answers.</w:t>
      </w:r>
      <w:r>
        <w:t xml:space="preserve"> One site has no cardiology ward at all, and one ward has free beds but no free isolation room. Both cases exist in the data and both must render as an empty state rather than an error.</w:t>
      </w:r>
    </w:p>
    <w:p>
      <w:pPr>
        <w:pBdr>
          <w:left w:val="single" w:color="4472C4" w:sz="18" w:space="12"/>
        </w:pBdr>
        <w:spacing w:after="160" w:before="120"/>
        <w:ind w:left="220"/>
      </w:pPr>
      <w:r>
        <w:rPr>
          <w:b/>
          <w:bCs/>
        </w:rPr>
        <w:t xml:space="preserve">Technique:  </w:t>
      </w:r>
      <w:r>
        <w:t xml:space="preserve">a filter predicate can only see one object type's own properties — it cannot reach through a link. To apply a ward-level rule to a set of beds you search the wards first and traverse to the beds with the generated search-around method for that link. Read the Object Sets page in the Functions documentation before you start Day 3; this is where the day is usually lost.</w:t>
      </w:r>
    </w:p>
    <w:p>
      <w:pPr>
        <w:pStyle w:val="Heading2"/>
        <w:spacing w:after="120" w:before="260"/>
      </w:pPr>
      <w:r>
        <w:t xml:space="preserve">4. Ward pressure</w:t>
      </w:r>
    </w:p>
    <w:p>
      <w:pPr>
        <w:shd w:fill="F4F5F7" w:val="clear"/>
        <w:spacing w:after="140" w:before="60"/>
        <w:ind w:left="280"/>
      </w:pPr>
      <w:r>
        <w:rPr>
          <w:rFonts w:ascii="Consolas" w:cs="Consolas" w:eastAsia="Consolas" w:hAnsi="Consolas"/>
          <w:sz w:val="17"/>
          <w:szCs w:val="17"/>
        </w:rPr>
        <w:t xml:space="preserve">WardPressureIndex = round((occupied beds in ward / ward.totalBeds) * 100.0, 1)</w:t>
      </w:r>
    </w:p>
    <w:p>
      <w:pPr>
        <w:spacing w:after="120"/>
      </w:pPr>
      <w:r>
        <w:t xml:space="preserve">The denominator is </w:t>
      </w:r>
      <w:r>
        <w:rPr>
          <w:rFonts w:ascii="Consolas" w:cs="Consolas" w:eastAsia="Consolas" w:hAnsi="Consolas"/>
          <w:sz w:val="19"/>
          <w:szCs w:val="19"/>
        </w:rPr>
        <w:t xml:space="preserve">total_beds</w:t>
      </w:r>
      <w:r>
        <w:t xml:space="preserve"> from the ward record, not the number of bed rows you happen to have. Pressure in this data spans 65.0% to 91.7%, so your colour bands will all appear.</w:t>
      </w:r>
    </w:p>
    <w:p>
      <w:pPr>
        <w:pStyle w:val="Heading2"/>
        <w:spacing w:after="120" w:before="260"/>
      </w:pPr>
      <w:r>
        <w:t xml:space="preserve">5. Information governance</w:t>
      </w:r>
    </w:p>
    <w:p>
      <w:pPr>
        <w:pStyle w:val="ListParagraph"/>
        <w:numPr>
          <w:ilvl w:val="0"/>
          <w:numId w:val="2"/>
        </w:numPr>
        <w:spacing w:after="60"/>
      </w:pPr>
      <w:r>
        <w:t xml:space="preserve">Apply the provided </w:t>
      </w:r>
      <w:r>
        <w:rPr>
          <w:rFonts w:ascii="Consolas" w:cs="Consolas" w:eastAsia="Consolas" w:hAnsi="Consolas"/>
          <w:sz w:val="19"/>
          <w:szCs w:val="19"/>
        </w:rPr>
        <w:t xml:space="preserve">RESTRICTED_CLINICAL</w:t>
      </w:r>
      <w:r>
        <w:t xml:space="preserve"> marking to the raw event feed.</w:t>
      </w:r>
    </w:p>
    <w:p>
      <w:pPr>
        <w:pStyle w:val="ListParagraph"/>
        <w:numPr>
          <w:ilvl w:val="0"/>
          <w:numId w:val="2"/>
        </w:numPr>
        <w:spacing w:after="60"/>
      </w:pPr>
      <w:r>
        <w:t xml:space="preserve">Build one restricted view, </w:t>
      </w:r>
      <w:r>
        <w:rPr>
          <w:rFonts w:ascii="Consolas" w:cs="Consolas" w:eastAsia="Consolas" w:hAnsi="Consolas"/>
          <w:sz w:val="19"/>
          <w:szCs w:val="19"/>
        </w:rPr>
        <w:t xml:space="preserve">/Ontology/rv_clean_ed_attendances</w:t>
      </w:r>
      <w:r>
        <w:t xml:space="preserve">, with a single row rule matching </w:t>
      </w:r>
      <w:r>
        <w:rPr>
          <w:rFonts w:ascii="Consolas" w:cs="Consolas" w:eastAsia="Consolas" w:hAnsi="Consolas"/>
          <w:sz w:val="19"/>
          <w:szCs w:val="19"/>
        </w:rPr>
        <w:t xml:space="preserve">hospital_site_code</w:t>
      </w:r>
      <w:r>
        <w:t xml:space="preserve"> to the viewing user's site attribute. Back the ED Attendance object type on it.</w:t>
      </w:r>
    </w:p>
    <w:p>
      <w:pPr>
        <w:pStyle w:val="ListParagraph"/>
        <w:numPr>
          <w:ilvl w:val="0"/>
          <w:numId w:val="2"/>
        </w:numPr>
        <w:spacing w:after="60"/>
      </w:pPr>
      <w:r>
        <w:t xml:space="preserve">Restrict submission of Allocate Hospital Bed to the provided </w:t>
      </w:r>
      <w:r>
        <w:rPr>
          <w:rFonts w:ascii="Consolas" w:cs="Consolas" w:eastAsia="Consolas" w:hAnsi="Consolas"/>
          <w:sz w:val="19"/>
          <w:szCs w:val="19"/>
        </w:rPr>
        <w:t xml:space="preserve">Site_Bed_Managers</w:t>
      </w:r>
      <w:r>
        <w:t xml:space="preserve"> group.</w:t>
      </w:r>
    </w:p>
    <w:p>
      <w:pPr>
        <w:pStyle w:val="Heading2"/>
        <w:spacing w:after="120" w:before="260"/>
      </w:pPr>
      <w:r>
        <w:t xml:space="preserve">6. Five-day plan</w:t>
      </w:r>
    </w:p>
    <w:p>
      <w:pPr>
        <w:pStyle w:val="Heading3"/>
        <w:spacing w:after="100" w:before="200"/>
      </w:pPr>
      <w:r>
        <w:t xml:space="preserve">Day 1 — CDC resolution and cleaning (required)</w:t>
      </w:r>
    </w:p>
    <w:p>
      <w:pPr>
        <w:pStyle w:val="ListParagraph"/>
        <w:numPr>
          <w:ilvl w:val="0"/>
          <w:numId w:val="2"/>
        </w:numPr>
        <w:spacing w:after="60"/>
      </w:pPr>
      <w:r>
        <w:t xml:space="preserve">Ingest and mark the raw feed.</w:t>
      </w:r>
    </w:p>
    <w:p>
      <w:pPr>
        <w:pStyle w:val="ListParagraph"/>
        <w:numPr>
          <w:ilvl w:val="0"/>
          <w:numId w:val="2"/>
        </w:numPr>
        <w:spacing w:after="60"/>
      </w:pPr>
      <w:r>
        <w:t xml:space="preserve">Resolve the event stream to one current row per attendance. Justify your sort key in a comment.</w:t>
      </w:r>
    </w:p>
    <w:p>
      <w:pPr>
        <w:pStyle w:val="ListParagraph"/>
        <w:numPr>
          <w:ilvl w:val="0"/>
          <w:numId w:val="2"/>
        </w:numPr>
        <w:spacing w:after="60"/>
      </w:pPr>
      <w:r>
        <w:t xml:space="preserve">Drop blank keys, trim padded ones, remove duplicates, normalise casing, parse both timestamp formats, default a missing </w:t>
      </w:r>
      <w:r>
        <w:rPr>
          <w:rFonts w:ascii="Consolas" w:cs="Consolas" w:eastAsia="Consolas" w:hAnsi="Consolas"/>
          <w:sz w:val="19"/>
          <w:szCs w:val="19"/>
        </w:rPr>
        <w:t xml:space="preserve">chief_complaint</w:t>
      </w:r>
      <w:r>
        <w:t xml:space="preserve"> and </w:t>
      </w:r>
      <w:r>
        <w:rPr>
          <w:rFonts w:ascii="Consolas" w:cs="Consolas" w:eastAsia="Consolas" w:hAnsi="Consolas"/>
          <w:sz w:val="19"/>
          <w:szCs w:val="19"/>
        </w:rPr>
        <w:t xml:space="preserve">patient_sex</w:t>
      </w:r>
      <w:r>
        <w:t xml:space="preserve">.</w:t>
      </w:r>
    </w:p>
    <w:p>
      <w:pPr>
        <w:pStyle w:val="ListParagraph"/>
        <w:numPr>
          <w:ilvl w:val="0"/>
          <w:numId w:val="2"/>
        </w:numPr>
        <w:spacing w:after="60"/>
      </w:pPr>
      <w:r>
        <w:t xml:space="preserve">Self-check: raw rows, distinct attendances, and the disposition mix. Sanity-check the mix against what an emergency department plausibly looks like at one moment.</w:t>
      </w:r>
    </w:p>
    <w:p>
      <w:pPr>
        <w:spacing w:after="120"/>
      </w:pPr>
      <w:r>
        <w:t xml:space="preserve">Optional: hourly arrivals per site as a rolling window.</w:t>
      </w:r>
    </w:p>
    <w:p>
      <w:pPr>
        <w:pStyle w:val="Heading3"/>
        <w:spacing w:after="100" w:before="200"/>
      </w:pPr>
      <w:r>
        <w:t xml:space="preserve">Day 2 — Ontology (required)</w:t>
      </w:r>
    </w:p>
    <w:p>
      <w:pPr>
        <w:pStyle w:val="ListParagraph"/>
        <w:numPr>
          <w:ilvl w:val="0"/>
          <w:numId w:val="2"/>
        </w:numPr>
        <w:spacing w:after="60"/>
      </w:pPr>
      <w:r>
        <w:t xml:space="preserve">Object types: </w:t>
      </w:r>
      <w:r>
        <w:rPr>
          <w:b/>
          <w:bCs/>
        </w:rPr>
        <w:t xml:space="preserve">ED Attendance</w:t>
      </w:r>
      <w:r>
        <w:t xml:space="preserve">, </w:t>
      </w:r>
      <w:r>
        <w:rPr>
          <w:b/>
          <w:bCs/>
        </w:rPr>
        <w:t xml:space="preserve">Hospital Bed</w:t>
      </w:r>
      <w:r>
        <w:t xml:space="preserve">, </w:t>
      </w:r>
      <w:r>
        <w:rPr>
          <w:b/>
          <w:bCs/>
        </w:rPr>
        <w:t xml:space="preserve">Ward</w:t>
      </w:r>
      <w:r>
        <w:t xml:space="preserve">.</w:t>
      </w:r>
    </w:p>
    <w:p>
      <w:pPr>
        <w:pStyle w:val="ListParagraph"/>
        <w:numPr>
          <w:ilvl w:val="0"/>
          <w:numId w:val="2"/>
        </w:numPr>
        <w:spacing w:after="60"/>
      </w:pPr>
      <w:r>
        <w:t xml:space="preserve">Links: Ward 1—N Hospital Bed, Hospital Bed 1—1 ED Attendance.</w:t>
      </w:r>
    </w:p>
    <w:p>
      <w:pPr>
        <w:pStyle w:val="ListParagraph"/>
        <w:numPr>
          <w:ilvl w:val="0"/>
          <w:numId w:val="2"/>
        </w:numPr>
        <w:spacing w:after="60"/>
      </w:pPr>
      <w:r>
        <w:t xml:space="preserve">Back ED Attendance on the restricted view.</w:t>
      </w:r>
    </w:p>
    <w:p>
      <w:pPr>
        <w:spacing w:after="120"/>
      </w:pPr>
      <w:r>
        <w:t xml:space="preserve">Optional: a Patient object type linked to attendances. The feed is pseudonymised, so think about whether a Patient object earns its place here before you build one.</w:t>
      </w:r>
    </w:p>
    <w:p>
      <w:pPr>
        <w:pStyle w:val="Heading3"/>
        <w:spacing w:after="100" w:before="200"/>
      </w:pPr>
      <w:r>
        <w:t xml:space="preserve">Day 3 — Functions and the action (required)</w:t>
      </w:r>
    </w:p>
    <w:p>
      <w:pPr>
        <w:pStyle w:val="ListParagraph"/>
        <w:numPr>
          <w:ilvl w:val="0"/>
          <w:numId w:val="2"/>
        </w:numPr>
        <w:spacing w:after="60"/>
      </w:pPr>
      <w:r>
        <w:rPr>
          <w:rFonts w:ascii="Consolas" w:cs="Consolas" w:eastAsia="Consolas" w:hAnsi="Consolas"/>
          <w:sz w:val="19"/>
          <w:szCs w:val="19"/>
        </w:rPr>
        <w:t xml:space="preserve">findCompatibleBeds(attendance)</w:t>
      </w:r>
      <w:r>
        <w:t xml:space="preserve"> returning an object set, with all five rules.</w:t>
      </w:r>
    </w:p>
    <w:p>
      <w:pPr>
        <w:pStyle w:val="ListParagraph"/>
        <w:numPr>
          <w:ilvl w:val="0"/>
          <w:numId w:val="2"/>
        </w:numPr>
        <w:spacing w:after="60"/>
      </w:pPr>
      <w:r>
        <w:rPr>
          <w:rFonts w:ascii="Consolas" w:cs="Consolas" w:eastAsia="Consolas" w:hAnsi="Consolas"/>
          <w:sz w:val="19"/>
          <w:szCs w:val="19"/>
        </w:rPr>
        <w:t xml:space="preserve">calculateWardPressure(ward)</w:t>
      </w:r>
      <w:r>
        <w:t xml:space="preserve"> returning a double to one decimal place.</w:t>
      </w:r>
    </w:p>
    <w:p>
      <w:pPr>
        <w:pStyle w:val="ListParagraph"/>
        <w:numPr>
          <w:ilvl w:val="0"/>
          <w:numId w:val="2"/>
        </w:numPr>
        <w:spacing w:after="60"/>
      </w:pPr>
      <w:r>
        <w:t xml:space="preserve">Action type </w:t>
      </w:r>
      <w:r>
        <w:rPr>
          <w:b/>
          <w:bCs/>
        </w:rPr>
        <w:t xml:space="preserve">Allocate Hospital Bed</w:t>
      </w:r>
      <w:r>
        <w:t xml:space="preserve">: sets the bed to Occupied, records the allocation on the attendance and moves the disposition to Admitted, in one submission. Submission criteria must block allocating a bed that is no longer Available and block allocating to an attendance that already has a bed.</w:t>
      </w:r>
    </w:p>
    <w:p>
      <w:pPr>
        <w:pStyle w:val="ListParagraph"/>
        <w:numPr>
          <w:ilvl w:val="0"/>
          <w:numId w:val="2"/>
        </w:numPr>
        <w:spacing w:after="60"/>
      </w:pPr>
      <w:r>
        <w:t xml:space="preserve">Restrict submission to the provided group.</w:t>
      </w:r>
    </w:p>
    <w:p>
      <w:pPr>
        <w:spacing w:after="120"/>
      </w:pPr>
      <w:r>
        <w:t xml:space="preserve">Optional: </w:t>
      </w:r>
      <w:r>
        <w:rPr>
          <w:rFonts w:ascii="Consolas" w:cs="Consolas" w:eastAsia="Consolas" w:hAnsi="Consolas"/>
          <w:sz w:val="19"/>
          <w:szCs w:val="19"/>
        </w:rPr>
        <w:t xml:space="preserve">getLiveLosMinutes(attendance)</w:t>
      </w:r>
      <w:r>
        <w:t xml:space="preserve">.</w:t>
      </w:r>
    </w:p>
    <w:p>
      <w:pPr>
        <w:pStyle w:val="Heading3"/>
        <w:spacing w:after="100" w:before="200"/>
      </w:pPr>
      <w:r>
        <w:t xml:space="preserve">Day 4 — Workshop (required)</w:t>
      </w:r>
    </w:p>
    <w:p>
      <w:pPr>
        <w:pStyle w:val="ListParagraph"/>
        <w:numPr>
          <w:ilvl w:val="0"/>
          <w:numId w:val="2"/>
        </w:numPr>
        <w:spacing w:after="60"/>
      </w:pPr>
      <w:r>
        <w:t xml:space="preserve">One tab. The waiting list is attendances awaiting a bed, sorted by time to the four-hour breach.</w:t>
      </w:r>
    </w:p>
    <w:p>
      <w:pPr>
        <w:pStyle w:val="ListParagraph"/>
        <w:numPr>
          <w:ilvl w:val="0"/>
          <w:numId w:val="2"/>
        </w:numPr>
        <w:spacing w:after="60"/>
      </w:pPr>
      <w:r>
        <w:t xml:space="preserve">Ward pressure indicators for the current site.</w:t>
      </w:r>
    </w:p>
    <w:p>
      <w:pPr>
        <w:pStyle w:val="ListParagraph"/>
        <w:numPr>
          <w:ilvl w:val="0"/>
          <w:numId w:val="2"/>
        </w:numPr>
        <w:spacing w:after="60"/>
      </w:pPr>
      <w:r>
        <w:t xml:space="preserve">Selecting an attendance shows its compatible beds. Selecting a bed enables the action.</w:t>
      </w:r>
    </w:p>
    <w:p>
      <w:pPr>
        <w:pStyle w:val="ListParagraph"/>
        <w:numPr>
          <w:ilvl w:val="0"/>
          <w:numId w:val="2"/>
        </w:numPr>
        <w:spacing w:after="60"/>
      </w:pPr>
      <w:r>
        <w:t xml:space="preserve">Handle the empty compatible-bed case explicitly and visibly.</w:t>
      </w:r>
    </w:p>
    <w:p>
      <w:pPr>
        <w:pStyle w:val="Heading3"/>
        <w:spacing w:after="100" w:before="200"/>
      </w:pPr>
      <w:r>
        <w:t xml:space="preserve">Day 5 — Review</w:t>
      </w:r>
    </w:p>
    <w:p>
      <w:pPr>
        <w:pStyle w:val="ListParagraph"/>
        <w:numPr>
          <w:ilvl w:val="0"/>
          <w:numId w:val="2"/>
        </w:numPr>
        <w:spacing w:after="60"/>
      </w:pPr>
      <w:r>
        <w:t xml:space="preserve">One Quiver analysis: hourly arrivals against departures, or the distribution of time from decision-to-admit to allocation.</w:t>
      </w:r>
    </w:p>
    <w:p>
      <w:pPr>
        <w:pStyle w:val="ListParagraph"/>
        <w:numPr>
          <w:ilvl w:val="0"/>
          <w:numId w:val="2"/>
        </w:numPr>
        <w:spacing w:after="60"/>
      </w:pPr>
      <w:r>
        <w:t xml:space="preserve">Walk your lineage and demonstrate that a user outside the bed managers group cannot submit the action.</w:t>
      </w:r>
    </w:p>
    <w:p>
      <w:pPr>
        <w:pStyle w:val="ListParagraph"/>
        <w:numPr>
          <w:ilvl w:val="0"/>
          <w:numId w:val="2"/>
        </w:numPr>
        <w:spacing w:after="60"/>
      </w:pPr>
      <w:r>
        <w:t xml:space="preserve">Ten-minute demonstration. Expect to be asked how you chose your sort key.</w:t>
      </w:r>
    </w:p>
    <w:p>
      <w:r>
        <w:br w:type="page"/>
      </w:r>
    </w:p>
    <w:p>
      <w:pPr>
        <w:pStyle w:val="Heading1"/>
        <w:spacing w:after="160" w:before="320"/>
      </w:pPr>
      <w:r>
        <w:t xml:space="preserve">Project 3 — Discharge orchestration and the virtual ward</w:t>
      </w:r>
    </w:p>
    <w:p>
      <w:pPr>
        <w:pStyle w:val="Heading2"/>
        <w:spacing w:after="120" w:before="260"/>
      </w:pPr>
      <w:r>
        <w:t xml:space="preserve">1. Operational context</w:t>
      </w:r>
    </w:p>
    <w:p>
      <w:pPr>
        <w:spacing w:after="120"/>
      </w:pPr>
      <w:r>
        <w:t xml:space="preserve">Patients who are medically fit but still occupying an acute bed are the single largest cause of emergency department gridlock upstream. Under Discharge to Assess guidance, some of them can step down to a virtual ward — hospital at home — where they are monitored remotely instead of on a ward.</w:t>
      </w:r>
    </w:p>
    <w:p>
      <w:pPr>
        <w:spacing w:after="120"/>
      </w:pPr>
      <w:r>
        <w:t xml:space="preserve">Deciding who can safely step down needs two things: a physiological score that says the patient is stable, and a practical check that the mobility and social care arrangements are in place. You are building the console the multidisciplinary team uses to make that call.</w:t>
      </w:r>
    </w:p>
    <w:p>
      <w:pPr>
        <w:pStyle w:val="Heading2"/>
        <w:spacing w:after="120" w:before="260"/>
      </w:pPr>
      <w:r>
        <w:t xml:space="preserve">2. The data</w:t>
      </w:r>
    </w:p>
    <w:p>
      <w:pPr>
        <w:spacing w:after="120"/>
      </w:pPr>
      <w:r>
        <w:t xml:space="preserve">Three files in </w:t>
      </w:r>
      <w:r>
        <w:rPr>
          <w:rFonts w:ascii="Consolas" w:cs="Consolas" w:eastAsia="Consolas" w:hAnsi="Consolas"/>
          <w:sz w:val="19"/>
          <w:szCs w:val="19"/>
        </w:rPr>
        <w:t xml:space="preserve">project_3_virtual_ward/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5991"/>
      </w:tblGrid>
      <w:tr>
        <w:trPr>
          <w:tblHeader/>
        </w:trPr>
        <w:tc>
          <w:tcPr>
            <w:tcW w:type="dxa" w:w="2246"/>
            <w:shd w:fill="E8EDF5" w:val="clear"/>
            <w:tcMar>
              <w:top w:type="dxa" w:w="60"/>
              <w:left w:type="dxa" w:w="90"/>
              <w:bottom w:type="dxa" w:w="60"/>
              <w:right w:type="dxa" w:w="90"/>
            </w:tcMar>
          </w:tcPr>
          <w:p>
            <w:pPr>
              <w:spacing w:after="0"/>
            </w:pPr>
            <w:r>
              <w:rPr>
                <w:b/>
                <w:bCs/>
                <w:sz w:val="19"/>
                <w:szCs w:val="19"/>
              </w:rPr>
              <w:t xml:space="preserve">File</w:t>
            </w:r>
          </w:p>
        </w:tc>
        <w:tc>
          <w:tcPr>
            <w:tcW w:type="dxa" w:w="1123"/>
            <w:shd w:fill="E8EDF5" w:val="clear"/>
            <w:tcMar>
              <w:top w:type="dxa" w:w="60"/>
              <w:left w:type="dxa" w:w="90"/>
              <w:bottom w:type="dxa" w:w="60"/>
              <w:right w:type="dxa" w:w="90"/>
            </w:tcMar>
          </w:tcPr>
          <w:p>
            <w:pPr>
              <w:spacing w:after="0"/>
            </w:pPr>
            <w:r>
              <w:rPr>
                <w:b/>
                <w:bCs/>
                <w:sz w:val="19"/>
                <w:szCs w:val="19"/>
              </w:rPr>
              <w:t xml:space="preserve">Rows</w:t>
            </w:r>
          </w:p>
        </w:tc>
        <w:tc>
          <w:tcPr>
            <w:tcW w:type="dxa" w:w="5991"/>
            <w:shd w:fill="E8EDF5" w:val="clear"/>
            <w:tcMar>
              <w:top w:type="dxa" w:w="60"/>
              <w:left w:type="dxa" w:w="90"/>
              <w:bottom w:type="dxa" w:w="60"/>
              <w:right w:type="dxa" w:w="90"/>
            </w:tcMar>
          </w:tcPr>
          <w:p>
            <w:pPr>
              <w:spacing w:after="0"/>
            </w:pPr>
            <w:r>
              <w:rPr>
                <w:b/>
                <w:bCs/>
                <w:sz w:val="19"/>
                <w:szCs w:val="19"/>
              </w:rPr>
              <w:t xml:space="preserve">Notes</w:t>
            </w:r>
          </w:p>
        </w:tc>
      </w:tr>
      <w:tr>
        <w:tc>
          <w:tcPr>
            <w:tcW w:type="dxa" w:w="2246"/>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inpatient_admissions.csv</w:t>
            </w:r>
          </w:p>
        </w:tc>
        <w:tc>
          <w:tcPr>
            <w:tcW w:type="dxa" w:w="1123"/>
            <w:tcMar>
              <w:top w:type="dxa" w:w="60"/>
              <w:left w:type="dxa" w:w="90"/>
              <w:bottom w:type="dxa" w:w="60"/>
              <w:right w:type="dxa" w:w="90"/>
            </w:tcMar>
          </w:tcPr>
          <w:p>
            <w:pPr>
              <w:spacing w:after="0"/>
            </w:pPr>
            <w:r>
              <w:rPr>
                <w:b w:val="false"/>
                <w:bCs w:val="false"/>
                <w:sz w:val="19"/>
                <w:szCs w:val="19"/>
              </w:rPr>
              <w:t xml:space="preserve">231 raw</w:t>
            </w:r>
          </w:p>
        </w:tc>
        <w:tc>
          <w:tcPr>
            <w:tcW w:type="dxa" w:w="599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admission_id</w:t>
            </w:r>
            <w:r>
              <w:rPr>
                <w:b w:val="false"/>
                <w:bCs w:val="false"/>
                <w:sz w:val="19"/>
                <w:szCs w:val="19"/>
              </w:rPr>
              <w:t xml:space="preserve"> (primary key), </w:t>
            </w:r>
            <w:r>
              <w:rPr>
                <w:rFonts w:ascii="Consolas" w:cs="Consolas" w:eastAsia="Consolas" w:hAnsi="Consolas"/>
                <w:b w:val="false"/>
                <w:bCs w:val="false"/>
                <w:sz w:val="19"/>
                <w:szCs w:val="19"/>
              </w:rPr>
              <w:t xml:space="preserve">patient_id</w:t>
            </w:r>
            <w:r>
              <w:rPr>
                <w:b w:val="false"/>
                <w:bCs w:val="false"/>
                <w:sz w:val="19"/>
                <w:szCs w:val="19"/>
              </w:rPr>
              <w:t xml:space="preserve">, </w:t>
            </w:r>
            <w:r>
              <w:rPr>
                <w:rFonts w:ascii="Consolas" w:cs="Consolas" w:eastAsia="Consolas" w:hAnsi="Consolas"/>
                <w:b w:val="false"/>
                <w:bCs w:val="false"/>
                <w:sz w:val="19"/>
                <w:szCs w:val="19"/>
              </w:rPr>
              <w:t xml:space="preserve">patient_sex</w:t>
            </w:r>
            <w:r>
              <w:rPr>
                <w:b w:val="false"/>
                <w:bCs w:val="false"/>
                <w:sz w:val="19"/>
                <w:szCs w:val="19"/>
              </w:rPr>
              <w:t xml:space="preserve">, </w:t>
            </w:r>
            <w:r>
              <w:rPr>
                <w:rFonts w:ascii="Consolas" w:cs="Consolas" w:eastAsia="Consolas" w:hAnsi="Consolas"/>
                <w:b w:val="false"/>
                <w:bCs w:val="false"/>
                <w:sz w:val="19"/>
                <w:szCs w:val="19"/>
              </w:rPr>
              <w:t xml:space="preserve">trust_code</w:t>
            </w:r>
            <w:r>
              <w:rPr>
                <w:b w:val="false"/>
                <w:bCs w:val="false"/>
                <w:sz w:val="19"/>
                <w:szCs w:val="19"/>
              </w:rPr>
              <w:t xml:space="preserve">, </w:t>
            </w:r>
            <w:r>
              <w:rPr>
                <w:rFonts w:ascii="Consolas" w:cs="Consolas" w:eastAsia="Consolas" w:hAnsi="Consolas"/>
                <w:b w:val="false"/>
                <w:bCs w:val="false"/>
                <w:sz w:val="19"/>
                <w:szCs w:val="19"/>
              </w:rPr>
              <w:t xml:space="preserve">ward_id</w:t>
            </w:r>
            <w:r>
              <w:rPr>
                <w:b w:val="false"/>
                <w:bCs w:val="false"/>
                <w:sz w:val="19"/>
                <w:szCs w:val="19"/>
              </w:rPr>
              <w:t xml:space="preserve">, </w:t>
            </w:r>
            <w:r>
              <w:rPr>
                <w:rFonts w:ascii="Consolas" w:cs="Consolas" w:eastAsia="Consolas" w:hAnsi="Consolas"/>
                <w:b w:val="false"/>
                <w:bCs w:val="false"/>
                <w:sz w:val="19"/>
                <w:szCs w:val="19"/>
              </w:rPr>
              <w:t xml:space="preserve">location_type</w:t>
            </w:r>
            <w:r>
              <w:rPr>
                <w:b w:val="false"/>
                <w:bCs w:val="false"/>
                <w:sz w:val="19"/>
                <w:szCs w:val="19"/>
              </w:rPr>
              <w:t xml:space="preserve">, </w:t>
            </w:r>
            <w:r>
              <w:rPr>
                <w:rFonts w:ascii="Consolas" w:cs="Consolas" w:eastAsia="Consolas" w:hAnsi="Consolas"/>
                <w:b w:val="false"/>
                <w:bCs w:val="false"/>
                <w:sz w:val="19"/>
                <w:szCs w:val="19"/>
              </w:rPr>
              <w:t xml:space="preserve">virtual_bed_id</w:t>
            </w:r>
            <w:r>
              <w:rPr>
                <w:b w:val="false"/>
                <w:bCs w:val="false"/>
                <w:sz w:val="19"/>
                <w:szCs w:val="19"/>
              </w:rPr>
              <w:t xml:space="preserve">, </w:t>
            </w:r>
            <w:r>
              <w:rPr>
                <w:rFonts w:ascii="Consolas" w:cs="Consolas" w:eastAsia="Consolas" w:hAnsi="Consolas"/>
                <w:b w:val="false"/>
                <w:bCs w:val="false"/>
                <w:sz w:val="19"/>
                <w:szCs w:val="19"/>
              </w:rPr>
              <w:t xml:space="preserve">admitted_at</w:t>
            </w:r>
            <w:r>
              <w:rPr>
                <w:b w:val="false"/>
                <w:bCs w:val="false"/>
                <w:sz w:val="19"/>
                <w:szCs w:val="19"/>
              </w:rPr>
              <w:t xml:space="preserve">, </w:t>
            </w:r>
            <w:r>
              <w:rPr>
                <w:rFonts w:ascii="Consolas" w:cs="Consolas" w:eastAsia="Consolas" w:hAnsi="Consolas"/>
                <w:b w:val="false"/>
                <w:bCs w:val="false"/>
                <w:sz w:val="19"/>
                <w:szCs w:val="19"/>
              </w:rPr>
              <w:t xml:space="preserve">care_pathway</w:t>
            </w:r>
            <w:r>
              <w:rPr>
                <w:b w:val="false"/>
                <w:bCs w:val="false"/>
                <w:sz w:val="19"/>
                <w:szCs w:val="19"/>
              </w:rPr>
              <w:t xml:space="preserve">, </w:t>
            </w:r>
            <w:r>
              <w:rPr>
                <w:rFonts w:ascii="Consolas" w:cs="Consolas" w:eastAsia="Consolas" w:hAnsi="Consolas"/>
                <w:b w:val="false"/>
                <w:bCs w:val="false"/>
                <w:sz w:val="19"/>
                <w:szCs w:val="19"/>
              </w:rPr>
              <w:t xml:space="preserve">mobility_status</w:t>
            </w:r>
            <w:r>
              <w:rPr>
                <w:b w:val="false"/>
                <w:bCs w:val="false"/>
                <w:sz w:val="19"/>
                <w:szCs w:val="19"/>
              </w:rPr>
              <w:t xml:space="preserve">, </w:t>
            </w:r>
            <w:r>
              <w:rPr>
                <w:rFonts w:ascii="Consolas" w:cs="Consolas" w:eastAsia="Consolas" w:hAnsi="Consolas"/>
                <w:b w:val="false"/>
                <w:bCs w:val="false"/>
                <w:sz w:val="19"/>
                <w:szCs w:val="19"/>
              </w:rPr>
              <w:t xml:space="preserve">social_care_status</w:t>
            </w:r>
            <w:r>
              <w:rPr>
                <w:b w:val="false"/>
                <w:bCs w:val="false"/>
                <w:sz w:val="19"/>
                <w:szCs w:val="19"/>
              </w:rPr>
              <w:t xml:space="preserve">, </w:t>
            </w:r>
            <w:r>
              <w:rPr>
                <w:rFonts w:ascii="Consolas" w:cs="Consolas" w:eastAsia="Consolas" w:hAnsi="Consolas"/>
                <w:b w:val="false"/>
                <w:bCs w:val="false"/>
                <w:sz w:val="19"/>
                <w:szCs w:val="19"/>
              </w:rPr>
              <w:t xml:space="preserve">medically_fit_flag</w:t>
            </w:r>
            <w:r>
              <w:rPr>
                <w:b w:val="false"/>
                <w:bCs w:val="false"/>
                <w:sz w:val="19"/>
                <w:szCs w:val="19"/>
              </w:rPr>
              <w:t xml:space="preserve">, </w:t>
            </w:r>
            <w:r>
              <w:rPr>
                <w:rFonts w:ascii="Consolas" w:cs="Consolas" w:eastAsia="Consolas" w:hAnsi="Consolas"/>
                <w:b w:val="false"/>
                <w:bCs w:val="false"/>
                <w:sz w:val="19"/>
                <w:szCs w:val="19"/>
              </w:rPr>
              <w:t xml:space="preserve">medically_fit_at</w:t>
            </w:r>
            <w:r>
              <w:rPr>
                <w:b w:val="false"/>
                <w:bCs w:val="false"/>
                <w:sz w:val="19"/>
                <w:szCs w:val="19"/>
              </w:rPr>
              <w:t xml:space="preserve">, </w:t>
            </w:r>
            <w:r>
              <w:rPr>
                <w:rFonts w:ascii="Consolas" w:cs="Consolas" w:eastAsia="Consolas" w:hAnsi="Consolas"/>
                <w:b w:val="false"/>
                <w:bCs w:val="false"/>
                <w:sz w:val="19"/>
                <w:szCs w:val="19"/>
              </w:rPr>
              <w:t xml:space="preserve">news2_cached</w:t>
            </w:r>
            <w:r>
              <w:rPr>
                <w:b w:val="false"/>
                <w:bCs w:val="false"/>
                <w:sz w:val="19"/>
                <w:szCs w:val="19"/>
              </w:rPr>
              <w:t xml:space="preserve">, </w:t>
            </w:r>
            <w:r>
              <w:rPr>
                <w:rFonts w:ascii="Consolas" w:cs="Consolas" w:eastAsia="Consolas" w:hAnsi="Consolas"/>
                <w:b w:val="false"/>
                <w:bCs w:val="false"/>
                <w:sz w:val="19"/>
                <w:szCs w:val="19"/>
              </w:rPr>
              <w:t xml:space="preserve">news2_cached_at</w:t>
            </w:r>
          </w:p>
        </w:tc>
      </w:tr>
      <w:tr>
        <w:tc>
          <w:tcPr>
            <w:tcW w:type="dxa" w:w="2246"/>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virtual_ward_beds.csv</w:t>
            </w:r>
          </w:p>
        </w:tc>
        <w:tc>
          <w:tcPr>
            <w:tcW w:type="dxa" w:w="1123"/>
            <w:tcMar>
              <w:top w:type="dxa" w:w="60"/>
              <w:left w:type="dxa" w:w="90"/>
              <w:bottom w:type="dxa" w:w="60"/>
              <w:right w:type="dxa" w:w="90"/>
            </w:tcMar>
          </w:tcPr>
          <w:p>
            <w:pPr>
              <w:spacing w:after="0"/>
            </w:pPr>
            <w:r>
              <w:rPr>
                <w:b w:val="false"/>
                <w:bCs w:val="false"/>
                <w:sz w:val="19"/>
                <w:szCs w:val="19"/>
              </w:rPr>
              <w:t xml:space="preserve">44</w:t>
            </w:r>
          </w:p>
        </w:tc>
        <w:tc>
          <w:tcPr>
            <w:tcW w:type="dxa" w:w="599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virtual_bed_id</w:t>
            </w:r>
            <w:r>
              <w:rPr>
                <w:b w:val="false"/>
                <w:bCs w:val="false"/>
                <w:sz w:val="19"/>
                <w:szCs w:val="19"/>
              </w:rPr>
              <w:t xml:space="preserve"> (primary key), </w:t>
            </w:r>
            <w:r>
              <w:rPr>
                <w:rFonts w:ascii="Consolas" w:cs="Consolas" w:eastAsia="Consolas" w:hAnsi="Consolas"/>
                <w:b w:val="false"/>
                <w:bCs w:val="false"/>
                <w:sz w:val="19"/>
                <w:szCs w:val="19"/>
              </w:rPr>
              <w:t xml:space="preserve">care_pathway</w:t>
            </w:r>
            <w:r>
              <w:rPr>
                <w:b w:val="false"/>
                <w:bCs w:val="false"/>
                <w:sz w:val="19"/>
                <w:szCs w:val="19"/>
              </w:rPr>
              <w:t xml:space="preserve">, </w:t>
            </w:r>
            <w:r>
              <w:rPr>
                <w:rFonts w:ascii="Consolas" w:cs="Consolas" w:eastAsia="Consolas" w:hAnsi="Consolas"/>
                <w:b w:val="false"/>
                <w:bCs w:val="false"/>
                <w:sz w:val="19"/>
                <w:szCs w:val="19"/>
              </w:rPr>
              <w:t xml:space="preserve">bed_status</w:t>
            </w:r>
            <w:r>
              <w:rPr>
                <w:b w:val="false"/>
                <w:bCs w:val="false"/>
                <w:sz w:val="19"/>
                <w:szCs w:val="19"/>
              </w:rPr>
              <w:t xml:space="preserve">, </w:t>
            </w:r>
            <w:r>
              <w:rPr>
                <w:rFonts w:ascii="Consolas" w:cs="Consolas" w:eastAsia="Consolas" w:hAnsi="Consolas"/>
                <w:b w:val="false"/>
                <w:bCs w:val="false"/>
                <w:sz w:val="19"/>
                <w:szCs w:val="19"/>
              </w:rPr>
              <w:t xml:space="preserve">capacity_team</w:t>
            </w:r>
            <w:r>
              <w:rPr>
                <w:b w:val="false"/>
                <w:bCs w:val="false"/>
                <w:sz w:val="19"/>
                <w:szCs w:val="19"/>
              </w:rPr>
              <w:t xml:space="preserve">, </w:t>
            </w:r>
            <w:r>
              <w:rPr>
                <w:rFonts w:ascii="Consolas" w:cs="Consolas" w:eastAsia="Consolas" w:hAnsi="Consolas"/>
                <w:b w:val="false"/>
                <w:bCs w:val="false"/>
                <w:sz w:val="19"/>
                <w:szCs w:val="19"/>
              </w:rPr>
              <w:t xml:space="preserve">trust_code</w:t>
            </w:r>
          </w:p>
        </w:tc>
      </w:tr>
      <w:tr>
        <w:tc>
          <w:tcPr>
            <w:tcW w:type="dxa" w:w="2246"/>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telemetry_readings.csv</w:t>
            </w:r>
          </w:p>
        </w:tc>
        <w:tc>
          <w:tcPr>
            <w:tcW w:type="dxa" w:w="1123"/>
            <w:tcMar>
              <w:top w:type="dxa" w:w="60"/>
              <w:left w:type="dxa" w:w="90"/>
              <w:bottom w:type="dxa" w:w="60"/>
              <w:right w:type="dxa" w:w="90"/>
            </w:tcMar>
          </w:tcPr>
          <w:p>
            <w:pPr>
              <w:spacing w:after="0"/>
            </w:pPr>
            <w:r>
              <w:rPr>
                <w:b w:val="false"/>
                <w:bCs w:val="false"/>
                <w:sz w:val="19"/>
                <w:szCs w:val="19"/>
              </w:rPr>
              <w:t xml:space="preserve">21,288 raw</w:t>
            </w:r>
          </w:p>
        </w:tc>
        <w:tc>
          <w:tcPr>
            <w:tcW w:type="dxa" w:w="5991"/>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reading_id</w:t>
            </w:r>
            <w:r>
              <w:rPr>
                <w:b w:val="false"/>
                <w:bCs w:val="false"/>
                <w:sz w:val="19"/>
                <w:szCs w:val="19"/>
              </w:rPr>
              <w:t xml:space="preserve"> (primary key), </w:t>
            </w:r>
            <w:r>
              <w:rPr>
                <w:rFonts w:ascii="Consolas" w:cs="Consolas" w:eastAsia="Consolas" w:hAnsi="Consolas"/>
                <w:b w:val="false"/>
                <w:bCs w:val="false"/>
                <w:sz w:val="19"/>
                <w:szCs w:val="19"/>
              </w:rPr>
              <w:t xml:space="preserve">admission_id</w:t>
            </w:r>
            <w:r>
              <w:rPr>
                <w:b w:val="false"/>
                <w:bCs w:val="false"/>
                <w:sz w:val="19"/>
                <w:szCs w:val="19"/>
              </w:rPr>
              <w:t xml:space="preserve">, </w:t>
            </w:r>
            <w:r>
              <w:rPr>
                <w:rFonts w:ascii="Consolas" w:cs="Consolas" w:eastAsia="Consolas" w:hAnsi="Consolas"/>
                <w:b w:val="false"/>
                <w:bCs w:val="false"/>
                <w:sz w:val="19"/>
                <w:szCs w:val="19"/>
              </w:rPr>
              <w:t xml:space="preserve">virtual_bed_id</w:t>
            </w:r>
            <w:r>
              <w:rPr>
                <w:b w:val="false"/>
                <w:bCs w:val="false"/>
                <w:sz w:val="19"/>
                <w:szCs w:val="19"/>
              </w:rPr>
              <w:t xml:space="preserve">, </w:t>
            </w:r>
            <w:r>
              <w:rPr>
                <w:rFonts w:ascii="Consolas" w:cs="Consolas" w:eastAsia="Consolas" w:hAnsi="Consolas"/>
                <w:b w:val="false"/>
                <w:bCs w:val="false"/>
                <w:sz w:val="19"/>
                <w:szCs w:val="19"/>
              </w:rPr>
              <w:t xml:space="preserve">device_id</w:t>
            </w:r>
            <w:r>
              <w:rPr>
                <w:b w:val="false"/>
                <w:bCs w:val="false"/>
                <w:sz w:val="19"/>
                <w:szCs w:val="19"/>
              </w:rPr>
              <w:t xml:space="preserve">, </w:t>
            </w:r>
            <w:r>
              <w:rPr>
                <w:rFonts w:ascii="Consolas" w:cs="Consolas" w:eastAsia="Consolas" w:hAnsi="Consolas"/>
                <w:b w:val="false"/>
                <w:bCs w:val="false"/>
                <w:sz w:val="19"/>
                <w:szCs w:val="19"/>
              </w:rPr>
              <w:t xml:space="preserve">recorded_at</w:t>
            </w:r>
            <w:r>
              <w:rPr>
                <w:b w:val="false"/>
                <w:bCs w:val="false"/>
                <w:sz w:val="19"/>
                <w:szCs w:val="19"/>
              </w:rPr>
              <w:t xml:space="preserve">, </w:t>
            </w:r>
            <w:r>
              <w:rPr>
                <w:rFonts w:ascii="Consolas" w:cs="Consolas" w:eastAsia="Consolas" w:hAnsi="Consolas"/>
                <w:b w:val="false"/>
                <w:bCs w:val="false"/>
                <w:sz w:val="19"/>
                <w:szCs w:val="19"/>
              </w:rPr>
              <w:t xml:space="preserve">heart_rate</w:t>
            </w:r>
            <w:r>
              <w:rPr>
                <w:b w:val="false"/>
                <w:bCs w:val="false"/>
                <w:sz w:val="19"/>
                <w:szCs w:val="19"/>
              </w:rPr>
              <w:t xml:space="preserve">, </w:t>
            </w:r>
            <w:r>
              <w:rPr>
                <w:rFonts w:ascii="Consolas" w:cs="Consolas" w:eastAsia="Consolas" w:hAnsi="Consolas"/>
                <w:b w:val="false"/>
                <w:bCs w:val="false"/>
                <w:sz w:val="19"/>
                <w:szCs w:val="19"/>
              </w:rPr>
              <w:t xml:space="preserve">spo2</w:t>
            </w:r>
            <w:r>
              <w:rPr>
                <w:b w:val="false"/>
                <w:bCs w:val="false"/>
                <w:sz w:val="19"/>
                <w:szCs w:val="19"/>
              </w:rPr>
              <w:t xml:space="preserve">, </w:t>
            </w:r>
            <w:r>
              <w:rPr>
                <w:rFonts w:ascii="Consolas" w:cs="Consolas" w:eastAsia="Consolas" w:hAnsi="Consolas"/>
                <w:b w:val="false"/>
                <w:bCs w:val="false"/>
                <w:sz w:val="19"/>
                <w:szCs w:val="19"/>
              </w:rPr>
              <w:t xml:space="preserve">systolic_bp</w:t>
            </w:r>
            <w:r>
              <w:rPr>
                <w:b w:val="false"/>
                <w:bCs w:val="false"/>
                <w:sz w:val="19"/>
                <w:szCs w:val="19"/>
              </w:rPr>
              <w:t xml:space="preserve">, </w:t>
            </w:r>
            <w:r>
              <w:rPr>
                <w:rFonts w:ascii="Consolas" w:cs="Consolas" w:eastAsia="Consolas" w:hAnsi="Consolas"/>
                <w:b w:val="false"/>
                <w:bCs w:val="false"/>
                <w:sz w:val="19"/>
                <w:szCs w:val="19"/>
              </w:rPr>
              <w:t xml:space="preserve">respiration_rate</w:t>
            </w:r>
            <w:r>
              <w:rPr>
                <w:b w:val="false"/>
                <w:bCs w:val="false"/>
                <w:sz w:val="19"/>
                <w:szCs w:val="19"/>
              </w:rPr>
              <w:t xml:space="preserve">, </w:t>
            </w:r>
            <w:r>
              <w:rPr>
                <w:rFonts w:ascii="Consolas" w:cs="Consolas" w:eastAsia="Consolas" w:hAnsi="Consolas"/>
                <w:b w:val="false"/>
                <w:bCs w:val="false"/>
                <w:sz w:val="19"/>
                <w:szCs w:val="19"/>
              </w:rPr>
              <w:t xml:space="preserve">reading_source</w:t>
            </w:r>
          </w:p>
        </w:tc>
      </w:tr>
    </w:tbl>
    <w:p>
      <w:pPr>
        <w:spacing w:after="140"/>
      </w:pPr>
    </w:p>
    <w:p>
      <w:pPr>
        <w:pStyle w:val="ListParagraph"/>
        <w:numPr>
          <w:ilvl w:val="0"/>
          <w:numId w:val="2"/>
        </w:numPr>
        <w:spacing w:after="60"/>
      </w:pPr>
      <w:r>
        <w:t xml:space="preserve">Telemetry runs at half-hourly intervals across a 48-hour window, for every admission — those still on an acute ward and those already stepped down.</w:t>
      </w:r>
    </w:p>
    <w:p>
      <w:pPr>
        <w:pStyle w:val="ListParagraph"/>
        <w:numPr>
          <w:ilvl w:val="0"/>
          <w:numId w:val="2"/>
        </w:numPr>
        <w:spacing w:after="60"/>
      </w:pPr>
      <w:r>
        <w:t xml:space="preserve">Monitors drop out. A dropped reading appears as </w:t>
      </w:r>
      <w:r>
        <w:rPr>
          <w:rFonts w:ascii="Consolas" w:cs="Consolas" w:eastAsia="Consolas" w:hAnsi="Consolas"/>
          <w:sz w:val="19"/>
          <w:szCs w:val="19"/>
        </w:rPr>
        <w:t xml:space="preserve">0</w:t>
      </w:r>
      <w:r>
        <w:t xml:space="preserve">, </w:t>
      </w:r>
      <w:r>
        <w:rPr>
          <w:rFonts w:ascii="Consolas" w:cs="Consolas" w:eastAsia="Consolas" w:hAnsi="Consolas"/>
          <w:sz w:val="19"/>
          <w:szCs w:val="19"/>
        </w:rPr>
        <w:t xml:space="preserve">-1</w:t>
      </w:r>
      <w:r>
        <w:t xml:space="preserve"> or an empty cell. Separately, a small number of readings are physiologically impossible: a heart rate of 300, an SpO2 of 130.</w:t>
      </w:r>
    </w:p>
    <w:p>
      <w:pPr>
        <w:pStyle w:val="ListParagraph"/>
        <w:numPr>
          <w:ilvl w:val="0"/>
          <w:numId w:val="2"/>
        </w:numPr>
        <w:spacing w:after="60"/>
      </w:pPr>
      <w:r>
        <w:rPr>
          <w:rFonts w:ascii="Consolas" w:cs="Consolas" w:eastAsia="Consolas" w:hAnsi="Consolas"/>
          <w:sz w:val="19"/>
          <w:szCs w:val="19"/>
        </w:rPr>
        <w:t xml:space="preserve">news2_cached</w:t>
      </w:r>
      <w:r>
        <w:t xml:space="preserve"> was written by an upstream system some hours ago and is wrong for most admissions. Recompute it.</w:t>
      </w:r>
    </w:p>
    <w:p>
      <w:pPr>
        <w:pStyle w:val="ListParagraph"/>
        <w:numPr>
          <w:ilvl w:val="0"/>
          <w:numId w:val="2"/>
        </w:numPr>
        <w:spacing w:after="60"/>
      </w:pPr>
      <w:r>
        <w:rPr>
          <w:rFonts w:ascii="Consolas" w:cs="Consolas" w:eastAsia="Consolas" w:hAnsi="Consolas"/>
          <w:sz w:val="19"/>
          <w:szCs w:val="19"/>
        </w:rPr>
        <w:t xml:space="preserve">care_pathway</w:t>
      </w:r>
      <w:r>
        <w:t xml:space="preserve"> and </w:t>
      </w:r>
      <w:r>
        <w:rPr>
          <w:rFonts w:ascii="Consolas" w:cs="Consolas" w:eastAsia="Consolas" w:hAnsi="Consolas"/>
          <w:sz w:val="19"/>
          <w:szCs w:val="19"/>
        </w:rPr>
        <w:t xml:space="preserve">mobility_status</w:t>
      </w:r>
      <w:r>
        <w:t xml:space="preserve"> have inconsistent casing.</w:t>
      </w:r>
    </w:p>
    <w:p>
      <w:pPr>
        <w:pBdr>
          <w:left w:val="single" w:color="4472C4" w:sz="18" w:space="12"/>
        </w:pBdr>
        <w:spacing w:after="160" w:before="120"/>
        <w:ind w:left="220"/>
      </w:pPr>
      <w:r>
        <w:rPr>
          <w:b/>
          <w:bCs/>
        </w:rPr>
        <w:t xml:space="preserve">Clean by exclusion, not by smoothing.  </w:t>
      </w:r>
      <w:r>
        <w:t xml:space="preserve">It is tempting to run a rolling median over the vitals to suppress the noise. Do not. A six-hour median is precisely the operation that hides an acute deterioration, which is the one thing the escalation rule exists to catch — and it also makes the expected answer depend on how you handle the window. Drop the invalid readings and score the most recent surviving one. A rolling median is a useful *chart* series on Day 5; it is not an input to a clinical score.</w:t>
      </w:r>
    </w:p>
    <w:p>
      <w:pPr>
        <w:pStyle w:val="Heading2"/>
        <w:spacing w:after="120" w:before="260"/>
      </w:pPr>
      <w:r>
        <w:t xml:space="preserve">3. NEWS2</w:t>
      </w:r>
    </w:p>
    <w:p>
      <w:pPr>
        <w:spacing w:after="120"/>
      </w:pPr>
      <w:r>
        <w:t xml:space="preserve">The National Early Warning Score 2, as published by the Royal College of Physicians. Four parameters, each scoring 0 to 3; the total is their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030"/>
        <w:gridCol w:w="1123"/>
        <w:gridCol w:w="1123"/>
        <w:gridCol w:w="1217"/>
        <w:gridCol w:w="1030"/>
        <w:gridCol w:w="1123"/>
        <w:gridCol w:w="655"/>
      </w:tblGrid>
      <w:tr>
        <w:trPr>
          <w:tblHeader/>
        </w:trPr>
        <w:tc>
          <w:tcPr>
            <w:tcW w:type="dxa" w:w="2059"/>
            <w:shd w:fill="E8EDF5" w:val="clear"/>
            <w:tcMar>
              <w:top w:type="dxa" w:w="60"/>
              <w:left w:type="dxa" w:w="90"/>
              <w:bottom w:type="dxa" w:w="60"/>
              <w:right w:type="dxa" w:w="90"/>
            </w:tcMar>
          </w:tcPr>
          <w:p>
            <w:pPr>
              <w:spacing w:after="0"/>
            </w:pPr>
            <w:r>
              <w:rPr>
                <w:b/>
                <w:bCs/>
                <w:sz w:val="19"/>
                <w:szCs w:val="19"/>
              </w:rPr>
              <w:t xml:space="preserve">Parameter</w:t>
            </w:r>
          </w:p>
        </w:tc>
        <w:tc>
          <w:tcPr>
            <w:tcW w:type="dxa" w:w="1030"/>
            <w:shd w:fill="E8EDF5" w:val="clear"/>
            <w:tcMar>
              <w:top w:type="dxa" w:w="60"/>
              <w:left w:type="dxa" w:w="90"/>
              <w:bottom w:type="dxa" w:w="60"/>
              <w:right w:type="dxa" w:w="90"/>
            </w:tcMar>
          </w:tcPr>
          <w:p>
            <w:pPr>
              <w:spacing w:after="0"/>
            </w:pPr>
            <w:r>
              <w:rPr>
                <w:b/>
                <w:bCs/>
                <w:sz w:val="19"/>
                <w:szCs w:val="19"/>
              </w:rPr>
              <w:t xml:space="preserve">3</w:t>
            </w:r>
          </w:p>
        </w:tc>
        <w:tc>
          <w:tcPr>
            <w:tcW w:type="dxa" w:w="1123"/>
            <w:shd w:fill="E8EDF5" w:val="clear"/>
            <w:tcMar>
              <w:top w:type="dxa" w:w="60"/>
              <w:left w:type="dxa" w:w="90"/>
              <w:bottom w:type="dxa" w:w="60"/>
              <w:right w:type="dxa" w:w="90"/>
            </w:tcMar>
          </w:tcPr>
          <w:p>
            <w:pPr>
              <w:spacing w:after="0"/>
            </w:pPr>
            <w:r>
              <w:rPr>
                <w:b/>
                <w:bCs/>
                <w:sz w:val="19"/>
                <w:szCs w:val="19"/>
              </w:rPr>
              <w:t xml:space="preserve">2</w:t>
            </w:r>
          </w:p>
        </w:tc>
        <w:tc>
          <w:tcPr>
            <w:tcW w:type="dxa" w:w="1123"/>
            <w:shd w:fill="E8EDF5" w:val="clear"/>
            <w:tcMar>
              <w:top w:type="dxa" w:w="60"/>
              <w:left w:type="dxa" w:w="90"/>
              <w:bottom w:type="dxa" w:w="60"/>
              <w:right w:type="dxa" w:w="90"/>
            </w:tcMar>
          </w:tcPr>
          <w:p>
            <w:pPr>
              <w:spacing w:after="0"/>
            </w:pPr>
            <w:r>
              <w:rPr>
                <w:b/>
                <w:bCs/>
                <w:sz w:val="19"/>
                <w:szCs w:val="19"/>
              </w:rPr>
              <w:t xml:space="preserve">1</w:t>
            </w:r>
          </w:p>
        </w:tc>
        <w:tc>
          <w:tcPr>
            <w:tcW w:type="dxa" w:w="1217"/>
            <w:shd w:fill="E8EDF5" w:val="clear"/>
            <w:tcMar>
              <w:top w:type="dxa" w:w="60"/>
              <w:left w:type="dxa" w:w="90"/>
              <w:bottom w:type="dxa" w:w="60"/>
              <w:right w:type="dxa" w:w="90"/>
            </w:tcMar>
          </w:tcPr>
          <w:p>
            <w:pPr>
              <w:spacing w:after="0"/>
            </w:pPr>
            <w:r>
              <w:rPr>
                <w:b/>
                <w:bCs/>
                <w:sz w:val="19"/>
                <w:szCs w:val="19"/>
              </w:rPr>
              <w:t xml:space="preserve">0</w:t>
            </w:r>
          </w:p>
        </w:tc>
        <w:tc>
          <w:tcPr>
            <w:tcW w:type="dxa" w:w="1030"/>
            <w:shd w:fill="E8EDF5" w:val="clear"/>
            <w:tcMar>
              <w:top w:type="dxa" w:w="60"/>
              <w:left w:type="dxa" w:w="90"/>
              <w:bottom w:type="dxa" w:w="60"/>
              <w:right w:type="dxa" w:w="90"/>
            </w:tcMar>
          </w:tcPr>
          <w:p>
            <w:pPr>
              <w:spacing w:after="0"/>
            </w:pPr>
            <w:r>
              <w:rPr>
                <w:b/>
                <w:bCs/>
                <w:sz w:val="19"/>
                <w:szCs w:val="19"/>
              </w:rPr>
              <w:t xml:space="preserve">1</w:t>
            </w:r>
          </w:p>
        </w:tc>
        <w:tc>
          <w:tcPr>
            <w:tcW w:type="dxa" w:w="1123"/>
            <w:shd w:fill="E8EDF5" w:val="clear"/>
            <w:tcMar>
              <w:top w:type="dxa" w:w="60"/>
              <w:left w:type="dxa" w:w="90"/>
              <w:bottom w:type="dxa" w:w="60"/>
              <w:right w:type="dxa" w:w="90"/>
            </w:tcMar>
          </w:tcPr>
          <w:p>
            <w:pPr>
              <w:spacing w:after="0"/>
            </w:pPr>
            <w:r>
              <w:rPr>
                <w:b/>
                <w:bCs/>
                <w:sz w:val="19"/>
                <w:szCs w:val="19"/>
              </w:rPr>
              <w:t xml:space="preserve">2</w:t>
            </w:r>
          </w:p>
        </w:tc>
        <w:tc>
          <w:tcPr>
            <w:tcW w:type="dxa" w:w="655"/>
            <w:shd w:fill="E8EDF5" w:val="clear"/>
            <w:tcMar>
              <w:top w:type="dxa" w:w="60"/>
              <w:left w:type="dxa" w:w="90"/>
              <w:bottom w:type="dxa" w:w="60"/>
              <w:right w:type="dxa" w:w="90"/>
            </w:tcMar>
          </w:tcPr>
          <w:p>
            <w:pPr>
              <w:spacing w:after="0"/>
            </w:pPr>
            <w:r>
              <w:rPr>
                <w:b/>
                <w:bCs/>
                <w:sz w:val="19"/>
                <w:szCs w:val="19"/>
              </w:rPr>
              <w:t xml:space="preserve">3</w:t>
            </w:r>
          </w:p>
        </w:tc>
      </w:tr>
      <w:tr>
        <w:tc>
          <w:tcPr>
            <w:tcW w:type="dxa" w:w="2059"/>
            <w:tcMar>
              <w:top w:type="dxa" w:w="60"/>
              <w:left w:type="dxa" w:w="90"/>
              <w:bottom w:type="dxa" w:w="60"/>
              <w:right w:type="dxa" w:w="90"/>
            </w:tcMar>
          </w:tcPr>
          <w:p>
            <w:pPr>
              <w:spacing w:after="0"/>
            </w:pPr>
            <w:r>
              <w:rPr>
                <w:b w:val="false"/>
                <w:bCs w:val="false"/>
                <w:sz w:val="19"/>
                <w:szCs w:val="19"/>
              </w:rPr>
              <w:t xml:space="preserve">Respiration rate</w:t>
            </w:r>
          </w:p>
        </w:tc>
        <w:tc>
          <w:tcPr>
            <w:tcW w:type="dxa" w:w="1030"/>
            <w:tcMar>
              <w:top w:type="dxa" w:w="60"/>
              <w:left w:type="dxa" w:w="90"/>
              <w:bottom w:type="dxa" w:w="60"/>
              <w:right w:type="dxa" w:w="90"/>
            </w:tcMar>
          </w:tcPr>
          <w:p>
            <w:pPr>
              <w:spacing w:after="0"/>
            </w:pPr>
            <w:r>
              <w:rPr>
                <w:b w:val="false"/>
                <w:bCs w:val="false"/>
                <w:sz w:val="19"/>
                <w:szCs w:val="19"/>
              </w:rPr>
              <w:t xml:space="preserve">≤8</w:t>
            </w:r>
          </w:p>
        </w:tc>
        <w:tc>
          <w:tcPr>
            <w:tcW w:type="dxa" w:w="1123"/>
            <w:tcMar>
              <w:top w:type="dxa" w:w="60"/>
              <w:left w:type="dxa" w:w="90"/>
              <w:bottom w:type="dxa" w:w="60"/>
              <w:right w:type="dxa" w:w="90"/>
            </w:tcMar>
          </w:tcPr>
          <w:p>
            <w:pPr>
              <w:spacing w:after="0"/>
            </w:pPr>
            <w:r>
              <w:rPr>
                <w:b w:val="false"/>
                <w:bCs w:val="false"/>
                <w:sz w:val="19"/>
                <w:szCs w:val="19"/>
              </w:rPr>
              <w:t xml:space="preserve">—</w:t>
            </w:r>
          </w:p>
        </w:tc>
        <w:tc>
          <w:tcPr>
            <w:tcW w:type="dxa" w:w="1123"/>
            <w:tcMar>
              <w:top w:type="dxa" w:w="60"/>
              <w:left w:type="dxa" w:w="90"/>
              <w:bottom w:type="dxa" w:w="60"/>
              <w:right w:type="dxa" w:w="90"/>
            </w:tcMar>
          </w:tcPr>
          <w:p>
            <w:pPr>
              <w:spacing w:after="0"/>
            </w:pPr>
            <w:r>
              <w:rPr>
                <w:b w:val="false"/>
                <w:bCs w:val="false"/>
                <w:sz w:val="19"/>
                <w:szCs w:val="19"/>
              </w:rPr>
              <w:t xml:space="preserve">9–11</w:t>
            </w:r>
          </w:p>
        </w:tc>
        <w:tc>
          <w:tcPr>
            <w:tcW w:type="dxa" w:w="1217"/>
            <w:tcMar>
              <w:top w:type="dxa" w:w="60"/>
              <w:left w:type="dxa" w:w="90"/>
              <w:bottom w:type="dxa" w:w="60"/>
              <w:right w:type="dxa" w:w="90"/>
            </w:tcMar>
          </w:tcPr>
          <w:p>
            <w:pPr>
              <w:spacing w:after="0"/>
            </w:pPr>
            <w:r>
              <w:rPr>
                <w:b w:val="false"/>
                <w:bCs w:val="false"/>
                <w:sz w:val="19"/>
                <w:szCs w:val="19"/>
              </w:rPr>
              <w:t xml:space="preserve">12–20</w:t>
            </w:r>
          </w:p>
        </w:tc>
        <w:tc>
          <w:tcPr>
            <w:tcW w:type="dxa" w:w="1030"/>
            <w:tcMar>
              <w:top w:type="dxa" w:w="60"/>
              <w:left w:type="dxa" w:w="90"/>
              <w:bottom w:type="dxa" w:w="60"/>
              <w:right w:type="dxa" w:w="90"/>
            </w:tcMar>
          </w:tcPr>
          <w:p>
            <w:pPr>
              <w:spacing w:after="0"/>
            </w:pPr>
            <w:r>
              <w:rPr>
                <w:b w:val="false"/>
                <w:bCs w:val="false"/>
                <w:sz w:val="19"/>
                <w:szCs w:val="19"/>
              </w:rPr>
              <w:t xml:space="preserve">—</w:t>
            </w:r>
          </w:p>
        </w:tc>
        <w:tc>
          <w:tcPr>
            <w:tcW w:type="dxa" w:w="1123"/>
            <w:tcMar>
              <w:top w:type="dxa" w:w="60"/>
              <w:left w:type="dxa" w:w="90"/>
              <w:bottom w:type="dxa" w:w="60"/>
              <w:right w:type="dxa" w:w="90"/>
            </w:tcMar>
          </w:tcPr>
          <w:p>
            <w:pPr>
              <w:spacing w:after="0"/>
            </w:pPr>
            <w:r>
              <w:rPr>
                <w:b w:val="false"/>
                <w:bCs w:val="false"/>
                <w:sz w:val="19"/>
                <w:szCs w:val="19"/>
              </w:rPr>
              <w:t xml:space="preserve">21–24</w:t>
            </w:r>
          </w:p>
        </w:tc>
        <w:tc>
          <w:tcPr>
            <w:tcW w:type="dxa" w:w="655"/>
            <w:tcMar>
              <w:top w:type="dxa" w:w="60"/>
              <w:left w:type="dxa" w:w="90"/>
              <w:bottom w:type="dxa" w:w="60"/>
              <w:right w:type="dxa" w:w="90"/>
            </w:tcMar>
          </w:tcPr>
          <w:p>
            <w:pPr>
              <w:spacing w:after="0"/>
            </w:pPr>
            <w:r>
              <w:rPr>
                <w:b w:val="false"/>
                <w:bCs w:val="false"/>
                <w:sz w:val="19"/>
                <w:szCs w:val="19"/>
              </w:rPr>
              <w:t xml:space="preserve">≥25</w:t>
            </w:r>
          </w:p>
        </w:tc>
      </w:tr>
      <w:tr>
        <w:tc>
          <w:tcPr>
            <w:tcW w:type="dxa" w:w="2059"/>
            <w:tcMar>
              <w:top w:type="dxa" w:w="60"/>
              <w:left w:type="dxa" w:w="90"/>
              <w:bottom w:type="dxa" w:w="60"/>
              <w:right w:type="dxa" w:w="90"/>
            </w:tcMar>
          </w:tcPr>
          <w:p>
            <w:pPr>
              <w:spacing w:after="0"/>
            </w:pPr>
            <w:r>
              <w:rPr>
                <w:b w:val="false"/>
                <w:bCs w:val="false"/>
                <w:sz w:val="19"/>
                <w:szCs w:val="19"/>
              </w:rPr>
              <w:t xml:space="preserve">SpO2 (Scale 1)</w:t>
            </w:r>
          </w:p>
        </w:tc>
        <w:tc>
          <w:tcPr>
            <w:tcW w:type="dxa" w:w="1030"/>
            <w:tcMar>
              <w:top w:type="dxa" w:w="60"/>
              <w:left w:type="dxa" w:w="90"/>
              <w:bottom w:type="dxa" w:w="60"/>
              <w:right w:type="dxa" w:w="90"/>
            </w:tcMar>
          </w:tcPr>
          <w:p>
            <w:pPr>
              <w:spacing w:after="0"/>
            </w:pPr>
            <w:r>
              <w:rPr>
                <w:b w:val="false"/>
                <w:bCs w:val="false"/>
                <w:sz w:val="19"/>
                <w:szCs w:val="19"/>
              </w:rPr>
              <w:t xml:space="preserve">≤91</w:t>
            </w:r>
          </w:p>
        </w:tc>
        <w:tc>
          <w:tcPr>
            <w:tcW w:type="dxa" w:w="1123"/>
            <w:tcMar>
              <w:top w:type="dxa" w:w="60"/>
              <w:left w:type="dxa" w:w="90"/>
              <w:bottom w:type="dxa" w:w="60"/>
              <w:right w:type="dxa" w:w="90"/>
            </w:tcMar>
          </w:tcPr>
          <w:p>
            <w:pPr>
              <w:spacing w:after="0"/>
            </w:pPr>
            <w:r>
              <w:rPr>
                <w:b w:val="false"/>
                <w:bCs w:val="false"/>
                <w:sz w:val="19"/>
                <w:szCs w:val="19"/>
              </w:rPr>
              <w:t xml:space="preserve">92–93</w:t>
            </w:r>
          </w:p>
        </w:tc>
        <w:tc>
          <w:tcPr>
            <w:tcW w:type="dxa" w:w="1123"/>
            <w:tcMar>
              <w:top w:type="dxa" w:w="60"/>
              <w:left w:type="dxa" w:w="90"/>
              <w:bottom w:type="dxa" w:w="60"/>
              <w:right w:type="dxa" w:w="90"/>
            </w:tcMar>
          </w:tcPr>
          <w:p>
            <w:pPr>
              <w:spacing w:after="0"/>
            </w:pPr>
            <w:r>
              <w:rPr>
                <w:b w:val="false"/>
                <w:bCs w:val="false"/>
                <w:sz w:val="19"/>
                <w:szCs w:val="19"/>
              </w:rPr>
              <w:t xml:space="preserve">94–95</w:t>
            </w:r>
          </w:p>
        </w:tc>
        <w:tc>
          <w:tcPr>
            <w:tcW w:type="dxa" w:w="1217"/>
            <w:tcMar>
              <w:top w:type="dxa" w:w="60"/>
              <w:left w:type="dxa" w:w="90"/>
              <w:bottom w:type="dxa" w:w="60"/>
              <w:right w:type="dxa" w:w="90"/>
            </w:tcMar>
          </w:tcPr>
          <w:p>
            <w:pPr>
              <w:spacing w:after="0"/>
            </w:pPr>
            <w:r>
              <w:rPr>
                <w:b w:val="false"/>
                <w:bCs w:val="false"/>
                <w:sz w:val="19"/>
                <w:szCs w:val="19"/>
              </w:rPr>
              <w:t xml:space="preserve">≥96</w:t>
            </w:r>
          </w:p>
        </w:tc>
        <w:tc>
          <w:tcPr>
            <w:tcW w:type="dxa" w:w="1030"/>
            <w:tcMar>
              <w:top w:type="dxa" w:w="60"/>
              <w:left w:type="dxa" w:w="90"/>
              <w:bottom w:type="dxa" w:w="60"/>
              <w:right w:type="dxa" w:w="90"/>
            </w:tcMar>
          </w:tcPr>
          <w:p>
            <w:pPr>
              <w:spacing w:after="0"/>
            </w:pPr>
            <w:r>
              <w:rPr>
                <w:b w:val="false"/>
                <w:bCs w:val="false"/>
                <w:sz w:val="19"/>
                <w:szCs w:val="19"/>
              </w:rPr>
              <w:t xml:space="preserve">—</w:t>
            </w:r>
          </w:p>
        </w:tc>
        <w:tc>
          <w:tcPr>
            <w:tcW w:type="dxa" w:w="1123"/>
            <w:tcMar>
              <w:top w:type="dxa" w:w="60"/>
              <w:left w:type="dxa" w:w="90"/>
              <w:bottom w:type="dxa" w:w="60"/>
              <w:right w:type="dxa" w:w="90"/>
            </w:tcMar>
          </w:tcPr>
          <w:p>
            <w:pPr>
              <w:spacing w:after="0"/>
            </w:pPr>
            <w:r>
              <w:rPr>
                <w:b w:val="false"/>
                <w:bCs w:val="false"/>
                <w:sz w:val="19"/>
                <w:szCs w:val="19"/>
              </w:rPr>
              <w:t xml:space="preserve">—</w:t>
            </w:r>
          </w:p>
        </w:tc>
        <w:tc>
          <w:tcPr>
            <w:tcW w:type="dxa" w:w="655"/>
            <w:tcMar>
              <w:top w:type="dxa" w:w="60"/>
              <w:left w:type="dxa" w:w="90"/>
              <w:bottom w:type="dxa" w:w="60"/>
              <w:right w:type="dxa" w:w="90"/>
            </w:tcMar>
          </w:tcPr>
          <w:p>
            <w:pPr>
              <w:spacing w:after="0"/>
            </w:pPr>
            <w:r>
              <w:rPr>
                <w:b w:val="false"/>
                <w:bCs w:val="false"/>
                <w:sz w:val="19"/>
                <w:szCs w:val="19"/>
              </w:rPr>
              <w:t xml:space="preserve">—</w:t>
            </w:r>
          </w:p>
        </w:tc>
      </w:tr>
      <w:tr>
        <w:tc>
          <w:tcPr>
            <w:tcW w:type="dxa" w:w="2059"/>
            <w:tcMar>
              <w:top w:type="dxa" w:w="60"/>
              <w:left w:type="dxa" w:w="90"/>
              <w:bottom w:type="dxa" w:w="60"/>
              <w:right w:type="dxa" w:w="90"/>
            </w:tcMar>
          </w:tcPr>
          <w:p>
            <w:pPr>
              <w:spacing w:after="0"/>
            </w:pPr>
            <w:r>
              <w:rPr>
                <w:b w:val="false"/>
                <w:bCs w:val="false"/>
                <w:sz w:val="19"/>
                <w:szCs w:val="19"/>
              </w:rPr>
              <w:t xml:space="preserve">Systolic BP</w:t>
            </w:r>
          </w:p>
        </w:tc>
        <w:tc>
          <w:tcPr>
            <w:tcW w:type="dxa" w:w="1030"/>
            <w:tcMar>
              <w:top w:type="dxa" w:w="60"/>
              <w:left w:type="dxa" w:w="90"/>
              <w:bottom w:type="dxa" w:w="60"/>
              <w:right w:type="dxa" w:w="90"/>
            </w:tcMar>
          </w:tcPr>
          <w:p>
            <w:pPr>
              <w:spacing w:after="0"/>
            </w:pPr>
            <w:r>
              <w:rPr>
                <w:b w:val="false"/>
                <w:bCs w:val="false"/>
                <w:sz w:val="19"/>
                <w:szCs w:val="19"/>
              </w:rPr>
              <w:t xml:space="preserve">≤90</w:t>
            </w:r>
          </w:p>
        </w:tc>
        <w:tc>
          <w:tcPr>
            <w:tcW w:type="dxa" w:w="1123"/>
            <w:tcMar>
              <w:top w:type="dxa" w:w="60"/>
              <w:left w:type="dxa" w:w="90"/>
              <w:bottom w:type="dxa" w:w="60"/>
              <w:right w:type="dxa" w:w="90"/>
            </w:tcMar>
          </w:tcPr>
          <w:p>
            <w:pPr>
              <w:spacing w:after="0"/>
            </w:pPr>
            <w:r>
              <w:rPr>
                <w:b w:val="false"/>
                <w:bCs w:val="false"/>
                <w:sz w:val="19"/>
                <w:szCs w:val="19"/>
              </w:rPr>
              <w:t xml:space="preserve">91–100</w:t>
            </w:r>
          </w:p>
        </w:tc>
        <w:tc>
          <w:tcPr>
            <w:tcW w:type="dxa" w:w="1123"/>
            <w:tcMar>
              <w:top w:type="dxa" w:w="60"/>
              <w:left w:type="dxa" w:w="90"/>
              <w:bottom w:type="dxa" w:w="60"/>
              <w:right w:type="dxa" w:w="90"/>
            </w:tcMar>
          </w:tcPr>
          <w:p>
            <w:pPr>
              <w:spacing w:after="0"/>
            </w:pPr>
            <w:r>
              <w:rPr>
                <w:b w:val="false"/>
                <w:bCs w:val="false"/>
                <w:sz w:val="19"/>
                <w:szCs w:val="19"/>
              </w:rPr>
              <w:t xml:space="preserve">101–110</w:t>
            </w:r>
          </w:p>
        </w:tc>
        <w:tc>
          <w:tcPr>
            <w:tcW w:type="dxa" w:w="1217"/>
            <w:tcMar>
              <w:top w:type="dxa" w:w="60"/>
              <w:left w:type="dxa" w:w="90"/>
              <w:bottom w:type="dxa" w:w="60"/>
              <w:right w:type="dxa" w:w="90"/>
            </w:tcMar>
          </w:tcPr>
          <w:p>
            <w:pPr>
              <w:spacing w:after="0"/>
            </w:pPr>
            <w:r>
              <w:rPr>
                <w:b w:val="false"/>
                <w:bCs w:val="false"/>
                <w:sz w:val="19"/>
                <w:szCs w:val="19"/>
              </w:rPr>
              <w:t xml:space="preserve">111–219</w:t>
            </w:r>
          </w:p>
        </w:tc>
        <w:tc>
          <w:tcPr>
            <w:tcW w:type="dxa" w:w="1030"/>
            <w:tcMar>
              <w:top w:type="dxa" w:w="60"/>
              <w:left w:type="dxa" w:w="90"/>
              <w:bottom w:type="dxa" w:w="60"/>
              <w:right w:type="dxa" w:w="90"/>
            </w:tcMar>
          </w:tcPr>
          <w:p>
            <w:pPr>
              <w:spacing w:after="0"/>
            </w:pPr>
            <w:r>
              <w:rPr>
                <w:b w:val="false"/>
                <w:bCs w:val="false"/>
                <w:sz w:val="19"/>
                <w:szCs w:val="19"/>
              </w:rPr>
              <w:t xml:space="preserve">—</w:t>
            </w:r>
          </w:p>
        </w:tc>
        <w:tc>
          <w:tcPr>
            <w:tcW w:type="dxa" w:w="1123"/>
            <w:tcMar>
              <w:top w:type="dxa" w:w="60"/>
              <w:left w:type="dxa" w:w="90"/>
              <w:bottom w:type="dxa" w:w="60"/>
              <w:right w:type="dxa" w:w="90"/>
            </w:tcMar>
          </w:tcPr>
          <w:p>
            <w:pPr>
              <w:spacing w:after="0"/>
            </w:pPr>
            <w:r>
              <w:rPr>
                <w:b w:val="false"/>
                <w:bCs w:val="false"/>
                <w:sz w:val="19"/>
                <w:szCs w:val="19"/>
              </w:rPr>
              <w:t xml:space="preserve">—</w:t>
            </w:r>
          </w:p>
        </w:tc>
        <w:tc>
          <w:tcPr>
            <w:tcW w:type="dxa" w:w="655"/>
            <w:tcMar>
              <w:top w:type="dxa" w:w="60"/>
              <w:left w:type="dxa" w:w="90"/>
              <w:bottom w:type="dxa" w:w="60"/>
              <w:right w:type="dxa" w:w="90"/>
            </w:tcMar>
          </w:tcPr>
          <w:p>
            <w:pPr>
              <w:spacing w:after="0"/>
            </w:pPr>
            <w:r>
              <w:rPr>
                <w:b w:val="false"/>
                <w:bCs w:val="false"/>
                <w:sz w:val="19"/>
                <w:szCs w:val="19"/>
              </w:rPr>
              <w:t xml:space="preserve">≥220</w:t>
            </w:r>
          </w:p>
        </w:tc>
      </w:tr>
      <w:tr>
        <w:tc>
          <w:tcPr>
            <w:tcW w:type="dxa" w:w="2059"/>
            <w:tcMar>
              <w:top w:type="dxa" w:w="60"/>
              <w:left w:type="dxa" w:w="90"/>
              <w:bottom w:type="dxa" w:w="60"/>
              <w:right w:type="dxa" w:w="90"/>
            </w:tcMar>
          </w:tcPr>
          <w:p>
            <w:pPr>
              <w:spacing w:after="0"/>
            </w:pPr>
            <w:r>
              <w:rPr>
                <w:b w:val="false"/>
                <w:bCs w:val="false"/>
                <w:sz w:val="19"/>
                <w:szCs w:val="19"/>
              </w:rPr>
              <w:t xml:space="preserve">Heart rate</w:t>
            </w:r>
          </w:p>
        </w:tc>
        <w:tc>
          <w:tcPr>
            <w:tcW w:type="dxa" w:w="1030"/>
            <w:tcMar>
              <w:top w:type="dxa" w:w="60"/>
              <w:left w:type="dxa" w:w="90"/>
              <w:bottom w:type="dxa" w:w="60"/>
              <w:right w:type="dxa" w:w="90"/>
            </w:tcMar>
          </w:tcPr>
          <w:p>
            <w:pPr>
              <w:spacing w:after="0"/>
            </w:pPr>
            <w:r>
              <w:rPr>
                <w:b w:val="false"/>
                <w:bCs w:val="false"/>
                <w:sz w:val="19"/>
                <w:szCs w:val="19"/>
              </w:rPr>
              <w:t xml:space="preserve">≤40</w:t>
            </w:r>
          </w:p>
        </w:tc>
        <w:tc>
          <w:tcPr>
            <w:tcW w:type="dxa" w:w="1123"/>
            <w:tcMar>
              <w:top w:type="dxa" w:w="60"/>
              <w:left w:type="dxa" w:w="90"/>
              <w:bottom w:type="dxa" w:w="60"/>
              <w:right w:type="dxa" w:w="90"/>
            </w:tcMar>
          </w:tcPr>
          <w:p>
            <w:pPr>
              <w:spacing w:after="0"/>
            </w:pPr>
            <w:r>
              <w:rPr>
                <w:b w:val="false"/>
                <w:bCs w:val="false"/>
                <w:sz w:val="19"/>
                <w:szCs w:val="19"/>
              </w:rPr>
              <w:t xml:space="preserve">—</w:t>
            </w:r>
          </w:p>
        </w:tc>
        <w:tc>
          <w:tcPr>
            <w:tcW w:type="dxa" w:w="1123"/>
            <w:tcMar>
              <w:top w:type="dxa" w:w="60"/>
              <w:left w:type="dxa" w:w="90"/>
              <w:bottom w:type="dxa" w:w="60"/>
              <w:right w:type="dxa" w:w="90"/>
            </w:tcMar>
          </w:tcPr>
          <w:p>
            <w:pPr>
              <w:spacing w:after="0"/>
            </w:pPr>
            <w:r>
              <w:rPr>
                <w:b w:val="false"/>
                <w:bCs w:val="false"/>
                <w:sz w:val="19"/>
                <w:szCs w:val="19"/>
              </w:rPr>
              <w:t xml:space="preserve">41–50</w:t>
            </w:r>
          </w:p>
        </w:tc>
        <w:tc>
          <w:tcPr>
            <w:tcW w:type="dxa" w:w="1217"/>
            <w:tcMar>
              <w:top w:type="dxa" w:w="60"/>
              <w:left w:type="dxa" w:w="90"/>
              <w:bottom w:type="dxa" w:w="60"/>
              <w:right w:type="dxa" w:w="90"/>
            </w:tcMar>
          </w:tcPr>
          <w:p>
            <w:pPr>
              <w:spacing w:after="0"/>
            </w:pPr>
            <w:r>
              <w:rPr>
                <w:b w:val="false"/>
                <w:bCs w:val="false"/>
                <w:sz w:val="19"/>
                <w:szCs w:val="19"/>
              </w:rPr>
              <w:t xml:space="preserve">51–90</w:t>
            </w:r>
          </w:p>
        </w:tc>
        <w:tc>
          <w:tcPr>
            <w:tcW w:type="dxa" w:w="1030"/>
            <w:tcMar>
              <w:top w:type="dxa" w:w="60"/>
              <w:left w:type="dxa" w:w="90"/>
              <w:bottom w:type="dxa" w:w="60"/>
              <w:right w:type="dxa" w:w="90"/>
            </w:tcMar>
          </w:tcPr>
          <w:p>
            <w:pPr>
              <w:spacing w:after="0"/>
            </w:pPr>
            <w:r>
              <w:rPr>
                <w:b w:val="false"/>
                <w:bCs w:val="false"/>
                <w:sz w:val="19"/>
                <w:szCs w:val="19"/>
              </w:rPr>
              <w:t xml:space="preserve">91–110</w:t>
            </w:r>
          </w:p>
        </w:tc>
        <w:tc>
          <w:tcPr>
            <w:tcW w:type="dxa" w:w="1123"/>
            <w:tcMar>
              <w:top w:type="dxa" w:w="60"/>
              <w:left w:type="dxa" w:w="90"/>
              <w:bottom w:type="dxa" w:w="60"/>
              <w:right w:type="dxa" w:w="90"/>
            </w:tcMar>
          </w:tcPr>
          <w:p>
            <w:pPr>
              <w:spacing w:after="0"/>
            </w:pPr>
            <w:r>
              <w:rPr>
                <w:b w:val="false"/>
                <w:bCs w:val="false"/>
                <w:sz w:val="19"/>
                <w:szCs w:val="19"/>
              </w:rPr>
              <w:t xml:space="preserve">111–130</w:t>
            </w:r>
          </w:p>
        </w:tc>
        <w:tc>
          <w:tcPr>
            <w:tcW w:type="dxa" w:w="655"/>
            <w:tcMar>
              <w:top w:type="dxa" w:w="60"/>
              <w:left w:type="dxa" w:w="90"/>
              <w:bottom w:type="dxa" w:w="60"/>
              <w:right w:type="dxa" w:w="90"/>
            </w:tcMar>
          </w:tcPr>
          <w:p>
            <w:pPr>
              <w:spacing w:after="0"/>
            </w:pPr>
            <w:r>
              <w:rPr>
                <w:b w:val="false"/>
                <w:bCs w:val="false"/>
                <w:sz w:val="19"/>
                <w:szCs w:val="19"/>
              </w:rPr>
              <w:t xml:space="preserve">≥131</w:t>
            </w:r>
          </w:p>
        </w:tc>
      </w:tr>
    </w:tbl>
    <w:p>
      <w:pPr>
        <w:spacing w:after="140"/>
      </w:pPr>
    </w:p>
    <w:p>
      <w:pPr>
        <w:spacing w:after="120"/>
      </w:pPr>
      <w:r>
        <w:rPr>
          <w:b/>
          <w:bCs/>
        </w:rPr>
        <w:t xml:space="preserve">Escalation fires when the total is 5 or more, OR when any single parameter scores 3.</w:t>
      </w:r>
      <w:r>
        <w:t xml:space="preserve"> Both limbs matter and both occur in the data — five admissions escalate on the single-parameter limb alone, with a total below 5. An implementation that only checks the total will miss them, and will look correct on a spot check.</w:t>
      </w:r>
    </w:p>
    <w:p>
      <w:pPr>
        <w:pStyle w:val="Heading2"/>
        <w:spacing w:after="120" w:before="260"/>
      </w:pPr>
      <w:r>
        <w:t xml:space="preserve">4. Discharge Readiness Index</w:t>
      </w:r>
    </w:p>
    <w:p>
      <w:pPr>
        <w:shd w:fill="F4F5F7" w:val="clear"/>
        <w:spacing w:after="0" w:before="60"/>
        <w:ind w:left="280"/>
      </w:pPr>
      <w:r>
        <w:rPr>
          <w:rFonts w:ascii="Consolas" w:cs="Consolas" w:eastAsia="Consolas" w:hAnsi="Consolas"/>
          <w:sz w:val="17"/>
          <w:szCs w:val="17"/>
        </w:rPr>
        <w:t xml:space="preserve">DischargeReadiness = max(0, 100 - (NEWS2 * 10) - MobilityPenalty - SocialCarePenalty)</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MobilityPenalty     Independent 0   Assisted 15   Immobile 35</w:t>
      </w:r>
    </w:p>
    <w:p>
      <w:pPr>
        <w:shd w:fill="F4F5F7" w:val="clear"/>
        <w:spacing w:after="0" w:before="0"/>
        <w:ind w:left="280"/>
      </w:pPr>
      <w:r>
        <w:rPr>
          <w:rFonts w:ascii="Consolas" w:cs="Consolas" w:eastAsia="Consolas" w:hAnsi="Consolas"/>
          <w:sz w:val="17"/>
          <w:szCs w:val="17"/>
        </w:rPr>
        <w:t xml:space="preserve">    SocialCarePenalty   Package Confirmed 0   Pending, Unassigned or missing 25</w:t>
      </w:r>
    </w:p>
    <w:p>
      <w:pPr>
        <w:shd w:fill="F4F5F7" w:val="clear"/>
        <w:spacing w:after="0" w:before="0"/>
        <w:ind w:left="280"/>
      </w:pPr>
      <w:r>
        <w:rPr>
          <w:rFonts w:ascii="Consolas" w:cs="Consolas" w:eastAsia="Consolas" w:hAnsi="Consolas"/>
          <w:sz w:val="17"/>
          <w:szCs w:val="17"/>
        </w:rPr>
        <w:t xml:space="preserve"> </w:t>
      </w:r>
    </w:p>
    <w:p>
      <w:pPr>
        <w:shd w:fill="F4F5F7" w:val="clear"/>
        <w:spacing w:after="140" w:before="0"/>
        <w:ind w:left="280"/>
      </w:pPr>
      <w:r>
        <w:rPr>
          <w:rFonts w:ascii="Consolas" w:cs="Consolas" w:eastAsia="Consolas" w:hAnsi="Consolas"/>
          <w:sz w:val="17"/>
          <w:szCs w:val="17"/>
        </w:rPr>
        <w:t xml:space="preserve">Eligible for step-down when:  DischargeReadiness &gt;= 70  AND  NEWS2 &lt; 3</w:t>
      </w:r>
    </w:p>
    <w:p>
      <w:pPr>
        <w:spacing w:after="120"/>
      </w:pPr>
      <w:r>
        <w:t xml:space="preserve">NEWS2 here means the score computed from the </w:t>
      </w:r>
      <w:r>
        <w:rPr>
          <w:b/>
          <w:bCs/>
        </w:rPr>
        <w:t xml:space="preserve">most recent valid telemetry reading linked to that admission</w:t>
      </w:r>
      <w:r>
        <w:t xml:space="preserve">, ordered by </w:t>
      </w:r>
      <w:r>
        <w:rPr>
          <w:rFonts w:ascii="Consolas" w:cs="Consolas" w:eastAsia="Consolas" w:hAnsi="Consolas"/>
          <w:sz w:val="19"/>
          <w:szCs w:val="19"/>
        </w:rPr>
        <w:t xml:space="preserve">recorded_at</w:t>
      </w:r>
      <w:r>
        <w:t xml:space="preserve"> descending. State that in your function signature or your documentation; a reviewer should not have to guess where the score came from.</w:t>
      </w:r>
    </w:p>
    <w:p>
      <w:pPr>
        <w:spacing w:after="120"/>
      </w:pPr>
      <w:r>
        <w:t xml:space="preserve">The eligibility rule is deliberately tight. Roughly 27 of the 90 medically fit admissions clear it.</w:t>
      </w:r>
    </w:p>
    <w:p>
      <w:pPr>
        <w:pStyle w:val="Heading2"/>
        <w:spacing w:after="120" w:before="260"/>
      </w:pPr>
      <w:r>
        <w:t xml:space="preserve">5. Information governance</w:t>
      </w:r>
    </w:p>
    <w:p>
      <w:pPr>
        <w:pStyle w:val="ListParagraph"/>
        <w:numPr>
          <w:ilvl w:val="0"/>
          <w:numId w:val="2"/>
        </w:numPr>
        <w:spacing w:after="60"/>
      </w:pPr>
      <w:r>
        <w:t xml:space="preserve">Apply the provided </w:t>
      </w:r>
      <w:r>
        <w:rPr>
          <w:rFonts w:ascii="Consolas" w:cs="Consolas" w:eastAsia="Consolas" w:hAnsi="Consolas"/>
          <w:sz w:val="19"/>
          <w:szCs w:val="19"/>
        </w:rPr>
        <w:t xml:space="preserve">NHS_CONFIDENTIAL</w:t>
      </w:r>
      <w:r>
        <w:t xml:space="preserve"> marking to the raw telemetry and admissions feeds.</w:t>
      </w:r>
    </w:p>
    <w:p>
      <w:pPr>
        <w:pStyle w:val="ListParagraph"/>
        <w:numPr>
          <w:ilvl w:val="0"/>
          <w:numId w:val="2"/>
        </w:numPr>
        <w:spacing w:after="60"/>
      </w:pPr>
      <w:r>
        <w:t xml:space="preserve">Build one restricted view, </w:t>
      </w:r>
      <w:r>
        <w:rPr>
          <w:rFonts w:ascii="Consolas" w:cs="Consolas" w:eastAsia="Consolas" w:hAnsi="Consolas"/>
          <w:sz w:val="19"/>
          <w:szCs w:val="19"/>
        </w:rPr>
        <w:t xml:space="preserve">/Ontology/rv_inpatient_admissions</w:t>
      </w:r>
      <w:r>
        <w:t xml:space="preserve">, with a single row rule matching </w:t>
      </w:r>
      <w:r>
        <w:rPr>
          <w:rFonts w:ascii="Consolas" w:cs="Consolas" w:eastAsia="Consolas" w:hAnsi="Consolas"/>
          <w:sz w:val="19"/>
          <w:szCs w:val="19"/>
        </w:rPr>
        <w:t xml:space="preserve">trust_code</w:t>
      </w:r>
      <w:r>
        <w:t xml:space="preserve"> to the viewing user's trust attribute. Back the Inpatient Admission object type on it.</w:t>
      </w:r>
    </w:p>
    <w:p>
      <w:pPr>
        <w:pStyle w:val="ListParagraph"/>
        <w:numPr>
          <w:ilvl w:val="0"/>
          <w:numId w:val="2"/>
        </w:numPr>
        <w:spacing w:after="60"/>
      </w:pPr>
      <w:r>
        <w:t xml:space="preserve">Restrict submission of Transition to Virtual Ward to the provided </w:t>
      </w:r>
      <w:r>
        <w:rPr>
          <w:rFonts w:ascii="Consolas" w:cs="Consolas" w:eastAsia="Consolas" w:hAnsi="Consolas"/>
          <w:sz w:val="19"/>
          <w:szCs w:val="19"/>
        </w:rPr>
        <w:t xml:space="preserve">Discharge_Coordinators</w:t>
      </w:r>
      <w:r>
        <w:t xml:space="preserve"> group.</w:t>
      </w:r>
    </w:p>
    <w:p>
      <w:pPr>
        <w:pStyle w:val="Heading2"/>
        <w:spacing w:after="120" w:before="260"/>
      </w:pPr>
      <w:r>
        <w:t xml:space="preserve">6. Five-day plan</w:t>
      </w:r>
    </w:p>
    <w:p>
      <w:pPr>
        <w:pStyle w:val="Heading3"/>
        <w:spacing w:after="100" w:before="200"/>
      </w:pPr>
      <w:r>
        <w:t xml:space="preserve">Day 1 — Telemetry cleaning (required)</w:t>
      </w:r>
    </w:p>
    <w:p>
      <w:pPr>
        <w:pStyle w:val="ListParagraph"/>
        <w:numPr>
          <w:ilvl w:val="0"/>
          <w:numId w:val="2"/>
        </w:numPr>
        <w:spacing w:after="60"/>
      </w:pPr>
      <w:r>
        <w:t xml:space="preserve">Ingest and mark all three feeds.</w:t>
      </w:r>
    </w:p>
    <w:p>
      <w:pPr>
        <w:pStyle w:val="ListParagraph"/>
        <w:numPr>
          <w:ilvl w:val="0"/>
          <w:numId w:val="2"/>
        </w:numPr>
        <w:spacing w:after="60"/>
      </w:pPr>
      <w:r>
        <w:t xml:space="preserve">Drop invalid telemetry: sentinel values, nulls, and values outside a physiologically possible range that you define and document.</w:t>
      </w:r>
    </w:p>
    <w:p>
      <w:pPr>
        <w:pStyle w:val="ListParagraph"/>
        <w:numPr>
          <w:ilvl w:val="0"/>
          <w:numId w:val="2"/>
        </w:numPr>
        <w:spacing w:after="60"/>
      </w:pPr>
      <w:r>
        <w:t xml:space="preserve">Trim and deduplicate keys; normalise </w:t>
      </w:r>
      <w:r>
        <w:rPr>
          <w:rFonts w:ascii="Consolas" w:cs="Consolas" w:eastAsia="Consolas" w:hAnsi="Consolas"/>
          <w:sz w:val="19"/>
          <w:szCs w:val="19"/>
        </w:rPr>
        <w:t xml:space="preserve">care_pathway</w:t>
      </w:r>
      <w:r>
        <w:t xml:space="preserve"> and </w:t>
      </w:r>
      <w:r>
        <w:rPr>
          <w:rFonts w:ascii="Consolas" w:cs="Consolas" w:eastAsia="Consolas" w:hAnsi="Consolas"/>
          <w:sz w:val="19"/>
          <w:szCs w:val="19"/>
        </w:rPr>
        <w:t xml:space="preserve">mobility_status</w:t>
      </w:r>
      <w:r>
        <w:t xml:space="preserve"> casing; default a missing </w:t>
      </w:r>
      <w:r>
        <w:rPr>
          <w:rFonts w:ascii="Consolas" w:cs="Consolas" w:eastAsia="Consolas" w:hAnsi="Consolas"/>
          <w:sz w:val="19"/>
          <w:szCs w:val="19"/>
        </w:rPr>
        <w:t xml:space="preserve">social_care_status</w:t>
      </w:r>
      <w:r>
        <w:t xml:space="preserve"> to Pending.</w:t>
      </w:r>
    </w:p>
    <w:p>
      <w:pPr>
        <w:pStyle w:val="ListParagraph"/>
        <w:numPr>
          <w:ilvl w:val="0"/>
          <w:numId w:val="2"/>
        </w:numPr>
        <w:spacing w:after="60"/>
      </w:pPr>
      <w:r>
        <w:t xml:space="preserve">Emit a latest-vitals row per admission — the four parameters from the most recent surviving reading, plus its </w:t>
      </w:r>
      <w:r>
        <w:rPr>
          <w:rFonts w:ascii="Consolas" w:cs="Consolas" w:eastAsia="Consolas" w:hAnsi="Consolas"/>
          <w:sz w:val="19"/>
          <w:szCs w:val="19"/>
        </w:rPr>
        <w:t xml:space="preserve">recorded_at</w:t>
      </w:r>
      <w:r>
        <w:t xml:space="preserve">. This is an anchor-plus-values row, not an elapsed duration, so it belongs in the pipeline.</w:t>
      </w:r>
    </w:p>
    <w:p>
      <w:pPr>
        <w:pStyle w:val="ListParagraph"/>
        <w:numPr>
          <w:ilvl w:val="0"/>
          <w:numId w:val="2"/>
        </w:numPr>
        <w:spacing w:after="60"/>
      </w:pPr>
      <w:r>
        <w:t xml:space="preserve">Self-check: how many readings did you drop, and what fraction is that? Be ready to defend your validity ranges.</w:t>
      </w:r>
    </w:p>
    <w:p>
      <w:pPr>
        <w:pStyle w:val="Heading3"/>
        <w:spacing w:after="100" w:before="200"/>
      </w:pPr>
      <w:r>
        <w:t xml:space="preserve">Day 2 — Ontology (required)</w:t>
      </w:r>
    </w:p>
    <w:p>
      <w:pPr>
        <w:pStyle w:val="ListParagraph"/>
        <w:numPr>
          <w:ilvl w:val="0"/>
          <w:numId w:val="2"/>
        </w:numPr>
        <w:spacing w:after="60"/>
      </w:pPr>
      <w:r>
        <w:t xml:space="preserve">Object types: </w:t>
      </w:r>
      <w:r>
        <w:rPr>
          <w:b/>
          <w:bCs/>
        </w:rPr>
        <w:t xml:space="preserve">Inpatient Admission</w:t>
      </w:r>
      <w:r>
        <w:t xml:space="preserve">, </w:t>
      </w:r>
      <w:r>
        <w:rPr>
          <w:b/>
          <w:bCs/>
        </w:rPr>
        <w:t xml:space="preserve">Virtual Ward Bed</w:t>
      </w:r>
      <w:r>
        <w:t xml:space="preserve">, </w:t>
      </w:r>
      <w:r>
        <w:rPr>
          <w:b/>
          <w:bCs/>
        </w:rPr>
        <w:t xml:space="preserve">Telemetry Reading</w:t>
      </w:r>
      <w:r>
        <w:t xml:space="preserve">.</w:t>
      </w:r>
    </w:p>
    <w:p>
      <w:pPr>
        <w:pStyle w:val="ListParagraph"/>
        <w:numPr>
          <w:ilvl w:val="0"/>
          <w:numId w:val="2"/>
        </w:numPr>
        <w:spacing w:after="60"/>
      </w:pPr>
      <w:r>
        <w:t xml:space="preserve">Links: Inpatient Admission 1—N Telemetry Reading, Virtual Ward Bed 1—1 Inpatient Admission.</w:t>
      </w:r>
    </w:p>
    <w:p>
      <w:pPr>
        <w:pStyle w:val="ListParagraph"/>
        <w:numPr>
          <w:ilvl w:val="0"/>
          <w:numId w:val="2"/>
        </w:numPr>
        <w:spacing w:after="60"/>
      </w:pPr>
      <w:r>
        <w:t xml:space="preserve">Back Inpatient Admission on the restricted view.</w:t>
      </w:r>
    </w:p>
    <w:p>
      <w:pPr>
        <w:pBdr>
          <w:left w:val="single" w:color="4472C4" w:sz="18" w:space="12"/>
        </w:pBdr>
        <w:spacing w:after="160" w:before="120"/>
        <w:ind w:left="220"/>
      </w:pPr>
      <w:r>
        <w:rPr>
          <w:b/>
          <w:bCs/>
        </w:rPr>
        <w:t xml:space="preserve">Not required:  </w:t>
      </w:r>
      <w:r>
        <w:t xml:space="preserve">binding vitals as Ontology time series properties. Model Telemetry Reading as an ordinary object type instead. The reason is not that time series properties are unavailable — they are documented and there is a guided setup assistant — but that NEWS2 needs all four parameters from </w:t>
      </w:r>
      <w:r>
        <w:rPr>
          <w:b/>
          <w:bCs/>
        </w:rPr>
        <w:t xml:space="preserve">one instant</w:t>
      </w:r>
      <w:r>
        <w:t xml:space="preserve">, as a row, and a time series property is built for reading one series across a window. Your </w:t>
      </w:r>
      <w:r>
        <w:rPr>
          <w:rFonts w:ascii="Consolas" w:cs="Consolas" w:eastAsia="Consolas" w:hAnsi="Consolas"/>
          <w:sz w:val="19"/>
          <w:szCs w:val="19"/>
        </w:rPr>
        <w:t xml:space="preserve">latest_vitals</w:t>
      </w:r>
      <w:r>
        <w:t xml:space="preserve"> transform is the right shape for the scoring question, not a workaround.</w:t>
      </w:r>
    </w:p>
    <w:p>
      <w:pPr>
        <w:spacing w:after="120"/>
      </w:pPr>
      <w:r>
        <w:rPr>
          <w:b/>
          <w:bCs/>
        </w:rPr>
        <w:t xml:space="preserve">Optional stretch, if you finish Day 2 early.</w:t>
      </w:r>
      <w:r>
        <w:t xml:space="preserve"> Set up a real time series property for the Day 5 chart, where a window read is genuinely what you want. The path is specified rather than left to you to discover:</w:t>
      </w:r>
    </w:p>
    <w:p>
      <w:pPr>
        <w:pStyle w:val="ListParagraph"/>
        <w:numPr>
          <w:ilvl w:val="0"/>
          <w:numId w:val="2"/>
        </w:numPr>
        <w:spacing w:after="60"/>
      </w:pPr>
      <w:r>
        <w:t xml:space="preserve">A time series sync requires exactly three columns — </w:t>
      </w:r>
      <w:r>
        <w:rPr>
          <w:rFonts w:ascii="Consolas" w:cs="Consolas" w:eastAsia="Consolas" w:hAnsi="Consolas"/>
          <w:sz w:val="19"/>
          <w:szCs w:val="19"/>
        </w:rPr>
        <w:t xml:space="preserve">seriesId</w:t>
      </w:r>
      <w:r>
        <w:t xml:space="preserve"> (string), </w:t>
      </w:r>
      <w:r>
        <w:rPr>
          <w:rFonts w:ascii="Consolas" w:cs="Consolas" w:eastAsia="Consolas" w:hAnsi="Consolas"/>
          <w:sz w:val="19"/>
          <w:szCs w:val="19"/>
        </w:rPr>
        <w:t xml:space="preserve">timestamp</w:t>
      </w:r>
      <w:r>
        <w:t xml:space="preserve"> (a timestamp, or a long with its unit declared) and </w:t>
      </w:r>
      <w:r>
        <w:rPr>
          <w:rFonts w:ascii="Consolas" w:cs="Consolas" w:eastAsia="Consolas" w:hAnsi="Consolas"/>
          <w:sz w:val="19"/>
          <w:szCs w:val="19"/>
        </w:rPr>
        <w:t xml:space="preserve">value</w:t>
      </w:r>
      <w:r>
        <w:t xml:space="preserve"> (double, integer, float or string). That is a </w:t>
      </w:r>
      <w:r>
        <w:rPr>
          <w:b/>
          <w:bCs/>
        </w:rPr>
        <w:t xml:space="preserve">long</w:t>
      </w:r>
      <w:r>
        <w:t xml:space="preserve"> shape.</w:t>
      </w:r>
    </w:p>
    <w:p>
      <w:pPr>
        <w:pStyle w:val="ListParagraph"/>
        <w:numPr>
          <w:ilvl w:val="0"/>
          <w:numId w:val="2"/>
        </w:numPr>
        <w:spacing w:after="60"/>
      </w:pPr>
      <w:r>
        <w:rPr>
          <w:rFonts w:ascii="Consolas" w:cs="Consolas" w:eastAsia="Consolas" w:hAnsi="Consolas"/>
          <w:sz w:val="19"/>
          <w:szCs w:val="19"/>
        </w:rPr>
        <w:t xml:space="preserve">telemetry_readings.csv</w:t>
      </w:r>
      <w:r>
        <w:t xml:space="preserve"> is </w:t>
      </w:r>
      <w:r>
        <w:rPr>
          <w:b/>
          <w:bCs/>
        </w:rPr>
        <w:t xml:space="preserve">wide</w:t>
      </w:r>
      <w:r>
        <w:t xml:space="preserve">: four value columns per reading. So unpivot it, minting a composite series identifier per parameter — </w:t>
      </w:r>
      <w:r>
        <w:rPr>
          <w:rFonts w:ascii="Consolas" w:cs="Consolas" w:eastAsia="Consolas" w:hAnsi="Consolas"/>
          <w:sz w:val="19"/>
          <w:szCs w:val="19"/>
        </w:rPr>
        <w:t xml:space="preserve">IPA-2026-00001|spo2</w:t>
      </w:r>
      <w:r>
        <w:t xml:space="preserve"> and so on. The unpivot is the interesting part and it is good Polars practice.</w:t>
      </w:r>
    </w:p>
    <w:p>
      <w:pPr>
        <w:pStyle w:val="ListParagraph"/>
        <w:numPr>
          <w:ilvl w:val="0"/>
          <w:numId w:val="2"/>
        </w:numPr>
        <w:spacing w:after="60"/>
      </w:pPr>
      <w:r>
        <w:t xml:space="preserve">Create the sync from the Time Series Catalog or from Pipeline Builder, map the three columns, then save and build. Creating a sync builds a projection over the dataset.</w:t>
      </w:r>
    </w:p>
    <w:p>
      <w:pPr>
        <w:pStyle w:val="ListParagraph"/>
        <w:numPr>
          <w:ilvl w:val="0"/>
          <w:numId w:val="2"/>
        </w:numPr>
        <w:spacing w:after="60"/>
      </w:pPr>
      <w:r>
        <w:t xml:space="preserve">The series ID on the sync must match the series ID on the object type backing dataset. The documentation calls this out specifically, which usually means it is the step people get wrong.</w:t>
      </w:r>
    </w:p>
    <w:p>
      <w:pPr>
        <w:pStyle w:val="ListParagraph"/>
        <w:numPr>
          <w:ilvl w:val="0"/>
          <w:numId w:val="2"/>
        </w:numPr>
        <w:spacing w:after="60"/>
      </w:pPr>
      <w:r>
        <w:t xml:space="preserve">Then add one time series property per physiological parameter. From a dataset preview with a timestamp column, </w:t>
      </w:r>
      <w:r>
        <w:rPr>
          <w:b/>
          <w:bCs/>
        </w:rPr>
        <w:t xml:space="preserve">Analyze data → Set up time series</w:t>
      </w:r>
      <w:r>
        <w:t xml:space="preserve"> launches the assistant that walks you through it.</w:t>
      </w:r>
    </w:p>
    <w:p>
      <w:pPr>
        <w:pStyle w:val="Heading3"/>
        <w:spacing w:after="100" w:before="200"/>
      </w:pPr>
      <w:r>
        <w:t xml:space="preserve">Day 3 — Functions and the action (required)</w:t>
      </w:r>
    </w:p>
    <w:p>
      <w:pPr>
        <w:pStyle w:val="ListParagraph"/>
        <w:numPr>
          <w:ilvl w:val="0"/>
          <w:numId w:val="2"/>
        </w:numPr>
        <w:spacing w:after="60"/>
      </w:pPr>
      <w:r>
        <w:rPr>
          <w:rFonts w:ascii="Consolas" w:cs="Consolas" w:eastAsia="Consolas" w:hAnsi="Consolas"/>
          <w:sz w:val="19"/>
          <w:szCs w:val="19"/>
        </w:rPr>
        <w:t xml:space="preserve">calculateNews2Score(...)</w:t>
      </w:r>
      <w:r>
        <w:t xml:space="preserve"> returning the total, plus a way for the caller to know whether any single parameter scored 3. Two return values, an object, or a companion function — your choice, but the escalation rule needs both facts.</w:t>
      </w:r>
    </w:p>
    <w:p>
      <w:pPr>
        <w:pStyle w:val="ListParagraph"/>
        <w:numPr>
          <w:ilvl w:val="0"/>
          <w:numId w:val="2"/>
        </w:numPr>
        <w:spacing w:after="60"/>
      </w:pPr>
      <w:r>
        <w:rPr>
          <w:rFonts w:ascii="Consolas" w:cs="Consolas" w:eastAsia="Consolas" w:hAnsi="Consolas"/>
          <w:sz w:val="19"/>
          <w:szCs w:val="19"/>
        </w:rPr>
        <w:t xml:space="preserve">calculateDischargeReadiness(admission)</w:t>
      </w:r>
      <w:r>
        <w:t xml:space="preserve"> returning an integer, resolving the latest valid reading itself.</w:t>
      </w:r>
    </w:p>
    <w:p>
      <w:pPr>
        <w:pStyle w:val="ListParagraph"/>
        <w:numPr>
          <w:ilvl w:val="0"/>
          <w:numId w:val="2"/>
        </w:numPr>
        <w:spacing w:after="60"/>
      </w:pPr>
      <w:r>
        <w:t xml:space="preserve">Action type </w:t>
      </w:r>
      <w:r>
        <w:rPr>
          <w:b/>
          <w:bCs/>
        </w:rPr>
        <w:t xml:space="preserve">Transition to Virtual Ward</w:t>
      </w:r>
      <w:r>
        <w:t xml:space="preserve">: assigns a virtual bed, flips the admission's location, and frees the acute bed, in one submission. Submission criteria must enforce readiness ≥ 70, NEWS2 &lt; 3, and that the chosen bed is Available and on a matching care pathway.</w:t>
      </w:r>
    </w:p>
    <w:p>
      <w:pPr>
        <w:pStyle w:val="ListParagraph"/>
        <w:numPr>
          <w:ilvl w:val="0"/>
          <w:numId w:val="2"/>
        </w:numPr>
        <w:spacing w:after="60"/>
      </w:pPr>
      <w:r>
        <w:t xml:space="preserve">Unit tests on the NEWS2 boundaries. Every band edge in the table above is worth one test: 8 and 9, 20 and 21, 24 and 25, 91 and 92, 95 and 96, 90 and 91, 110 and 111, 219 and 220, 40 and 41, 50 and 51, 90 and 91, 110 and 111, 130 and 131.</w:t>
      </w:r>
    </w:p>
    <w:p>
      <w:pPr>
        <w:spacing w:after="120"/>
      </w:pPr>
      <w:r>
        <w:t xml:space="preserve">Optional: </w:t>
      </w:r>
      <w:r>
        <w:rPr>
          <w:rFonts w:ascii="Consolas" w:cs="Consolas" w:eastAsia="Consolas" w:hAnsi="Consolas"/>
          <w:sz w:val="19"/>
          <w:szCs w:val="19"/>
        </w:rPr>
        <w:t xml:space="preserve">recommendVirtualWardBed(admission)</w:t>
      </w:r>
      <w:r>
        <w:t xml:space="preserve"> returning available beds on the matching care pathway.</w:t>
      </w:r>
    </w:p>
    <w:p>
      <w:pPr>
        <w:pStyle w:val="Heading3"/>
        <w:spacing w:after="100" w:before="200"/>
      </w:pPr>
      <w:r>
        <w:t xml:space="preserve">Day 4 — Workshop (required)</w:t>
      </w:r>
    </w:p>
    <w:p>
      <w:pPr>
        <w:pStyle w:val="ListParagraph"/>
        <w:numPr>
          <w:ilvl w:val="0"/>
          <w:numId w:val="2"/>
        </w:numPr>
        <w:spacing w:after="60"/>
      </w:pPr>
      <w:r>
        <w:t xml:space="preserve">One tab, two panels. Left: the discharge queue — medically fit admissions, sorted by readiness, with a NEWS2 badge.</w:t>
      </w:r>
    </w:p>
    <w:p>
      <w:pPr>
        <w:pStyle w:val="ListParagraph"/>
        <w:numPr>
          <w:ilvl w:val="0"/>
          <w:numId w:val="2"/>
        </w:numPr>
        <w:spacing w:after="60"/>
      </w:pPr>
      <w:r>
        <w:t xml:space="preserve">Right: the selected patient's recent vitals and their escalation state.</w:t>
      </w:r>
    </w:p>
    <w:p>
      <w:pPr>
        <w:pStyle w:val="ListParagraph"/>
        <w:numPr>
          <w:ilvl w:val="0"/>
          <w:numId w:val="2"/>
        </w:numPr>
        <w:spacing w:after="60"/>
      </w:pPr>
      <w:r>
        <w:t xml:space="preserve">The action button is enabled only when the patient is eligible and a bed exists.</w:t>
      </w:r>
    </w:p>
    <w:p>
      <w:pPr>
        <w:pBdr>
          <w:left w:val="single" w:color="4472C4" w:sz="18" w:space="12"/>
        </w:pBdr>
        <w:spacing w:after="160" w:before="120"/>
        <w:ind w:left="220"/>
      </w:pPr>
      <w:r>
        <w:rPr>
          <w:b/>
          <w:bCs/>
        </w:rPr>
        <w:t xml:space="preserve">Expect this:  </w:t>
      </w:r>
      <w:r>
        <w:t xml:space="preserve">the Post-Surgical virtual ward has no free beds at all. Nine eligible patients have nowhere to go. That is the real operational picture and your interface has to show it — an eligible patient with no available bed is information the team needs, not an error to swallow.</w:t>
      </w:r>
    </w:p>
    <w:p>
      <w:pPr>
        <w:pStyle w:val="Heading3"/>
        <w:spacing w:after="100" w:before="200"/>
      </w:pPr>
      <w:r>
        <w:t xml:space="preserve">Day 5 — Review</w:t>
      </w:r>
    </w:p>
    <w:p>
      <w:pPr>
        <w:pStyle w:val="ListParagraph"/>
        <w:numPr>
          <w:ilvl w:val="0"/>
          <w:numId w:val="2"/>
        </w:numPr>
        <w:spacing w:after="60"/>
      </w:pPr>
      <w:r>
        <w:t xml:space="preserve">One Quiver analysis: 48-hour vital sign trends for a selected patient, with the SpO2 92% threshold marked. This is where a smoothed series earns its place.</w:t>
      </w:r>
    </w:p>
    <w:p>
      <w:pPr>
        <w:pStyle w:val="ListParagraph"/>
        <w:numPr>
          <w:ilvl w:val="0"/>
          <w:numId w:val="2"/>
        </w:numPr>
        <w:spacing w:after="60"/>
      </w:pPr>
      <w:r>
        <w:t xml:space="preserve">Walk your lineage.</w:t>
      </w:r>
    </w:p>
    <w:p>
      <w:pPr>
        <w:pStyle w:val="ListParagraph"/>
        <w:numPr>
          <w:ilvl w:val="0"/>
          <w:numId w:val="2"/>
        </w:numPr>
        <w:spacing w:after="60"/>
      </w:pPr>
      <w:r>
        <w:t xml:space="preserve">Ten-minute demonstration. Expect to be asked how you decided which readings were invalid, and what your escalation rule does with a patient whose total is 2.</w:t>
      </w:r>
    </w:p>
    <w:p>
      <w:r>
        <w:br w:type="page"/>
      </w:r>
    </w:p>
    <w:p>
      <w:pPr>
        <w:pStyle w:val="Heading1"/>
        <w:spacing w:after="160" w:before="320"/>
      </w:pPr>
      <w:r>
        <w:t xml:space="preserve">Acceptance checklist</w:t>
      </w:r>
    </w:p>
    <w:p>
      <w:pPr>
        <w:spacing w:after="120"/>
      </w:pPr>
      <w:r>
        <w:t xml:space="preserve">Applies to all three projects. Every row must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6178"/>
        <w:gridCol w:w="1310"/>
      </w:tblGrid>
      <w:tr>
        <w:trPr>
          <w:tblHeader/>
        </w:trPr>
        <w:tc>
          <w:tcPr>
            <w:tcW w:type="dxa" w:w="1872"/>
            <w:shd w:fill="E8EDF5" w:val="clear"/>
            <w:tcMar>
              <w:top w:type="dxa" w:w="60"/>
              <w:left w:type="dxa" w:w="90"/>
              <w:bottom w:type="dxa" w:w="60"/>
              <w:right w:type="dxa" w:w="90"/>
            </w:tcMar>
          </w:tcPr>
          <w:p>
            <w:pPr>
              <w:spacing w:after="0"/>
            </w:pPr>
            <w:r>
              <w:rPr>
                <w:b/>
                <w:bCs/>
                <w:sz w:val="19"/>
                <w:szCs w:val="19"/>
              </w:rPr>
              <w:t xml:space="preserve">Dimension</w:t>
            </w:r>
          </w:p>
        </w:tc>
        <w:tc>
          <w:tcPr>
            <w:tcW w:type="dxa" w:w="6178"/>
            <w:shd w:fill="E8EDF5" w:val="clear"/>
            <w:tcMar>
              <w:top w:type="dxa" w:w="60"/>
              <w:left w:type="dxa" w:w="90"/>
              <w:bottom w:type="dxa" w:w="60"/>
              <w:right w:type="dxa" w:w="90"/>
            </w:tcMar>
          </w:tcPr>
          <w:p>
            <w:pPr>
              <w:spacing w:after="0"/>
            </w:pPr>
            <w:r>
              <w:rPr>
                <w:b/>
                <w:bCs/>
                <w:sz w:val="19"/>
                <w:szCs w:val="19"/>
              </w:rPr>
              <w:t xml:space="preserve">What is checked</w:t>
            </w:r>
          </w:p>
        </w:tc>
        <w:tc>
          <w:tcPr>
            <w:tcW w:type="dxa" w:w="1310"/>
            <w:shd w:fill="E8EDF5" w:val="clear"/>
            <w:tcMar>
              <w:top w:type="dxa" w:w="60"/>
              <w:left w:type="dxa" w:w="90"/>
              <w:bottom w:type="dxa" w:w="60"/>
              <w:right w:type="dxa" w:w="90"/>
            </w:tcMar>
          </w:tcPr>
          <w:p>
            <w:pPr>
              <w:spacing w:after="0"/>
            </w:pPr>
            <w:r>
              <w:rPr>
                <w:b/>
                <w:bCs/>
                <w:sz w:val="19"/>
                <w:szCs w:val="19"/>
              </w:rPr>
              <w:t xml:space="preserve">Status</w:t>
            </w:r>
          </w:p>
        </w:tc>
      </w:tr>
      <w:tr>
        <w:tc>
          <w:tcPr>
            <w:tcW w:type="dxa" w:w="1872"/>
            <w:tcMar>
              <w:top w:type="dxa" w:w="60"/>
              <w:left w:type="dxa" w:w="90"/>
              <w:bottom w:type="dxa" w:w="60"/>
              <w:right w:type="dxa" w:w="90"/>
            </w:tcMar>
          </w:tcPr>
          <w:p>
            <w:pPr>
              <w:spacing w:after="0"/>
            </w:pPr>
            <w:r>
              <w:rPr>
                <w:b w:val="false"/>
                <w:bCs w:val="false"/>
                <w:sz w:val="19"/>
                <w:szCs w:val="19"/>
              </w:rPr>
              <w:t xml:space="preserve">Pipeline</w:t>
            </w:r>
          </w:p>
        </w:tc>
        <w:tc>
          <w:tcPr>
            <w:tcW w:type="dxa" w:w="6178"/>
            <w:tcMar>
              <w:top w:type="dxa" w:w="60"/>
              <w:left w:type="dxa" w:w="90"/>
              <w:bottom w:type="dxa" w:w="60"/>
              <w:right w:type="dxa" w:w="90"/>
            </w:tcMar>
          </w:tcPr>
          <w:p>
            <w:pPr>
              <w:spacing w:after="0"/>
            </w:pPr>
            <w:r>
              <w:rPr>
                <w:b w:val="false"/>
                <w:bCs w:val="false"/>
                <w:sz w:val="19"/>
                <w:szCs w:val="19"/>
              </w:rPr>
              <w:t xml:space="preserve">Five-tier hierarchy with no bypasses. Vectorised Polars. Temporal invariance: no elapsed-time column frozen into a table. Primary keys proven unique and non-null.</w:t>
            </w:r>
          </w:p>
        </w:tc>
        <w:tc>
          <w:tcPr>
            <w:tcW w:type="dxa" w:w="1310"/>
            <w:tcMar>
              <w:top w:type="dxa" w:w="60"/>
              <w:left w:type="dxa" w:w="90"/>
              <w:bottom w:type="dxa" w:w="60"/>
              <w:right w:type="dxa" w:w="90"/>
            </w:tcMar>
          </w:tcPr>
          <w:p>
            <w:pPr>
              <w:spacing w:after="0"/>
            </w:pPr>
            <w:r>
              <w:rPr>
                <w:b w:val="false"/>
                <w:bCs w:val="false"/>
                <w:sz w:val="19"/>
                <w:szCs w:val="19"/>
              </w:rPr>
              <w:t xml:space="preserve">[ ] Pass</w:t>
            </w:r>
          </w:p>
        </w:tc>
      </w:tr>
      <w:tr>
        <w:tc>
          <w:tcPr>
            <w:tcW w:type="dxa" w:w="1872"/>
            <w:tcMar>
              <w:top w:type="dxa" w:w="60"/>
              <w:left w:type="dxa" w:w="90"/>
              <w:bottom w:type="dxa" w:w="60"/>
              <w:right w:type="dxa" w:w="90"/>
            </w:tcMar>
          </w:tcPr>
          <w:p>
            <w:pPr>
              <w:spacing w:after="0"/>
            </w:pPr>
            <w:r>
              <w:rPr>
                <w:b w:val="false"/>
                <w:bCs w:val="false"/>
                <w:sz w:val="19"/>
                <w:szCs w:val="19"/>
              </w:rPr>
              <w:t xml:space="preserve">Information governance</w:t>
            </w:r>
          </w:p>
        </w:tc>
        <w:tc>
          <w:tcPr>
            <w:tcW w:type="dxa" w:w="6178"/>
            <w:tcMar>
              <w:top w:type="dxa" w:w="60"/>
              <w:left w:type="dxa" w:w="90"/>
              <w:bottom w:type="dxa" w:w="60"/>
              <w:right w:type="dxa" w:w="90"/>
            </w:tcMar>
          </w:tcPr>
          <w:p>
            <w:pPr>
              <w:spacing w:after="0"/>
            </w:pPr>
            <w:r>
              <w:rPr>
                <w:b w:val="false"/>
                <w:bCs w:val="false"/>
                <w:sz w:val="19"/>
                <w:szCs w:val="19"/>
              </w:rPr>
              <w:t xml:space="preserve">The provided marking is applied at the Datasource tier and propagates. Identifying columns are dropped or masked in the Transform tier. The object type is backed by the restricted view.</w:t>
            </w:r>
          </w:p>
        </w:tc>
        <w:tc>
          <w:tcPr>
            <w:tcW w:type="dxa" w:w="1310"/>
            <w:tcMar>
              <w:top w:type="dxa" w:w="60"/>
              <w:left w:type="dxa" w:w="90"/>
              <w:bottom w:type="dxa" w:w="60"/>
              <w:right w:type="dxa" w:w="90"/>
            </w:tcMar>
          </w:tcPr>
          <w:p>
            <w:pPr>
              <w:spacing w:after="0"/>
            </w:pPr>
            <w:r>
              <w:rPr>
                <w:b w:val="false"/>
                <w:bCs w:val="false"/>
                <w:sz w:val="19"/>
                <w:szCs w:val="19"/>
              </w:rPr>
              <w:t xml:space="preserve">[ ] Pass</w:t>
            </w:r>
          </w:p>
        </w:tc>
      </w:tr>
      <w:tr>
        <w:tc>
          <w:tcPr>
            <w:tcW w:type="dxa" w:w="1872"/>
            <w:tcMar>
              <w:top w:type="dxa" w:w="60"/>
              <w:left w:type="dxa" w:w="90"/>
              <w:bottom w:type="dxa" w:w="60"/>
              <w:right w:type="dxa" w:w="90"/>
            </w:tcMar>
          </w:tcPr>
          <w:p>
            <w:pPr>
              <w:spacing w:after="0"/>
            </w:pPr>
            <w:r>
              <w:rPr>
                <w:b w:val="false"/>
                <w:bCs w:val="false"/>
                <w:sz w:val="19"/>
                <w:szCs w:val="19"/>
              </w:rPr>
              <w:t xml:space="preserve">Ontology</w:t>
            </w:r>
          </w:p>
        </w:tc>
        <w:tc>
          <w:tcPr>
            <w:tcW w:type="dxa" w:w="6178"/>
            <w:tcMar>
              <w:top w:type="dxa" w:w="60"/>
              <w:left w:type="dxa" w:w="90"/>
              <w:bottom w:type="dxa" w:w="60"/>
              <w:right w:type="dxa" w:w="90"/>
            </w:tcMar>
          </w:tcPr>
          <w:p>
            <w:pPr>
              <w:spacing w:after="0"/>
            </w:pPr>
            <w:r>
              <w:rPr>
                <w:b w:val="false"/>
                <w:bCs w:val="false"/>
                <w:sz w:val="19"/>
                <w:szCs w:val="19"/>
              </w:rPr>
              <w:t xml:space="preserve">Domain entities, not CSV mirrors. Links named readably in both directions. No unused raw columns carried through.</w:t>
            </w:r>
          </w:p>
        </w:tc>
        <w:tc>
          <w:tcPr>
            <w:tcW w:type="dxa" w:w="1310"/>
            <w:tcMar>
              <w:top w:type="dxa" w:w="60"/>
              <w:left w:type="dxa" w:w="90"/>
              <w:bottom w:type="dxa" w:w="60"/>
              <w:right w:type="dxa" w:w="90"/>
            </w:tcMar>
          </w:tcPr>
          <w:p>
            <w:pPr>
              <w:spacing w:after="0"/>
            </w:pPr>
            <w:r>
              <w:rPr>
                <w:b w:val="false"/>
                <w:bCs w:val="false"/>
                <w:sz w:val="19"/>
                <w:szCs w:val="19"/>
              </w:rPr>
              <w:t xml:space="preserve">[ ] Pass</w:t>
            </w:r>
          </w:p>
        </w:tc>
      </w:tr>
      <w:tr>
        <w:tc>
          <w:tcPr>
            <w:tcW w:type="dxa" w:w="1872"/>
            <w:tcMar>
              <w:top w:type="dxa" w:w="60"/>
              <w:left w:type="dxa" w:w="90"/>
              <w:bottom w:type="dxa" w:w="60"/>
              <w:right w:type="dxa" w:w="90"/>
            </w:tcMar>
          </w:tcPr>
          <w:p>
            <w:pPr>
              <w:spacing w:after="0"/>
            </w:pPr>
            <w:r>
              <w:rPr>
                <w:b w:val="false"/>
                <w:bCs w:val="false"/>
                <w:sz w:val="19"/>
                <w:szCs w:val="19"/>
              </w:rPr>
              <w:t xml:space="preserve">TypeScript</w:t>
            </w:r>
          </w:p>
        </w:tc>
        <w:tc>
          <w:tcPr>
            <w:tcW w:type="dxa" w:w="6178"/>
            <w:tcMar>
              <w:top w:type="dxa" w:w="60"/>
              <w:left w:type="dxa" w:w="90"/>
              <w:bottom w:type="dxa" w:w="60"/>
              <w:right w:type="dxa" w:w="90"/>
            </w:tcMar>
          </w:tcPr>
          <w:p>
            <w:pPr>
              <w:spacing w:after="0"/>
            </w:pPr>
            <w:r>
              <w:rPr>
                <w:b w:val="false"/>
                <w:bCs w:val="false"/>
                <w:sz w:val="19"/>
                <w:szCs w:val="19"/>
              </w:rPr>
              <w:t xml:space="preserve">Both required functions implement the stated formula exactly, including boundary values. Null-safe link traversal. Unit tests pass.</w:t>
            </w:r>
          </w:p>
        </w:tc>
        <w:tc>
          <w:tcPr>
            <w:tcW w:type="dxa" w:w="1310"/>
            <w:tcMar>
              <w:top w:type="dxa" w:w="60"/>
              <w:left w:type="dxa" w:w="90"/>
              <w:bottom w:type="dxa" w:w="60"/>
              <w:right w:type="dxa" w:w="90"/>
            </w:tcMar>
          </w:tcPr>
          <w:p>
            <w:pPr>
              <w:spacing w:after="0"/>
            </w:pPr>
            <w:r>
              <w:rPr>
                <w:b w:val="false"/>
                <w:bCs w:val="false"/>
                <w:sz w:val="19"/>
                <w:szCs w:val="19"/>
              </w:rPr>
              <w:t xml:space="preserve">[ ] Pass</w:t>
            </w:r>
          </w:p>
        </w:tc>
      </w:tr>
      <w:tr>
        <w:tc>
          <w:tcPr>
            <w:tcW w:type="dxa" w:w="1872"/>
            <w:tcMar>
              <w:top w:type="dxa" w:w="60"/>
              <w:left w:type="dxa" w:w="90"/>
              <w:bottom w:type="dxa" w:w="60"/>
              <w:right w:type="dxa" w:w="90"/>
            </w:tcMar>
          </w:tcPr>
          <w:p>
            <w:pPr>
              <w:spacing w:after="0"/>
            </w:pPr>
            <w:r>
              <w:rPr>
                <w:b w:val="false"/>
                <w:bCs w:val="false"/>
                <w:sz w:val="19"/>
                <w:szCs w:val="19"/>
              </w:rPr>
              <w:t xml:space="preserve">Action and permissions</w:t>
            </w:r>
          </w:p>
        </w:tc>
        <w:tc>
          <w:tcPr>
            <w:tcW w:type="dxa" w:w="6178"/>
            <w:tcMar>
              <w:top w:type="dxa" w:w="60"/>
              <w:left w:type="dxa" w:w="90"/>
              <w:bottom w:type="dxa" w:w="60"/>
              <w:right w:type="dxa" w:w="90"/>
            </w:tcMar>
          </w:tcPr>
          <w:p>
            <w:pPr>
              <w:spacing w:after="0"/>
            </w:pPr>
            <w:r>
              <w:rPr>
                <w:b w:val="false"/>
                <w:bCs w:val="false"/>
                <w:sz w:val="19"/>
                <w:szCs w:val="19"/>
              </w:rPr>
              <w:t xml:space="preserve">The action performs one complete business operation. Submission criteria block invalid clinical states. Submission is restricted to the provided group.</w:t>
            </w:r>
          </w:p>
        </w:tc>
        <w:tc>
          <w:tcPr>
            <w:tcW w:type="dxa" w:w="1310"/>
            <w:tcMar>
              <w:top w:type="dxa" w:w="60"/>
              <w:left w:type="dxa" w:w="90"/>
              <w:bottom w:type="dxa" w:w="60"/>
              <w:right w:type="dxa" w:w="90"/>
            </w:tcMar>
          </w:tcPr>
          <w:p>
            <w:pPr>
              <w:spacing w:after="0"/>
            </w:pPr>
            <w:r>
              <w:rPr>
                <w:b w:val="false"/>
                <w:bCs w:val="false"/>
                <w:sz w:val="19"/>
                <w:szCs w:val="19"/>
              </w:rPr>
              <w:t xml:space="preserve">[ ] Pass</w:t>
            </w:r>
          </w:p>
        </w:tc>
      </w:tr>
      <w:tr>
        <w:tc>
          <w:tcPr>
            <w:tcW w:type="dxa" w:w="1872"/>
            <w:tcMar>
              <w:top w:type="dxa" w:w="60"/>
              <w:left w:type="dxa" w:w="90"/>
              <w:bottom w:type="dxa" w:w="60"/>
              <w:right w:type="dxa" w:w="90"/>
            </w:tcMar>
          </w:tcPr>
          <w:p>
            <w:pPr>
              <w:spacing w:after="0"/>
            </w:pPr>
            <w:r>
              <w:rPr>
                <w:b w:val="false"/>
                <w:bCs w:val="false"/>
                <w:sz w:val="19"/>
                <w:szCs w:val="19"/>
              </w:rPr>
              <w:t xml:space="preserve">Workshop and Quiver</w:t>
            </w:r>
          </w:p>
        </w:tc>
        <w:tc>
          <w:tcPr>
            <w:tcW w:type="dxa" w:w="6178"/>
            <w:tcMar>
              <w:top w:type="dxa" w:w="60"/>
              <w:left w:type="dxa" w:w="90"/>
              <w:bottom w:type="dxa" w:w="60"/>
              <w:right w:type="dxa" w:w="90"/>
            </w:tcMar>
          </w:tcPr>
          <w:p>
            <w:pPr>
              <w:spacing w:after="0"/>
            </w:pPr>
            <w:r>
              <w:rPr>
                <w:b w:val="false"/>
                <w:bCs w:val="false"/>
                <w:sz w:val="19"/>
                <w:szCs w:val="19"/>
              </w:rPr>
              <w:t xml:space="preserve">Filter, table, detail, action. Row selection drives the detail panel. Relative durations rendered as durations. One embedded Quiver analysis wired to the active object set.</w:t>
            </w:r>
          </w:p>
        </w:tc>
        <w:tc>
          <w:tcPr>
            <w:tcW w:type="dxa" w:w="1310"/>
            <w:tcMar>
              <w:top w:type="dxa" w:w="60"/>
              <w:left w:type="dxa" w:w="90"/>
              <w:bottom w:type="dxa" w:w="60"/>
              <w:right w:type="dxa" w:w="90"/>
            </w:tcMar>
          </w:tcPr>
          <w:p>
            <w:pPr>
              <w:spacing w:after="0"/>
            </w:pPr>
            <w:r>
              <w:rPr>
                <w:b w:val="false"/>
                <w:bCs w:val="false"/>
                <w:sz w:val="19"/>
                <w:szCs w:val="19"/>
              </w:rPr>
              <w:t xml:space="preserve">[ ] Pass</w:t>
            </w:r>
          </w:p>
        </w:tc>
      </w:tr>
    </w:tbl>
    <w:p>
      <w:pPr>
        <w:spacing w:after="200"/>
      </w:pPr>
    </w:p>
    <w:p>
      <w:pPr>
        <w:spacing w:after="120"/>
      </w:pPr>
      <w:r>
        <w:t xml:space="preserve">If you cannot make a row pass, say so on Day 5 and explain what blocked you. A clear account of a limit you hit is worth more than a workaround you cannot justify.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pPr>
    <w:rPr>
      <w:b/>
      <w:bCs/>
      <w:color w:val="1F3864"/>
      <w:sz w:val="40"/>
      <w:szCs w:val="40"/>
    </w:rPr>
  </w:style>
  <w:style w:type="paragraph" w:styleId="Subtitle">
    <w:name w:val="Subtitle"/>
    <w:basedOn w:val="Normal"/>
    <w:pPr>
      <w:spacing w:after="60"/>
    </w:pPr>
    <w:rPr>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2026-09-03T12:34:39.442Z</dcterms:created>
  <dcterms:modified xsi:type="dcterms:W3CDTF">2026-09-03T12:34:39.458Z</dcterms:modified>
</cp:coreProperties>
</file>

<file path=docProps/custom.xml><?xml version="1.0" encoding="utf-8"?>
<Properties xmlns="http://schemas.openxmlformats.org/officeDocument/2006/custom-properties" xmlns:vt="http://schemas.openxmlformats.org/officeDocument/2006/docPropsVTypes"/>
</file>