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Value Creation Plan v3 — Cascade Care Group</w:t>
      </w:r>
    </w:p>
    <w:p>
      <w:pPr>
        <w:spacing w:after="120"/>
      </w:pPr>
      <w:r>
        <w:rPr>
          <w:sz w:val="21"/>
          <w:szCs w:val="21"/>
        </w:rPr>
        <w:t xml:space="preserve">The bridge from entry (~$14M EBITDA, ~$130M EV) to exit (~$24M EBITDA, ~$220M target EV). </w:t>
      </w:r>
      <w:r>
        <w:rPr>
          <w:b/>
          <w:bCs/>
          <w:sz w:val="21"/>
          <w:szCs w:val="21"/>
        </w:rPr>
        <w:t xml:space="preserve">As of Q2-26 the plan is off-track: EBITDA has eroded to ~$11M.</w:t>
      </w:r>
      <w:r>
        <w:rPr>
          <w:sz w:val="21"/>
          <w:szCs w:val="21"/>
        </w:rPr>
        <w:t xml:space="preserve"> Each workstream has an owner, target, status (RYG), the </w:t>
      </w:r>
      <w:r>
        <w:rPr>
          <w:b/>
          <w:bCs/>
          <w:sz w:val="21"/>
          <w:szCs w:val="21"/>
        </w:rPr>
        <w:t xml:space="preserve">EV at stake</w:t>
      </w:r>
      <w:r>
        <w:rPr>
          <w:sz w:val="21"/>
          <w:szCs w:val="21"/>
        </w:rPr>
        <w:t xml:space="preserve">, and the </w:t>
      </w:r>
      <w:r>
        <w:rPr>
          <w:b/>
          <w:bCs/>
          <w:sz w:val="21"/>
          <w:szCs w:val="21"/>
        </w:rPr>
        <w:t xml:space="preserve">3–6 month indicators of success.</w:t>
      </w:r>
      <w:r>
        <w:rPr>
          <w:sz w:val="21"/>
          <w:szCs w:val="21"/>
        </w:rPr>
        <w:t xml:space="preserve"> The agent ties </w:t>
      </w:r>
      <w:r>
        <w:rPr>
          <w:b/>
          <w:bCs/>
          <w:sz w:val="21"/>
          <w:szCs w:val="21"/>
        </w:rPr>
        <w:t xml:space="preserve">Estimated EV Impact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What Drove EV Erosion</w:t>
      </w:r>
      <w:r>
        <w:rPr>
          <w:sz w:val="21"/>
          <w:szCs w:val="21"/>
        </w:rPr>
        <w:t xml:space="preserve">, and </w:t>
      </w:r>
      <w:r>
        <w:rPr>
          <w:b/>
          <w:bCs/>
          <w:sz w:val="21"/>
          <w:szCs w:val="21"/>
        </w:rPr>
        <w:t xml:space="preserve">Tracking on VCP</w:t>
      </w:r>
      <w:r>
        <w:rPr>
          <w:sz w:val="21"/>
          <w:szCs w:val="21"/>
        </w:rPr>
        <w:t xml:space="preserve"> back here.</w:t>
      </w:r>
    </w:p>
    <w:p>
      <w:pPr>
        <w:pStyle w:val="Heading2"/>
      </w:pPr>
      <w:r>
        <w:t xml:space="preserve">Value bridge (entry → target)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Lever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(Q2-26)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(exit)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 at stake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Clinic count (de novo)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48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52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80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~$45M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🔴 stalled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Net collection rate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94%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92%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98%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~$25M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🔴 worse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Clinician attrition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24%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28%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15%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~$20M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🔴 worse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Payor mix / rate uplift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base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flat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+300bps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~$18M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🔴 stalled (no CFO)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MSO / central back-office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live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full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~$22M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🟢 on track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EBITDA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$14M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$11M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$24M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🔴 eroding</w:t>
            </w:r>
          </w:p>
        </w:tc>
      </w:tr>
    </w:tbl>
    <w:p>
      <w:pPr>
        <w:spacing w:after="120"/>
      </w:pPr>
    </w:p>
    <w:p>
      <w:pPr>
        <w:pBdr>
          <w:bottom w:val="single" w:color="D9E0EE" w:sz="6" w:space="1"/>
        </w:pBdr>
        <w:spacing w:after="120"/>
      </w:pPr>
    </w:p>
    <w:p>
      <w:pPr>
        <w:pStyle w:val="Heading2"/>
      </w:pPr>
      <w:r>
        <w:t xml:space="preserve">Workstream 1 — De-novo clinic expansion  ·  Owner: CEO (Connolly)  ·  🔴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Target:</w:t>
      </w:r>
      <w:r>
        <w:t xml:space="preserve"> 48 → 80 clinics. </w:t>
      </w:r>
      <w:r>
        <w:rPr>
          <w:b/>
          <w:bCs/>
        </w:rPr>
        <w:t xml:space="preserve">Current: 52</w:t>
      </w:r>
      <w:r>
        <w:t xml:space="preserve"> (opened 4 this year vs. a plan of 12; two are underwater).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What's driving the gap (EV erosion):</w:t>
      </w:r>
      <w:r>
        <w:t xml:space="preserve"> No disciplined site-selection or ramp playbook; openings are opportunistic. </w:t>
      </w:r>
      <w:r>
        <w:rPr>
          <w:b/>
          <w:bCs/>
        </w:rPr>
        <w:t xml:space="preserve">Modeled EV drag ~$15M</w:t>
      </w:r>
      <w:r>
        <w:t xml:space="preserve"> vs. plan.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3–6 month indicators of success:</w:t>
      </w:r>
      <w:r>
        <w:t xml:space="preserve"> (1) a real de-novo playbook + pipeline; (2) the two underwater clinics to breakeven or closed; (3) ≥ 4 disciplined openings booked for H2.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Risk:</w:t>
      </w:r>
      <w:r>
        <w:t xml:space="preserve"> Owned by the CEO whose growth discipline is the core leadership concern.</w:t>
      </w:r>
    </w:p>
    <w:p>
      <w:pPr>
        <w:pStyle w:val="Heading2"/>
      </w:pPr>
      <w:r>
        <w:t xml:space="preserve">Workstream 2 — RCM / collections  ·  Owner: VP RCM (Park)  ·  🔴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Target:</w:t>
      </w:r>
      <w:r>
        <w:t xml:space="preserve"> net collection 94% → 98%; denials down.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Current:</w:t>
      </w:r>
      <w:r>
        <w:t xml:space="preserve"> </w:t>
      </w:r>
      <w:r>
        <w:rPr>
          <w:b/>
          <w:bCs/>
        </w:rPr>
        <w:t xml:space="preserve">92%</w:t>
      </w:r>
      <w:r>
        <w:t xml:space="preserve"> and denials </w:t>
      </w:r>
      <w:r>
        <w:rPr>
          <w:b/>
          <w:bCs/>
        </w:rPr>
        <w:t xml:space="preserve">up</w:t>
      </w:r>
      <w:r>
        <w:t xml:space="preserve"> — moving the wrong way. </w:t>
      </w:r>
      <w:r>
        <w:rPr>
          <w:b/>
          <w:bCs/>
        </w:rPr>
        <w:t xml:space="preserve">~$6M annualized cash drag.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3–6 month indicators of success:</w:t>
      </w:r>
      <w:r>
        <w:t xml:space="preserve"> (1) net collections ≥ 95%; (2) denial rate down 200bps; (3) payor-specific denial playbooks live.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Risk:</w:t>
      </w:r>
      <w:r>
        <w:t xml:space="preserve"> Function out-scaled by multi-payor complexity; perf plan recommended.</w:t>
      </w:r>
    </w:p>
    <w:p>
      <w:pPr>
        <w:pStyle w:val="Heading2"/>
      </w:pPr>
      <w:r>
        <w:t xml:space="preserve">Workstream 3 — Clinician retention  ·  Owner: VP People (Frost) + CMO (Okonkwo)  ·  🔴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Target:</w:t>
      </w:r>
      <w:r>
        <w:t xml:space="preserve"> attrition 24% → 15%. </w:t>
      </w:r>
      <w:r>
        <w:rPr>
          <w:b/>
          <w:bCs/>
        </w:rPr>
        <w:t xml:space="preserve">Current: 28%</w:t>
      </w:r>
      <w:r>
        <w:t xml:space="preserve"> — worse. Driving </w:t>
      </w:r>
      <w:r>
        <w:rPr>
          <w:b/>
          <w:bCs/>
        </w:rPr>
        <w:t xml:space="preserve">locum/agency costs up ~$4M.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3–6 month indicators of success:</w:t>
      </w:r>
      <w:r>
        <w:t xml:space="preserve"> (1) attrition &lt; 22%; (2) a funded retention + comp plan; (3) clinician NPS up.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Risk:</w:t>
      </w:r>
      <w:r>
        <w:t xml:space="preserve"> Function under-resourced (2 FTE); </w:t>
      </w:r>
      <w:r>
        <w:rPr>
          <w:b/>
          <w:bCs/>
        </w:rPr>
        <w:t xml:space="preserve">no CFO to approve the retention budget.</w:t>
      </w:r>
    </w:p>
    <w:p>
      <w:pPr>
        <w:pStyle w:val="Heading2"/>
      </w:pPr>
      <w:r>
        <w:t xml:space="preserve">Workstream 4 — Payor mix / rate improvement  ·  Owner: CFO (</w:t>
      </w:r>
      <w:r>
        <w:rPr>
          <w:b/>
          <w:bCs/>
        </w:rPr>
        <w:t xml:space="preserve">VACANT</w:t>
      </w:r>
      <w:r>
        <w:t xml:space="preserve">)  ·  🔴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Target:</w:t>
      </w:r>
      <w:r>
        <w:t xml:space="preserve"> +300bps blended rate via payor-mix shift and contract renegotiation.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Current:</w:t>
      </w:r>
      <w:r>
        <w:t xml:space="preserve"> </w:t>
      </w:r>
      <w:r>
        <w:rPr>
          <w:b/>
          <w:bCs/>
        </w:rPr>
        <w:t xml:space="preserve">stalled</w:t>
      </w:r>
      <w:r>
        <w:t xml:space="preserve"> — no permanent CFO to own payor analytics and contracting.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What's driving the gap (EV erosion):</w:t>
      </w:r>
      <w:r>
        <w:t xml:space="preserve"> </w:t>
      </w:r>
      <w:r>
        <w:rPr>
          <w:b/>
          <w:bCs/>
        </w:rPr>
        <w:t xml:space="preserve">The open CFO seat.</w:t>
      </w:r>
      <w:r>
        <w:t xml:space="preserve"> ~$18M of bridge value depends on this workstream and it has no owner. </w:t>
      </w:r>
      <w:r>
        <w:rPr>
          <w:b/>
          <w:bCs/>
        </w:rPr>
        <w:t xml:space="preserve">Modeled EV slippage ~$8M of timing/forgone uplift.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3–6 month indicators of success:</w:t>
      </w:r>
      <w:r>
        <w:t xml:space="preserve"> (1) CFO hired; (2) payor analytics stood up; (3) two contracts renegotiated.</w:t>
      </w:r>
    </w:p>
    <w:p>
      <w:pPr>
        <w:pStyle w:val="Heading2"/>
      </w:pPr>
      <w:r>
        <w:t xml:space="preserve">Workstream 5 — MSO / central back-office  ·  Owner: COO (Delgado)  ·  🟢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Target:</w:t>
      </w:r>
      <w:r>
        <w:t xml:space="preserve"> central scheduling, credentialing, billing, and HR shared services.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Current:</w:t>
      </w:r>
      <w:r>
        <w:t xml:space="preserve"> </w:t>
      </w:r>
      <w:r>
        <w:rPr>
          <w:b/>
          <w:bCs/>
        </w:rPr>
        <w:t xml:space="preserve">live and on track</w:t>
      </w:r>
      <w:r>
        <w:t xml:space="preserve"> — the one green workstream, built and run by the COO.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3–6 month indicators of success:</w:t>
      </w:r>
      <w:r>
        <w:t xml:space="preserve"> (1) all 52 clinics on central scheduling; (2) back-office cost-per-clinic down 10%.</w:t>
      </w:r>
    </w:p>
    <w:p>
      <w:pPr>
        <w:pStyle w:val="Heading2"/>
      </w:pPr>
      <w:r>
        <w:t xml:space="preserve">Workstream 6 — EBITDA bridge  ·  Owner: CFO (</w:t>
      </w:r>
      <w:r>
        <w:rPr>
          <w:b/>
          <w:bCs/>
        </w:rPr>
        <w:t xml:space="preserve">VACANT</w:t>
      </w:r>
      <w:r>
        <w:t xml:space="preserve">) / interim  ·  🔴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Target:</w:t>
      </w:r>
      <w:r>
        <w:t xml:space="preserve"> $14M → $24M. </w:t>
      </w:r>
      <w:r>
        <w:rPr>
          <w:b/>
          <w:bCs/>
        </w:rPr>
        <w:t xml:space="preserve">Current: $11M — eroded.</w:t>
      </w:r>
      <w:r>
        <w:t xml:space="preserve"> Mix of stalled growth, weak collections, and locum costs.</w:t>
      </w:r>
    </w:p>
    <w:p>
      <w:pPr>
        <w:pBdr>
          <w:bottom w:val="single" w:color="D9E0EE" w:sz="6" w:space="1"/>
        </w:pBdr>
        <w:spacing w:after="120"/>
      </w:pPr>
    </w:p>
    <w:p>
      <w:pPr>
        <w:pStyle w:val="Heading2"/>
      </w:pPr>
      <w:r>
        <w:t xml:space="preserve">EV-at-risk summary (people-linked)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Linked leader</w:t>
            </w:r>
          </w:p>
        </w:tc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 exposure</w:t>
            </w:r>
          </w:p>
        </w:tc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Stalled de-novo growth</w:t>
            </w:r>
          </w:p>
        </w:tc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CEO (Connolly)</w:t>
            </w:r>
          </w:p>
        </w:tc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~$15M drag</w:t>
            </w:r>
          </w:p>
        </w:tc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Core leadership concern.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CFO vacancy / payor uplift stalled</w:t>
            </w:r>
          </w:p>
        </w:tc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CFO (vacant)</w:t>
            </w:r>
          </w:p>
        </w:tc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~$8M + ~$18M unowned</w:t>
            </w:r>
          </w:p>
        </w:tc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The escalation item.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Collections / denials behind</w:t>
            </w:r>
          </w:p>
        </w:tc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VP RCM (Park)</w:t>
            </w:r>
          </w:p>
        </w:tc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~$6M cash</w:t>
            </w:r>
          </w:p>
        </w:tc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Perf plan recommended.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Clinician attrition</w:t>
            </w:r>
          </w:p>
        </w:tc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VP People + CMO</w:t>
            </w:r>
          </w:p>
        </w:tc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~$4M locum</w:t>
            </w:r>
          </w:p>
        </w:tc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Under-resourced; no funding.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COO retention (upside protection)</w:t>
            </w:r>
          </w:p>
        </w:tc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COO (Delgado)</w:t>
            </w:r>
          </w:p>
        </w:tc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recovery hinges here</w:t>
            </w:r>
          </w:p>
        </w:tc>
        <w:tc>
          <w:tcPr>
            <w:tcW w:type="dxa" w:w="234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Promote/retain — the catastrophic loss to avoid.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Headline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Off-plan and escalating. EBITDA has eroded from $14M to $11M. The recoverable path is: promote/retain the COO, close the CFO hire, put RCM on a plan, and fund clinician retention. Five of six workstreams are red; the one green (MSO) is the COO's.</w:t>
      </w:r>
    </w:p>
    <w:sectPr>
      <w:headerReference w:type="default" r:id="rId7"/>
      <w:footerReference w:type="default" r:id="rId8"/>
      <w:pgSz w:w="12240" w:h="15840" w:orient="portrait"/>
      <w:pgMar w:top="160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0EE" w:sz="6" w:space="4"/>
      </w:pBdr>
      <w:tabs>
        <w:tab w:val="right" w:pos="9360"/>
      </w:tabs>
    </w:pPr>
    <w:r>
      <w:rPr>
        <w:rFonts w:ascii="Calibri" w:cs="Calibri" w:eastAsia="Calibri" w:hAnsi="Calibri"/>
        <w:color w:val="7A879C"/>
        <w:sz w:val="15"/>
        <w:szCs w:val="15"/>
      </w:rPr>
      <w:t xml:space="preserve">PC2 · Cascade Care Group  ·  CONFIDENTIAL</w:t>
    </w:r>
    <w:r>
      <w:rPr>
        <w:rFonts w:ascii="Calibri" w:cs="Calibri" w:eastAsia="Calibri" w:hAnsi="Calibri"/>
        <w:color w:val="7A879C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483D" w:sz="12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E2761"/>
        <w:spacing w:val="30"/>
        <w:sz w:val="20"/>
        <w:szCs w:val="20"/>
      </w:rPr>
      <w:t xml:space="preserve">DAW CAPITAL</w:t>
    </w:r>
    <w:r>
      <w:rPr>
        <w:rFonts w:ascii="Calibri" w:cs="Calibri" w:eastAsia="Calibri" w:hAnsi="Calibri"/>
        <w:color w:val="7A879C"/>
        <w:sz w:val="18"/>
        <w:szCs w:val="18"/>
      </w:rPr>
      <w:t xml:space="preserve">   Portfolio Talent Review</w:t>
    </w:r>
    <w:r>
      <w:rPr>
        <w:rFonts w:ascii="Calibri" w:cs="Calibri" w:eastAsia="Calibri" w:hAnsi="Calibri"/>
        <w:color w:val="7A879C"/>
        <w:sz w:val="16"/>
        <w:szCs w:val="16"/>
      </w:rPr>
      <w:t xml:space="preserve">	Value-Creation Plan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2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Georgia" w:cs="Georgia" w:eastAsia="Georgia" w:hAnsi="Georgia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E276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B5483D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DAW CAPITAL</dc:creator>
  <cp:lastModifiedBy>Un-named</cp:lastModifiedBy>
  <cp:revision>1</cp:revision>
  <dcterms:created xsi:type="dcterms:W3CDTF">2026-06-13T12:55:58.605Z</dcterms:created>
  <dcterms:modified xsi:type="dcterms:W3CDTF">2026-06-13T12:55:58.605Z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