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Leadership Re-Assessment — Vantage Managed Services (May 2026)</w:t>
      </w:r>
    </w:p>
    <w:p>
      <w:pPr>
        <w:spacing w:after="120"/>
      </w:pPr>
      <w:r>
        <w:rPr>
          <w:sz w:val="21"/>
          <w:szCs w:val="21"/>
        </w:rPr>
        <w:t xml:space="preserve">Independent re-assessment of the executive team ~31 months post-close, scored against the </w:t>
      </w:r>
      <w:r>
        <w:rPr>
          <w:b/>
          <w:bCs/>
          <w:sz w:val="21"/>
          <w:szCs w:val="21"/>
        </w:rPr>
        <w:t xml:space="preserve">target scorecards</w:t>
      </w:r>
      <w:r>
        <w:rPr>
          <w:sz w:val="21"/>
          <w:szCs w:val="21"/>
        </w:rPr>
        <w:t xml:space="preserve"> and the </w:t>
      </w:r>
      <w:r>
        <w:rPr>
          <w:b/>
          <w:bCs/>
          <w:sz w:val="21"/>
          <w:szCs w:val="21"/>
        </w:rPr>
        <w:t xml:space="preserve">competency framework</w:t>
      </w:r>
      <w:r>
        <w:rPr>
          <w:sz w:val="21"/>
          <w:szCs w:val="21"/>
        </w:rPr>
        <w:t xml:space="preserve">. For each leader: current-state score, future-state projection (vs. role target), 9-box, hi-po call, risk of loss, succession, key risks, and recommended action. Confidence (</w:t>
      </w:r>
      <w:r>
        <w:rPr>
          <w:b/>
          <w:bCs/>
          <w:sz w:val="21"/>
          <w:szCs w:val="21"/>
        </w:rPr>
        <w:t xml:space="preserve">signal</w:t>
      </w:r>
      <w:r>
        <w:rPr>
          <w:sz w:val="21"/>
          <w:szCs w:val="21"/>
        </w:rPr>
        <w:t xml:space="preserve">) reflects the volume and consistency of evidence.</w:t>
      </w:r>
    </w:p>
    <w:p>
      <w:pPr>
        <w:pBdr>
          <w:left w:val="single" w:color="1C7293" w:sz="18" w:space="8"/>
        </w:pBdr>
        <w:shd w:fill="F4F6FB" w:val="clear"/>
        <w:spacing w:after="120" w:before="60"/>
        <w:ind w:left="360"/>
      </w:pPr>
      <w:r>
        <w:rPr>
          <w:i/>
          <w:iCs/>
          <w:color w:val="3B475C"/>
          <w:sz w:val="20"/>
          <w:szCs w:val="20"/>
        </w:rPr>
        <w:t xml:space="preserve">Scoring scale 1–5. RYG: 1–2 red, 3 yellow, 4–5 green. "Future state" is the projected score against the role's </w:t>
      </w:r>
      <w:r>
        <w:rPr>
          <w:b/>
          <w:bCs/>
          <w:i/>
          <w:iCs/>
          <w:color w:val="3B475C"/>
          <w:sz w:val="20"/>
          <w:szCs w:val="20"/>
        </w:rPr>
        <w:t xml:space="preserve">Target</w:t>
      </w:r>
      <w:r>
        <w:rPr>
          <w:i/>
          <w:iCs/>
          <w:color w:val="3B475C"/>
          <w:sz w:val="20"/>
          <w:szCs w:val="20"/>
        </w:rPr>
        <w:t xml:space="preserve"> as the business scales over the next 12–18 months.</w:t>
      </w:r>
    </w:p>
    <w:p>
      <w:pPr>
        <w:pBdr>
          <w:bottom w:val="single" w:color="D9E0EE" w:sz="6" w:space="1"/>
        </w:pBdr>
        <w:spacing w:after="120"/>
      </w:pPr>
    </w:p>
    <w:p>
      <w:pPr>
        <w:pStyle w:val="Heading2"/>
      </w:pPr>
      <w:r>
        <w:t xml:space="preserve">Marcus Reuben — CEO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Current state: 4.1 (green).</w:t>
      </w:r>
      <w:r>
        <w:t xml:space="preserve"> Baseline at close was 4.4. The platform-CEO thesis is playing out: he is the engine behind both tuck-in pipelines and carries the board and lenders.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Future state: 3.9 (green)</w:t>
      </w:r>
      <w:r>
        <w:t xml:space="preserve"> vs. target 4.3. Slight gap: still over-indexes on net-new logos vs. same-client NRR — the one habit flagged at entry that persists.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9-box: 1A (High performance / High potential).</w:t>
      </w:r>
      <w:r>
        <w:t xml:space="preserve"> </w:t>
      </w:r>
      <w:r>
        <w:rPr>
          <w:b/>
          <w:bCs/>
        </w:rPr>
        <w:t xml:space="preserve">Hi-po: Yes.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 of loss: Low (green).</w:t>
      </w:r>
      <w:r>
        <w:t xml:space="preserve"> Strongly aligned, equity-motivated; refresh under discussion.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— short-term (&lt;6mo):</w:t>
      </w:r>
      <w:r>
        <w:t xml:space="preserve"> COO (Walsh), </w:t>
      </w:r>
      <w:r>
        <w:rPr>
          <w:b/>
          <w:bCs/>
        </w:rPr>
        <w:t xml:space="preserve">ready-now</w:t>
      </w:r>
      <w:r>
        <w:t xml:space="preserve">. </w:t>
      </w:r>
      <w:r>
        <w:rPr>
          <w:b/>
          <w:bCs/>
        </w:rPr>
        <w:t xml:space="preserve">Long-term:</w:t>
      </w:r>
      <w:r>
        <w:t xml:space="preserve"> COO (Walsh), developing into the full platform-CEO scope.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readiness: High (green).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Key risks:</w:t>
      </w:r>
      <w:r>
        <w:t xml:space="preserve"> Over-weights new logos vs. NRR; carries M&amp;A largely himself.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Signal: High (0.86)</w:t>
      </w:r>
      <w:r>
        <w:t xml:space="preserve"> — abundant, consistent evidence.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Additional comments:</w:t>
      </w:r>
      <w:r>
        <w:t xml:space="preserve"> "Board confidence is high. He's grown into the platform-CEO role." (assessor)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Actionability: Medium</w:t>
      </w:r>
      <w:r>
        <w:t xml:space="preserve"> — </w:t>
      </w:r>
      <w:r>
        <w:rPr>
          <w:i/>
          <w:iCs/>
        </w:rPr>
        <w:t xml:space="preserve">Protect and incentivize; add an NRR gate to balance the new-logo bias; formalize Walsh as successor.</w:t>
      </w:r>
    </w:p>
    <w:p>
      <w:pPr>
        <w:pBdr>
          <w:left w:val="single" w:color="1C7293" w:sz="18" w:space="8"/>
        </w:pBdr>
        <w:shd w:fill="F4F6FB" w:val="clear"/>
        <w:spacing w:after="120" w:before="60"/>
        <w:ind w:left="360"/>
      </w:pPr>
      <w:r>
        <w:rPr>
          <w:b/>
          <w:bCs/>
          <w:i/>
          <w:iCs/>
          <w:color w:val="3B475C"/>
          <w:sz w:val="20"/>
          <w:szCs w:val="20"/>
        </w:rPr>
        <w:t xml:space="preserve">Evidence —</w:t>
      </w:r>
      <w:r>
        <w:rPr>
          <w:i/>
          <w:iCs/>
          <w:color w:val="3B475C"/>
          <w:sz w:val="20"/>
          <w:szCs w:val="20"/>
        </w:rPr>
        <w:t xml:space="preserve"> "Marcus has hit every board gate and closed the first tuck-in cleanly; the second is only late because of accounting, not him." — Board Chair, board review, p.6 §CEO.</w:t>
      </w:r>
    </w:p>
    <w:p>
      <w:pPr>
        <w:pBdr>
          <w:bottom w:val="single" w:color="D9E0EE" w:sz="6" w:space="1"/>
        </w:pBdr>
        <w:spacing w:after="120"/>
      </w:pPr>
    </w:p>
    <w:p>
      <w:pPr>
        <w:pStyle w:val="Heading2"/>
      </w:pPr>
      <w:r>
        <w:t xml:space="preserve">Priya Balakrishnan — CFO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Current state: 3.6 (yellow).</w:t>
      </w:r>
      <w:r>
        <w:t xml:space="preserve"> Baseline 3.8. Financial acumen remains a 5; but the </w:t>
      </w:r>
      <w:r>
        <w:rPr>
          <w:b/>
          <w:bCs/>
        </w:rPr>
        <w:t xml:space="preserve">close cycle is slow (12 business days)</w:t>
      </w:r>
      <w:r>
        <w:t xml:space="preserve"> and has twice delayed lender reporting, and she </w:t>
      </w:r>
      <w:r>
        <w:rPr>
          <w:b/>
          <w:bCs/>
        </w:rPr>
        <w:t xml:space="preserve">still has not built a finance bench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Future state: 3.0 (yellow)</w:t>
      </w:r>
      <w:r>
        <w:t xml:space="preserve"> vs. target 4.2. The gap is structural: the role's heavily-weighted "build the bench" dimension is </w:t>
      </w:r>
      <w:r>
        <w:rPr>
          <w:b/>
          <w:bCs/>
        </w:rPr>
        <w:t xml:space="preserve">Emerging</w:t>
      </w:r>
      <w:r>
        <w:t xml:space="preserve"> while the target is </w:t>
      </w:r>
      <w:r>
        <w:rPr>
          <w:b/>
          <w:bCs/>
        </w:rPr>
        <w:t xml:space="preserve">Strong</w:t>
      </w:r>
      <w:r>
        <w:t xml:space="preserve">. Until she hires under herself, she cannot reach thesis-ready.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9-box: 2B (Medium performance / Medium potential).</w:t>
      </w:r>
      <w:r>
        <w:t xml:space="preserve"> </w:t>
      </w:r>
      <w:r>
        <w:rPr>
          <w:b/>
          <w:bCs/>
        </w:rPr>
        <w:t xml:space="preserve">Hi-po: No</w:t>
      </w:r>
      <w:r>
        <w:t xml:space="preserve"> (not for lack of ability — for lack of delegation runway).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 of loss: Medium (yellow).</w:t>
      </w:r>
      <w:r>
        <w:t xml:space="preserve"> She has been approached twice; the CEO reads it as "a flag, not a threat," the assessor rates it higher.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— short-term:</w:t>
      </w:r>
      <w:r>
        <w:t xml:space="preserve"> </w:t>
      </w:r>
      <w:r>
        <w:rPr>
          <w:b/>
          <w:bCs/>
        </w:rPr>
        <w:t xml:space="preserve">None identified (gap).</w:t>
      </w:r>
      <w:r>
        <w:t xml:space="preserve"> </w:t>
      </w:r>
      <w:r>
        <w:rPr>
          <w:b/>
          <w:bCs/>
        </w:rPr>
        <w:t xml:space="preserve">Long-term:</w:t>
      </w:r>
      <w:r>
        <w:t xml:space="preserve"> external search required (gap). A controller is the only finance hire beneath her.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readiness: Low (red).</w:t>
      </w:r>
      <w:r>
        <w:t xml:space="preserve"> "There is no number two in finance today. Full stop."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Key risks:</w:t>
      </w:r>
      <w:r>
        <w:t xml:space="preserve"> </w:t>
      </w:r>
      <w:r>
        <w:rPr>
          <w:b/>
          <w:bCs/>
        </w:rPr>
        <w:t xml:space="preserve">Single point of failure</w:t>
      </w:r>
      <w:r>
        <w:t xml:space="preserve"> on lender + integration-accounting relationships; no bench; slow close.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Signal: Medium (0.71)</w:t>
      </w:r>
      <w:r>
        <w:t xml:space="preserve"> — clear on the bench/close facts; the retention read is contested (see deviation).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Additional comments:</w:t>
      </w:r>
      <w:r>
        <w:t xml:space="preserve"> "Technically excellent and holds every banking relationship personally. The risk isn't her competence — it's her irreplaceability."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Actionability: High</w:t>
      </w:r>
      <w:r>
        <w:t xml:space="preserve"> — </w:t>
      </w:r>
      <w:r>
        <w:rPr>
          <w:i/>
          <w:iCs/>
        </w:rPr>
        <w:t xml:space="preserve">Open a VP Finance search immediately; map and transfer lender relationships; put a retention grant in place.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Deviation (stakeholder contradiction):</w:t>
      </w:r>
      <w:r>
        <w:t xml:space="preserve"> CEO frames retention risk as low; assessor rates it medium-high.</w:t>
      </w:r>
    </w:p>
    <w:p>
      <w:pPr>
        <w:pBdr>
          <w:left w:val="single" w:color="1C7293" w:sz="18" w:space="8"/>
        </w:pBdr>
        <w:shd w:fill="F4F6FB" w:val="clear"/>
        <w:spacing w:after="120" w:before="60"/>
        <w:ind w:left="360"/>
      </w:pPr>
      <w:r>
        <w:rPr>
          <w:b/>
          <w:bCs/>
          <w:i/>
          <w:iCs/>
          <w:color w:val="3B475C"/>
          <w:sz w:val="20"/>
          <w:szCs w:val="20"/>
        </w:rPr>
        <w:t xml:space="preserve">Evidence —</w:t>
      </w:r>
      <w:r>
        <w:rPr>
          <w:i/>
          <w:iCs/>
          <w:color w:val="3B475C"/>
          <w:sz w:val="20"/>
          <w:szCs w:val="20"/>
        </w:rPr>
        <w:t xml:space="preserve"> "Our close took 12 days again this quarter and the lender noticed." — CFO, board deck p.11 §Finance. // "There is no number two in finance today. Full stop." — Assessor, this report §Bench.</w:t>
      </w:r>
    </w:p>
    <w:p>
      <w:pPr>
        <w:pBdr>
          <w:bottom w:val="single" w:color="D9E0EE" w:sz="6" w:space="1"/>
        </w:pBdr>
        <w:spacing w:after="120"/>
      </w:pPr>
    </w:p>
    <w:p>
      <w:pPr>
        <w:pStyle w:val="Heading2"/>
      </w:pPr>
      <w:r>
        <w:t xml:space="preserve">Devin Walsh — COO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Current state: 4.3 (green).</w:t>
      </w:r>
      <w:r>
        <w:t xml:space="preserve"> Baseline 4.0 — </w:t>
      </w:r>
      <w:r>
        <w:rPr>
          <w:b/>
          <w:bCs/>
        </w:rPr>
        <w:t xml:space="preserve">trending up.</w:t>
      </w:r>
      <w:r>
        <w:t xml:space="preserve"> The operating engine: delivery gross margin up ~600bps under his industrialization push; the offshore pod is landing near target cost-to-serve.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Future state: 4.2 (green)</w:t>
      </w:r>
      <w:r>
        <w:t xml:space="preserve"> vs. target 4.3 — effectively at target.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9-box: 1A (High / High).</w:t>
      </w:r>
      <w:r>
        <w:t xml:space="preserve"> </w:t>
      </w:r>
      <w:r>
        <w:rPr>
          <w:b/>
          <w:bCs/>
        </w:rPr>
        <w:t xml:space="preserve">Hi-po: Yes</w:t>
      </w:r>
      <w:r>
        <w:t xml:space="preserve"> — the clear CEO successor.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 of loss: Low (green).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— short-term:</w:t>
      </w:r>
      <w:r>
        <w:t xml:space="preserve"> VP Delivery (Iglesias), </w:t>
      </w:r>
      <w:r>
        <w:rPr>
          <w:b/>
          <w:bCs/>
        </w:rPr>
        <w:t xml:space="preserve">developing.</w:t>
      </w:r>
      <w:r>
        <w:t xml:space="preserve"> </w:t>
      </w:r>
      <w:r>
        <w:rPr>
          <w:b/>
          <w:bCs/>
        </w:rPr>
        <w:t xml:space="preserve">Long-term:</w:t>
      </w:r>
      <w:r>
        <w:t xml:space="preserve"> VP Delivery, developing.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readiness: Medium (yellow)</w:t>
      </w:r>
      <w:r>
        <w:t xml:space="preserve"> — his own backfill is the gating item.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Key risks:</w:t>
      </w:r>
      <w:r>
        <w:t xml:space="preserve"> </w:t>
      </w:r>
      <w:r>
        <w:rPr>
          <w:b/>
          <w:bCs/>
        </w:rPr>
        <w:t xml:space="preserve">Stretched</w:t>
      </w:r>
      <w:r>
        <w:t xml:space="preserve"> across run-the-business ops </w:t>
      </w:r>
      <w:r>
        <w:rPr>
          <w:i/>
          <w:iCs/>
        </w:rPr>
        <w:t xml:space="preserve">and</w:t>
      </w:r>
      <w:r>
        <w:t xml:space="preserve"> the delivery transformation simultaneously; burnout/bandwidth risk.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Signal: High (0.88).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Additional comments:</w:t>
      </w:r>
      <w:r>
        <w:t xml:space="preserve"> "If anything happened to Marcus, Devin runs this company on day one."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Actionability: Medium</w:t>
      </w:r>
      <w:r>
        <w:t xml:space="preserve"> — </w:t>
      </w:r>
      <w:r>
        <w:rPr>
          <w:i/>
          <w:iCs/>
        </w:rPr>
        <w:t xml:space="preserve">Formalize as CEO-successor; protect his bandwidth by maturing VP Delivery faster.</w:t>
      </w:r>
    </w:p>
    <w:p>
      <w:pPr>
        <w:pBdr>
          <w:left w:val="single" w:color="1C7293" w:sz="18" w:space="8"/>
        </w:pBdr>
        <w:shd w:fill="F4F6FB" w:val="clear"/>
        <w:spacing w:after="120" w:before="60"/>
        <w:ind w:left="360"/>
      </w:pPr>
      <w:r>
        <w:rPr>
          <w:b/>
          <w:bCs/>
          <w:i/>
          <w:iCs/>
          <w:color w:val="3B475C"/>
          <w:sz w:val="20"/>
          <w:szCs w:val="20"/>
        </w:rPr>
        <w:t xml:space="preserve">Evidence —</w:t>
      </w:r>
      <w:r>
        <w:rPr>
          <w:i/>
          <w:iCs/>
          <w:color w:val="3B475C"/>
          <w:sz w:val="20"/>
          <w:szCs w:val="20"/>
        </w:rPr>
        <w:t xml:space="preserve"> "Managed-services gross margin is up almost six points since Devin took the transformation; that's the single biggest line in the EBITDA bridge." — CFO, board deck p.8 §Operations.</w:t>
      </w:r>
    </w:p>
    <w:p>
      <w:pPr>
        <w:pBdr>
          <w:bottom w:val="single" w:color="D9E0EE" w:sz="6" w:space="1"/>
        </w:pBdr>
        <w:spacing w:after="120"/>
      </w:pPr>
    </w:p>
    <w:p>
      <w:pPr>
        <w:pStyle w:val="Heading2"/>
      </w:pPr>
      <w:r>
        <w:t xml:space="preserve">Anika Sørensen — CTO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Current state: 4.2 (green).</w:t>
      </w:r>
      <w:r>
        <w:t xml:space="preserve"> Baseline 3.9 — </w:t>
      </w:r>
      <w:r>
        <w:rPr>
          <w:b/>
          <w:bCs/>
        </w:rPr>
        <w:t xml:space="preserve">trending up.</w:t>
      </w:r>
      <w:r>
        <w:t xml:space="preserve"> The security platform is the thesis's brightest spot: </w:t>
      </w:r>
      <w:r>
        <w:rPr>
          <w:b/>
          <w:bCs/>
        </w:rPr>
        <w:t xml:space="preserve">cyber/MDR attach is ahead of plan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Future state: 4.0 (green)</w:t>
      </w:r>
      <w:r>
        <w:t xml:space="preserve"> vs. target 4.1 — near target; the only soft spot is scaling people-leadership.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9-box: 1A (High / High).</w:t>
      </w:r>
      <w:r>
        <w:t xml:space="preserve"> </w:t>
      </w:r>
      <w:r>
        <w:rPr>
          <w:b/>
          <w:bCs/>
        </w:rPr>
        <w:t xml:space="preserve">Hi-po: Yes.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 of loss: HIGH (red).</w:t>
      </w:r>
      <w:r>
        <w:t xml:space="preserve"> This is the single biggest people risk in the portfolio. She is </w:t>
      </w:r>
      <w:r>
        <w:rPr>
          <w:b/>
          <w:bCs/>
        </w:rPr>
        <w:t xml:space="preserve">top-decile and heavily recruited</w:t>
      </w:r>
      <w:r>
        <w:t xml:space="preserve"> in a hot cyber market; her inherited retention package is below market; she has fielded at least one approach this quarter.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— short-term:</w:t>
      </w:r>
      <w:r>
        <w:t xml:space="preserve"> </w:t>
      </w:r>
      <w:r>
        <w:rPr>
          <w:b/>
          <w:bCs/>
        </w:rPr>
        <w:t xml:space="preserve">Gap</w:t>
      </w:r>
      <w:r>
        <w:t xml:space="preserve"> — no ready internal. </w:t>
      </w:r>
      <w:r>
        <w:rPr>
          <w:b/>
          <w:bCs/>
        </w:rPr>
        <w:t xml:space="preserve">Long-term:</w:t>
      </w:r>
      <w:r>
        <w:t xml:space="preserve"> a principal architect, </w:t>
      </w:r>
      <w:r>
        <w:rPr>
          <w:b/>
          <w:bCs/>
        </w:rPr>
        <w:t xml:space="preserve">long-term only.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readiness: Low (red).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Key risks:</w:t>
      </w:r>
      <w:r>
        <w:t xml:space="preserve"> </w:t>
      </w:r>
      <w:r>
        <w:rPr>
          <w:b/>
          <w:bCs/>
        </w:rPr>
        <w:t xml:space="preserve">Flight risk on the platform's architect</w:t>
      </w:r>
      <w:r>
        <w:t xml:space="preserve">; thin bench; ~$26M of modeled EV rides on the cyber-attach platform she owns.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Signal: High (0.84).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Additional comments:</w:t>
      </w:r>
      <w:r>
        <w:t xml:space="preserve"> "Losing Anika in the next two quarters would put the entire cyber-attach workstream — and its EV — at risk. Retention here is not optional."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Actionability: High</w:t>
      </w:r>
      <w:r>
        <w:t xml:space="preserve"> — </w:t>
      </w:r>
      <w:r>
        <w:rPr>
          <w:i/>
          <w:iCs/>
        </w:rPr>
        <w:t xml:space="preserve">Close a market-rate retention + equity package this quarter; backfill a deputy architect to reduce single-threading.</w:t>
      </w:r>
    </w:p>
    <w:p>
      <w:pPr>
        <w:pBdr>
          <w:left w:val="single" w:color="1C7293" w:sz="18" w:space="8"/>
        </w:pBdr>
        <w:shd w:fill="F4F6FB" w:val="clear"/>
        <w:spacing w:after="120" w:before="60"/>
        <w:ind w:left="360"/>
      </w:pPr>
      <w:r>
        <w:rPr>
          <w:b/>
          <w:bCs/>
          <w:i/>
          <w:iCs/>
          <w:color w:val="3B475C"/>
          <w:sz w:val="20"/>
          <w:szCs w:val="20"/>
        </w:rPr>
        <w:t xml:space="preserve">Evidence —</w:t>
      </w:r>
      <w:r>
        <w:rPr>
          <w:i/>
          <w:iCs/>
          <w:color w:val="3B475C"/>
          <w:sz w:val="20"/>
          <w:szCs w:val="20"/>
        </w:rPr>
        <w:t xml:space="preserve"> "She's top-decile and the market knows it. You'll get two years if you pay her like she's irreplaceable." — external CISO advisor, interview notes. // "Cyber attach is at 41% against a 50% target — the one workstream that's ahead." — board deck p.9 §Cybersecurity.</w:t>
      </w:r>
    </w:p>
    <w:p>
      <w:pPr>
        <w:pBdr>
          <w:bottom w:val="single" w:color="D9E0EE" w:sz="6" w:space="1"/>
        </w:pBdr>
        <w:spacing w:after="120"/>
      </w:pPr>
    </w:p>
    <w:p>
      <w:pPr>
        <w:pStyle w:val="Heading2"/>
      </w:pPr>
      <w:r>
        <w:t xml:space="preserve">Brad Halvorsen — CRO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Current state: 3.0 (yellow).</w:t>
      </w:r>
      <w:r>
        <w:t xml:space="preserve"> Baseline 3.5 — </w:t>
      </w:r>
      <w:r>
        <w:rPr>
          <w:b/>
          <w:bCs/>
        </w:rPr>
        <w:t xml:space="preserve">trending down.</w:t>
      </w:r>
      <w:r>
        <w:t xml:space="preserve"> New-logo bookings are okay, but </w:t>
      </w:r>
      <w:r>
        <w:rPr>
          <w:b/>
          <w:bCs/>
        </w:rPr>
        <w:t xml:space="preserve">recurring-revenue conversion and NRR are behind plan</w:t>
      </w:r>
      <w:r>
        <w:t xml:space="preserve"> — the exact motion he was gated on at hire.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Future state: 2.7 (red)</w:t>
      </w:r>
      <w:r>
        <w:t xml:space="preserve"> vs. target 4.2. The heavily-weighted "recurring conversion + NRR" dimension is </w:t>
      </w:r>
      <w:r>
        <w:rPr>
          <w:b/>
          <w:bCs/>
        </w:rPr>
        <w:t xml:space="preserve">Emerging</w:t>
      </w:r>
      <w:r>
        <w:t xml:space="preserve"> against a </w:t>
      </w:r>
      <w:r>
        <w:rPr>
          <w:b/>
          <w:bCs/>
        </w:rPr>
        <w:t xml:space="preserve">Strong</w:t>
      </w:r>
      <w:r>
        <w:t xml:space="preserve"> target. This is the team's largest gap-to-target.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9-box: 3B (Low performance / Medium potential).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Hi-po: No.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 of loss: Medium (yellow).</w:t>
      </w:r>
      <w:r>
        <w:t xml:space="preserve"> Partly performance-driven (he may not survive the plan).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— short-term:</w:t>
      </w:r>
      <w:r>
        <w:t xml:space="preserve"> </w:t>
      </w:r>
      <w:r>
        <w:rPr>
          <w:b/>
          <w:bCs/>
        </w:rPr>
        <w:t xml:space="preserve">None (gap).</w:t>
      </w:r>
      <w:r>
        <w:t xml:space="preserve"> </w:t>
      </w:r>
      <w:r>
        <w:rPr>
          <w:b/>
          <w:bCs/>
        </w:rPr>
        <w:t xml:space="preserve">Long-term:</w:t>
      </w:r>
      <w:r>
        <w:t xml:space="preserve"> external search likely.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readiness: Low (red).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Key risks:</w:t>
      </w:r>
      <w:r>
        <w:t xml:space="preserve"> </w:t>
      </w:r>
      <w:r>
        <w:rPr>
          <w:b/>
          <w:bCs/>
        </w:rPr>
        <w:t xml:space="preserve">Recurring conversion behind plan (~$3.2M ARR shortfall)</w:t>
      </w:r>
      <w:r>
        <w:t xml:space="preserve">; GTM still hero-led, not a repeatable engine; the </w:t>
      </w:r>
      <w:r>
        <w:rPr>
          <w:b/>
          <w:bCs/>
        </w:rPr>
        <w:t xml:space="preserve">public-record discrepancy</w:t>
      </w:r>
      <w:r>
        <w:t xml:space="preserve"> from hire (the "$40M turnaround" he "led" vs. "contributed to") now looks predictive.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Signal: Medium (0.68)</w:t>
      </w:r>
      <w:r>
        <w:t xml:space="preserve"> — clear on the numbers; intent/turnaround potential is the uncertain part.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Additional comments:</w:t>
      </w:r>
      <w:r>
        <w:t xml:space="preserve"> "Brad sells, but he hasn't built the recurring engine the thesis needs. The narrative-vs-delivery gap we flagged at hire has shown up."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Actionability: High</w:t>
      </w:r>
      <w:r>
        <w:t xml:space="preserve"> — </w:t>
      </w:r>
      <w:r>
        <w:rPr>
          <w:i/>
          <w:iCs/>
        </w:rPr>
        <w:t xml:space="preserve">90-day performance plan with explicit recurring-conversion + NRR gates; line up an external CRO search in parallel.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Deviation (public-record discrepancy):</w:t>
      </w:r>
      <w:r>
        <w:t xml:space="preserve"> record claim of leading a turnaround not corroborated; current results consistent with the lighter version.</w:t>
      </w:r>
    </w:p>
    <w:p>
      <w:pPr>
        <w:pBdr>
          <w:left w:val="single" w:color="1C7293" w:sz="18" w:space="8"/>
        </w:pBdr>
        <w:shd w:fill="F4F6FB" w:val="clear"/>
        <w:spacing w:after="120" w:before="60"/>
        <w:ind w:left="360"/>
      </w:pPr>
      <w:r>
        <w:rPr>
          <w:b/>
          <w:bCs/>
          <w:i/>
          <w:iCs/>
          <w:color w:val="3B475C"/>
          <w:sz w:val="20"/>
          <w:szCs w:val="20"/>
        </w:rPr>
        <w:t xml:space="preserve">Evidence —</w:t>
      </w:r>
      <w:r>
        <w:rPr>
          <w:i/>
          <w:iCs/>
          <w:color w:val="3B475C"/>
          <w:sz w:val="20"/>
          <w:szCs w:val="20"/>
        </w:rPr>
        <w:t xml:space="preserve"> "Recurring conversion is the one red workstream — Brad owns it and it's ~$3.2M of ARR behind." — VCP review, p.4 §Workstreams. // "Bookings are fine; it's the </w:t>
      </w:r>
      <w:r>
        <w:rPr>
          <w:i/>
          <w:iCs/>
          <w:color w:val="3B475C"/>
          <w:sz w:val="20"/>
          <w:szCs w:val="20"/>
        </w:rPr>
        <w:t xml:space="preserve">mix</w:t>
      </w:r>
      <w:r>
        <w:rPr>
          <w:i/>
          <w:iCs/>
          <w:color w:val="3B475C"/>
          <w:sz w:val="20"/>
          <w:szCs w:val="20"/>
        </w:rPr>
        <w:t xml:space="preserve"> that's off — we're still selling projects, not managed services." — CEO, board deck p.7 §Revenue.</w:t>
      </w:r>
    </w:p>
    <w:p>
      <w:pPr>
        <w:pBdr>
          <w:bottom w:val="single" w:color="D9E0EE" w:sz="6" w:space="1"/>
        </w:pBdr>
        <w:spacing w:after="120"/>
      </w:pPr>
    </w:p>
    <w:p>
      <w:pPr>
        <w:pStyle w:val="Heading2"/>
      </w:pPr>
      <w:r>
        <w:t xml:space="preserve">Tomás Iglesias — VP Delivery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Current state: 3.5 (yellow).</w:t>
      </w:r>
      <w:r>
        <w:t xml:space="preserve"> Baseline 3.6. ~14 months in seat; running the NOC/SOC and the migration to the offshore pod, which is </w:t>
      </w:r>
      <w:r>
        <w:rPr>
          <w:b/>
          <w:bCs/>
        </w:rPr>
        <w:t xml:space="preserve">in flight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Future state: 3.6 (yellow)</w:t>
      </w:r>
      <w:r>
        <w:t xml:space="preserve"> vs. target 3.9 — on a reasonable path if the migration lands.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9-box: 2B (Medium / Medium).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Hi-po: Not yet assessed</w:t>
      </w:r>
      <w:r>
        <w:t xml:space="preserve"> — too early.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 of loss: Low (green).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— short-term/long-term:</w:t>
      </w:r>
      <w:r>
        <w:t xml:space="preserve"> </w:t>
      </w:r>
      <w:r>
        <w:rPr>
          <w:b/>
          <w:bCs/>
        </w:rPr>
        <w:t xml:space="preserve">Gap</w:t>
      </w:r>
      <w:r>
        <w:t xml:space="preserve"> both ways; the function is one-deep.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readiness: Low (red).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Key risks:</w:t>
      </w:r>
      <w:r>
        <w:t xml:space="preserve"> </w:t>
      </w:r>
      <w:r>
        <w:rPr>
          <w:b/>
          <w:bCs/>
        </w:rPr>
        <w:t xml:space="preserve">Limited assessment evidence</w:t>
      </w:r>
      <w:r>
        <w:t xml:space="preserve"> (low signal); migration execution risk; single-threaded function.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Signal: Low (0.58)</w:t>
      </w:r>
      <w:r>
        <w:t xml:space="preserve"> — only ~14 months of record and limited direct assessor contact; </w:t>
      </w:r>
      <w:r>
        <w:rPr>
          <w:b/>
          <w:bCs/>
        </w:rPr>
        <w:t xml:space="preserve">the lowest-confidence read on the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Additional comments:</w:t>
      </w:r>
      <w:r>
        <w:t xml:space="preserve"> "We don't have enough signal yet. He's tracking fine on the migration; re-assess after Q3-26 once the offshore pod is live."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Actionability: Low</w:t>
      </w:r>
      <w:r>
        <w:t xml:space="preserve"> — </w:t>
      </w:r>
      <w:r>
        <w:rPr>
          <w:i/>
          <w:iCs/>
        </w:rPr>
        <w:t xml:space="preserve">Gather signal next cycle; confirm the migration go-live date; defer the hi-po call.</w:t>
      </w:r>
    </w:p>
    <w:p>
      <w:pPr>
        <w:pBdr>
          <w:left w:val="single" w:color="1C7293" w:sz="18" w:space="8"/>
        </w:pBdr>
        <w:shd w:fill="F4F6FB" w:val="clear"/>
        <w:spacing w:after="120" w:before="60"/>
        <w:ind w:left="360"/>
      </w:pPr>
      <w:r>
        <w:rPr>
          <w:b/>
          <w:bCs/>
          <w:i/>
          <w:iCs/>
          <w:color w:val="3B475C"/>
          <w:sz w:val="20"/>
          <w:szCs w:val="20"/>
        </w:rPr>
        <w:t xml:space="preserve">Evidence —</w:t>
      </w:r>
      <w:r>
        <w:rPr>
          <w:i/>
          <w:iCs/>
          <w:color w:val="3B475C"/>
          <w:sz w:val="20"/>
          <w:szCs w:val="20"/>
        </w:rPr>
        <w:t xml:space="preserve"> "I moved fast on this hire and I'll know a lot more after two quarters." — COO, interview notes. // "Offshore pod is mid-migration; go-live targeted for Q3." — board deck p.8 §Delivery.</w:t>
      </w:r>
    </w:p>
    <w:p>
      <w:pPr>
        <w:pBdr>
          <w:bottom w:val="single" w:color="D9E0EE" w:sz="6" w:space="1"/>
        </w:pBdr>
        <w:spacing w:after="120"/>
      </w:pPr>
    </w:p>
    <w:p>
      <w:pPr>
        <w:pStyle w:val="Heading2"/>
      </w:pPr>
      <w:r>
        <w:t xml:space="preserve">Renee Castellano — VP People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Current state: 4.0 (green).</w:t>
      </w:r>
      <w:r>
        <w:t xml:space="preserve"> Baseline 3.9 — </w:t>
      </w:r>
      <w:r>
        <w:rPr>
          <w:b/>
          <w:bCs/>
        </w:rPr>
        <w:t xml:space="preserve">trending up.</w:t>
      </w:r>
      <w:r>
        <w:t xml:space="preserve"> Brought voluntary attrition down ~5 points org-wide; launched the manager-capability program.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Future state: 3.8 (green)</w:t>
      </w:r>
      <w:r>
        <w:t xml:space="preserve"> vs. target 3.9 — at target.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9-box: 2A (High performance / Medium potential).</w:t>
      </w:r>
      <w:r>
        <w:t xml:space="preserve"> </w:t>
      </w:r>
      <w:r>
        <w:rPr>
          <w:b/>
          <w:bCs/>
        </w:rPr>
        <w:t xml:space="preserve">Hi-po: Yes</w:t>
      </w:r>
      <w:r>
        <w:t xml:space="preserve"> (within the people function).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 of loss: Low (green).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— short-term/long-term:</w:t>
      </w:r>
      <w:r>
        <w:t xml:space="preserve"> HR director, </w:t>
      </w:r>
      <w:r>
        <w:rPr>
          <w:b/>
          <w:bCs/>
        </w:rPr>
        <w:t xml:space="preserve">developing.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readiness: Medium (yellow).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Key risks:</w:t>
      </w:r>
      <w:r>
        <w:t xml:space="preserve"> Delivery/engineering attrition remains the one pocket she hasn't cracked — and it's the margin-critical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Signal: Medium (0.77).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Additional comments:</w:t>
      </w:r>
      <w:r>
        <w:t xml:space="preserve"> "Quietly effective. The manager program could lift the whole org if it reaches delivery in time."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Actionability: Medium</w:t>
      </w:r>
      <w:r>
        <w:t xml:space="preserve"> — </w:t>
      </w:r>
      <w:r>
        <w:rPr>
          <w:i/>
          <w:iCs/>
        </w:rPr>
        <w:t xml:space="preserve">Fund the manager program fully; prioritize delivery/eng retention given CTO flight risk.</w:t>
      </w:r>
    </w:p>
    <w:p>
      <w:pPr>
        <w:pBdr>
          <w:left w:val="single" w:color="1C7293" w:sz="18" w:space="8"/>
        </w:pBdr>
        <w:shd w:fill="F4F6FB" w:val="clear"/>
        <w:spacing w:after="120" w:before="60"/>
        <w:ind w:left="360"/>
      </w:pPr>
      <w:r>
        <w:rPr>
          <w:b/>
          <w:bCs/>
          <w:i/>
          <w:iCs/>
          <w:color w:val="3B475C"/>
          <w:sz w:val="20"/>
          <w:szCs w:val="20"/>
        </w:rPr>
        <w:t xml:space="preserve">Evidence —</w:t>
      </w:r>
      <w:r>
        <w:rPr>
          <w:i/>
          <w:iCs/>
          <w:color w:val="3B475C"/>
          <w:sz w:val="20"/>
          <w:szCs w:val="20"/>
        </w:rPr>
        <w:t xml:space="preserve"> "Renee took voluntary attrition down five points everywhere except delivery." — Assessor, this report §People.</w:t>
      </w:r>
    </w:p>
    <w:p>
      <w:pPr>
        <w:pBdr>
          <w:bottom w:val="single" w:color="D9E0EE" w:sz="6" w:space="1"/>
        </w:pBdr>
        <w:spacing w:after="120"/>
      </w:pPr>
    </w:p>
    <w:p>
      <w:pPr>
        <w:pStyle w:val="Heading2"/>
      </w:pPr>
      <w:r>
        <w:t xml:space="preserve">Team-level synthesis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Strongest:</w:t>
      </w:r>
      <w:r>
        <w:t xml:space="preserve"> COO (4.3) and CTO (4.2) — the operating + platform engines.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Biggest EV exposure:</w:t>
      </w:r>
      <w:r>
        <w:t xml:space="preserve"> </w:t>
      </w:r>
      <w:r>
        <w:rPr>
          <w:b/>
          <w:bCs/>
        </w:rPr>
        <w:t xml:space="preserve">CTO flight risk</w:t>
      </w:r>
      <w:r>
        <w:t xml:space="preserve"> (~$26M of EV on a recruited, single-threaded leader) and </w:t>
      </w:r>
      <w:r>
        <w:rPr>
          <w:b/>
          <w:bCs/>
        </w:rPr>
        <w:t xml:space="preserve">CFO key-person risk</w:t>
      </w:r>
      <w:r>
        <w:t xml:space="preserve"> (lender/integration relationships, no bench).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Biggest performance gap:</w:t>
      </w:r>
      <w:r>
        <w:t xml:space="preserve"> </w:t>
      </w:r>
      <w:r>
        <w:rPr>
          <w:b/>
          <w:bCs/>
        </w:rPr>
        <w:t xml:space="preserve">CRO</w:t>
      </w:r>
      <w:r>
        <w:t xml:space="preserve"> — furthest below target, on the thesis-critical recurring-revenue motion.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Lowest confidence:</w:t>
      </w:r>
      <w:r>
        <w:t xml:space="preserve"> </w:t>
      </w:r>
      <w:r>
        <w:rPr>
          <w:b/>
          <w:bCs/>
        </w:rPr>
        <w:t xml:space="preserve">VP Delivery</w:t>
      </w:r>
      <w:r>
        <w:t xml:space="preserve"> — defer judgments a quarter.</w:t>
      </w:r>
    </w:p>
    <w:sectPr>
      <w:headerReference w:type="default" r:id="rId7"/>
      <w:footerReference w:type="default" r:id="rId8"/>
      <w:pgSz w:w="12240" w:h="15840" w:orient="portrait"/>
      <w:pgMar w:top="160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0EE" w:sz="6" w:space="4"/>
      </w:pBdr>
      <w:tabs>
        <w:tab w:val="right" w:pos="9360"/>
      </w:tabs>
    </w:pPr>
    <w:r>
      <w:rPr>
        <w:rFonts w:ascii="Calibri" w:cs="Calibri" w:eastAsia="Calibri" w:hAnsi="Calibri"/>
        <w:color w:val="7A879C"/>
        <w:sz w:val="15"/>
        <w:szCs w:val="15"/>
      </w:rPr>
      <w:t xml:space="preserve">PC1 · Vantage Managed Services  ·  CONFIDENTIAL</w:t>
    </w:r>
    <w:r>
      <w:rPr>
        <w:rFonts w:ascii="Calibri" w:cs="Calibri" w:eastAsia="Calibri" w:hAnsi="Calibri"/>
        <w:color w:val="7A879C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7293" w:sz="12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E2761"/>
        <w:spacing w:val="30"/>
        <w:sz w:val="20"/>
        <w:szCs w:val="20"/>
      </w:rPr>
      <w:t xml:space="preserve">DAW CAPITAL</w:t>
    </w:r>
    <w:r>
      <w:rPr>
        <w:rFonts w:ascii="Calibri" w:cs="Calibri" w:eastAsia="Calibri" w:hAnsi="Calibri"/>
        <w:color w:val="7A879C"/>
        <w:sz w:val="18"/>
        <w:szCs w:val="18"/>
      </w:rPr>
      <w:t xml:space="preserve">   Portfolio Talent Review</w:t>
    </w:r>
    <w:r>
      <w:rPr>
        <w:rFonts w:ascii="Calibri" w:cs="Calibri" w:eastAsia="Calibri" w:hAnsi="Calibri"/>
        <w:color w:val="7A879C"/>
        <w:sz w:val="16"/>
        <w:szCs w:val="16"/>
      </w:rPr>
      <w:t xml:space="preserve">	Leadership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Georgia" w:cs="Georgia" w:eastAsia="Georgia" w:hAnsi="Georgia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E27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C729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 CAPITAL</dc:creator>
  <cp:lastModifiedBy>Un-named</cp:lastModifiedBy>
  <cp:revision>1</cp:revision>
  <dcterms:created xsi:type="dcterms:W3CDTF">2026-06-13T12:55:58.545Z</dcterms:created>
  <dcterms:modified xsi:type="dcterms:W3CDTF">2026-06-13T12:55:58.545Z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