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0D4" w:rsidRDefault="00B312D5">
      <w:r>
        <w:t xml:space="preserve">Name: Wang </w:t>
      </w:r>
      <w:proofErr w:type="spellStart"/>
      <w:r>
        <w:t>Zihao</w:t>
      </w:r>
      <w:proofErr w:type="spellEnd"/>
    </w:p>
    <w:p w:rsidR="00B312D5" w:rsidRDefault="00B312D5">
      <w:r>
        <w:t>Student number: A0204706M</w:t>
      </w:r>
    </w:p>
    <w:p w:rsidR="00B312D5" w:rsidRDefault="00B312D5">
      <w:r>
        <w:t>Week 3 Studio 1</w:t>
      </w:r>
    </w:p>
    <w:p w:rsidR="00B312D5" w:rsidRDefault="00B312D5">
      <w:r>
        <w:t>Group 4b</w:t>
      </w:r>
    </w:p>
    <w:p w:rsidR="00B312D5" w:rsidRDefault="00B312D5">
      <w:r>
        <w:t>27</w:t>
      </w:r>
      <w:r w:rsidRPr="00B312D5">
        <w:rPr>
          <w:vertAlign w:val="superscript"/>
        </w:rPr>
        <w:t>th</w:t>
      </w:r>
      <w:r>
        <w:t xml:space="preserve"> August 2019</w:t>
      </w:r>
    </w:p>
    <w:p w:rsidR="001136F2" w:rsidRDefault="001136F2"/>
    <w:p w:rsidR="001136F2" w:rsidRDefault="001136F2">
      <w:pPr>
        <w:rPr>
          <w:b/>
          <w:bCs/>
          <w:u w:val="single"/>
        </w:rPr>
      </w:pPr>
      <w:r w:rsidRPr="001136F2">
        <w:rPr>
          <w:b/>
          <w:bCs/>
          <w:u w:val="single"/>
        </w:rPr>
        <w:t>Activity 1: Characterising the I-V characteristics of the Red, Green, and Blue LEDs within an RGB LED Lamp</w:t>
      </w:r>
    </w:p>
    <w:p w:rsidR="00D8008C" w:rsidRDefault="00D8008C">
      <w:pPr>
        <w:rPr>
          <w:b/>
          <w:bCs/>
          <w:u w:val="single"/>
        </w:rPr>
      </w:pPr>
    </w:p>
    <w:p w:rsidR="00D8008C" w:rsidRDefault="00165739">
      <w:pPr>
        <w:rPr>
          <w:sz w:val="16"/>
          <w:szCs w:val="16"/>
        </w:rPr>
      </w:pPr>
      <w:r>
        <w:t>I</w:t>
      </w:r>
      <w:r>
        <w:rPr>
          <w:sz w:val="16"/>
          <w:szCs w:val="16"/>
        </w:rPr>
        <w:t>R</w:t>
      </w:r>
      <w:r>
        <w:t>=(5-V</w:t>
      </w:r>
      <w:r>
        <w:rPr>
          <w:sz w:val="16"/>
          <w:szCs w:val="16"/>
        </w:rPr>
        <w:t>R</w:t>
      </w:r>
      <w:r>
        <w:t>)/R</w:t>
      </w:r>
      <w:r>
        <w:rPr>
          <w:sz w:val="16"/>
          <w:szCs w:val="16"/>
        </w:rPr>
        <w:t>R</w:t>
      </w:r>
    </w:p>
    <w:p w:rsidR="00165739" w:rsidRDefault="00165739" w:rsidP="00165739">
      <w:r>
        <w:t>I</w:t>
      </w:r>
      <w:r>
        <w:rPr>
          <w:sz w:val="16"/>
          <w:szCs w:val="16"/>
        </w:rPr>
        <w:t>G</w:t>
      </w:r>
      <w:r>
        <w:t>=(5-V</w:t>
      </w:r>
      <w:r>
        <w:rPr>
          <w:sz w:val="16"/>
          <w:szCs w:val="16"/>
        </w:rPr>
        <w:t>G</w:t>
      </w:r>
      <w:r>
        <w:t>)/R</w:t>
      </w:r>
      <w:r>
        <w:rPr>
          <w:sz w:val="16"/>
          <w:szCs w:val="16"/>
        </w:rPr>
        <w:t>G</w:t>
      </w:r>
    </w:p>
    <w:p w:rsidR="00165739" w:rsidRDefault="00165739" w:rsidP="00165739">
      <w:r>
        <w:t>I</w:t>
      </w:r>
      <w:r>
        <w:rPr>
          <w:sz w:val="16"/>
          <w:szCs w:val="16"/>
        </w:rPr>
        <w:t>B</w:t>
      </w:r>
      <w:r>
        <w:t>=(5-V</w:t>
      </w:r>
      <w:r>
        <w:rPr>
          <w:sz w:val="16"/>
          <w:szCs w:val="16"/>
        </w:rPr>
        <w:t>B</w:t>
      </w:r>
      <w:r>
        <w:t>)/R</w:t>
      </w:r>
      <w:r>
        <w:rPr>
          <w:sz w:val="16"/>
          <w:szCs w:val="16"/>
        </w:rPr>
        <w:t>B</w:t>
      </w:r>
    </w:p>
    <w:p w:rsidR="00165739" w:rsidRDefault="00165739"/>
    <w:p w:rsidR="005742AB" w:rsidRDefault="005742AB">
      <w:r>
        <w:t>Actual Voltage: 5.</w:t>
      </w:r>
      <w:r w:rsidR="00277B1F">
        <w:t>00V</w:t>
      </w:r>
    </w:p>
    <w:tbl>
      <w:tblPr>
        <w:tblW w:w="10460" w:type="dxa"/>
        <w:tblInd w:w="-726" w:type="dxa"/>
        <w:tblLook w:val="04A0" w:firstRow="1" w:lastRow="0" w:firstColumn="1" w:lastColumn="0" w:noHBand="0" w:noVBand="1"/>
      </w:tblPr>
      <w:tblGrid>
        <w:gridCol w:w="1060"/>
        <w:gridCol w:w="2700"/>
        <w:gridCol w:w="1507"/>
        <w:gridCol w:w="1245"/>
        <w:gridCol w:w="1245"/>
        <w:gridCol w:w="1245"/>
        <w:gridCol w:w="1458"/>
      </w:tblGrid>
      <w:tr w:rsidR="00277B1F" w:rsidRPr="00277B1F" w:rsidTr="00277B1F">
        <w:trPr>
          <w:trHeight w:val="300"/>
        </w:trPr>
        <w:tc>
          <w:tcPr>
            <w:tcW w:w="1060" w:type="dxa"/>
            <w:tcBorders>
              <w:top w:val="single" w:sz="4" w:space="0" w:color="auto"/>
              <w:left w:val="single" w:sz="4" w:space="0" w:color="auto"/>
              <w:bottom w:val="nil"/>
              <w:right w:val="nil"/>
            </w:tcBorders>
            <w:shd w:val="clear" w:color="auto" w:fill="auto"/>
            <w:noWrap/>
            <w:vAlign w:val="bottom"/>
            <w:hideMark/>
          </w:tcPr>
          <w:p w:rsidR="00277B1F" w:rsidRPr="00277B1F" w:rsidRDefault="00277B1F" w:rsidP="00277B1F">
            <w:pPr>
              <w:rPr>
                <w:rFonts w:ascii="Calibri" w:eastAsia="Times New Roman" w:hAnsi="Calibri" w:cs="Calibri"/>
                <w:color w:val="000000"/>
                <w:sz w:val="22"/>
                <w:szCs w:val="22"/>
              </w:rPr>
            </w:pPr>
            <w:r w:rsidRPr="00277B1F">
              <w:rPr>
                <w:rFonts w:ascii="Calibri" w:eastAsia="Times New Roman" w:hAnsi="Calibri" w:cs="Calibri"/>
                <w:color w:val="000000"/>
                <w:sz w:val="22"/>
                <w:szCs w:val="22"/>
              </w:rPr>
              <w:t> </w:t>
            </w:r>
          </w:p>
        </w:tc>
        <w:tc>
          <w:tcPr>
            <w:tcW w:w="2700" w:type="dxa"/>
            <w:tcBorders>
              <w:top w:val="single" w:sz="4" w:space="0" w:color="auto"/>
              <w:left w:val="nil"/>
              <w:bottom w:val="nil"/>
              <w:right w:val="nil"/>
            </w:tcBorders>
            <w:shd w:val="clear" w:color="auto" w:fill="auto"/>
            <w:noWrap/>
            <w:vAlign w:val="bottom"/>
            <w:hideMark/>
          </w:tcPr>
          <w:p w:rsidR="00277B1F" w:rsidRPr="00277B1F" w:rsidRDefault="00277B1F" w:rsidP="00277B1F">
            <w:pPr>
              <w:rPr>
                <w:rFonts w:ascii="Calibri" w:eastAsia="Times New Roman" w:hAnsi="Calibri" w:cs="Calibri"/>
                <w:color w:val="000000"/>
                <w:sz w:val="22"/>
                <w:szCs w:val="22"/>
              </w:rPr>
            </w:pPr>
            <w:r w:rsidRPr="00277B1F">
              <w:rPr>
                <w:rFonts w:ascii="Calibri" w:eastAsia="Times New Roman" w:hAnsi="Calibri" w:cs="Calibri"/>
                <w:color w:val="000000"/>
                <w:sz w:val="22"/>
                <w:szCs w:val="22"/>
              </w:rPr>
              <w:t> </w:t>
            </w:r>
          </w:p>
        </w:tc>
        <w:tc>
          <w:tcPr>
            <w:tcW w:w="6700" w:type="dxa"/>
            <w:gridSpan w:val="5"/>
            <w:tcBorders>
              <w:top w:val="single" w:sz="4" w:space="0" w:color="auto"/>
              <w:left w:val="single" w:sz="4" w:space="0" w:color="3F3F3F"/>
              <w:bottom w:val="single" w:sz="4" w:space="0" w:color="3F3F3F"/>
              <w:right w:val="single" w:sz="4" w:space="0" w:color="000000"/>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 xml:space="preserve">Resistance Values for RR, RB, and RG </w:t>
            </w:r>
          </w:p>
        </w:tc>
      </w:tr>
      <w:tr w:rsidR="00277B1F" w:rsidRPr="00277B1F" w:rsidTr="00277B1F">
        <w:trPr>
          <w:trHeight w:val="300"/>
        </w:trPr>
        <w:tc>
          <w:tcPr>
            <w:tcW w:w="3760" w:type="dxa"/>
            <w:gridSpan w:val="2"/>
            <w:tcBorders>
              <w:top w:val="single" w:sz="4" w:space="0" w:color="3F3F3F"/>
              <w:left w:val="single" w:sz="4" w:space="0" w:color="auto"/>
              <w:bottom w:val="single" w:sz="4" w:space="0" w:color="3F3F3F"/>
              <w:right w:val="single" w:sz="4" w:space="0" w:color="3F3F3F"/>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Nominal resistance →</w:t>
            </w:r>
          </w:p>
        </w:tc>
        <w:tc>
          <w:tcPr>
            <w:tcW w:w="1507" w:type="dxa"/>
            <w:tcBorders>
              <w:top w:val="nil"/>
              <w:left w:val="nil"/>
              <w:bottom w:val="single" w:sz="4" w:space="0" w:color="3F3F3F"/>
              <w:right w:val="single" w:sz="4" w:space="0" w:color="3F3F3F"/>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 xml:space="preserve">150 Ω </w:t>
            </w:r>
          </w:p>
        </w:tc>
        <w:tc>
          <w:tcPr>
            <w:tcW w:w="1245" w:type="dxa"/>
            <w:tcBorders>
              <w:top w:val="nil"/>
              <w:left w:val="nil"/>
              <w:bottom w:val="single" w:sz="4" w:space="0" w:color="3F3F3F"/>
              <w:right w:val="single" w:sz="4" w:space="0" w:color="3F3F3F"/>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 xml:space="preserve">330Ω </w:t>
            </w:r>
          </w:p>
        </w:tc>
        <w:tc>
          <w:tcPr>
            <w:tcW w:w="1245" w:type="dxa"/>
            <w:tcBorders>
              <w:top w:val="nil"/>
              <w:left w:val="nil"/>
              <w:bottom w:val="single" w:sz="4" w:space="0" w:color="3F3F3F"/>
              <w:right w:val="single" w:sz="4" w:space="0" w:color="3F3F3F"/>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 xml:space="preserve">560Ω </w:t>
            </w:r>
          </w:p>
        </w:tc>
        <w:tc>
          <w:tcPr>
            <w:tcW w:w="1245" w:type="dxa"/>
            <w:tcBorders>
              <w:top w:val="nil"/>
              <w:left w:val="nil"/>
              <w:bottom w:val="single" w:sz="4" w:space="0" w:color="3F3F3F"/>
              <w:right w:val="single" w:sz="4" w:space="0" w:color="3F3F3F"/>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 xml:space="preserve">820Ω </w:t>
            </w:r>
          </w:p>
        </w:tc>
        <w:tc>
          <w:tcPr>
            <w:tcW w:w="1458" w:type="dxa"/>
            <w:tcBorders>
              <w:top w:val="nil"/>
              <w:left w:val="nil"/>
              <w:bottom w:val="single" w:sz="4" w:space="0" w:color="3F3F3F"/>
              <w:right w:val="single" w:sz="4" w:space="0" w:color="auto"/>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 xml:space="preserve">1500Ω </w:t>
            </w:r>
          </w:p>
        </w:tc>
      </w:tr>
      <w:tr w:rsidR="00277B1F" w:rsidRPr="00277B1F" w:rsidTr="00277B1F">
        <w:trPr>
          <w:trHeight w:val="300"/>
        </w:trPr>
        <w:tc>
          <w:tcPr>
            <w:tcW w:w="3760" w:type="dxa"/>
            <w:gridSpan w:val="2"/>
            <w:tcBorders>
              <w:top w:val="single" w:sz="4" w:space="0" w:color="3F3F3F"/>
              <w:left w:val="single" w:sz="4" w:space="0" w:color="auto"/>
              <w:bottom w:val="nil"/>
              <w:right w:val="single" w:sz="4" w:space="0" w:color="3F3F3F"/>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 xml:space="preserve">Measured resistance → </w:t>
            </w:r>
          </w:p>
        </w:tc>
        <w:tc>
          <w:tcPr>
            <w:tcW w:w="1507" w:type="dxa"/>
            <w:tcBorders>
              <w:top w:val="nil"/>
              <w:left w:val="nil"/>
              <w:bottom w:val="nil"/>
              <w:right w:val="single" w:sz="4" w:space="0" w:color="3F3F3F"/>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148.9</w:t>
            </w:r>
          </w:p>
        </w:tc>
        <w:tc>
          <w:tcPr>
            <w:tcW w:w="1245" w:type="dxa"/>
            <w:tcBorders>
              <w:top w:val="nil"/>
              <w:left w:val="nil"/>
              <w:bottom w:val="nil"/>
              <w:right w:val="single" w:sz="4" w:space="0" w:color="3F3F3F"/>
            </w:tcBorders>
            <w:shd w:val="clear" w:color="000000" w:fill="F2F2F2"/>
            <w:noWrap/>
            <w:vAlign w:val="bottom"/>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326.3</w:t>
            </w:r>
          </w:p>
        </w:tc>
        <w:tc>
          <w:tcPr>
            <w:tcW w:w="1245" w:type="dxa"/>
            <w:tcBorders>
              <w:top w:val="nil"/>
              <w:left w:val="nil"/>
              <w:bottom w:val="nil"/>
              <w:right w:val="single" w:sz="4" w:space="0" w:color="3F3F3F"/>
            </w:tcBorders>
            <w:shd w:val="clear" w:color="000000" w:fill="F2F2F2"/>
            <w:noWrap/>
            <w:vAlign w:val="center"/>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550.5</w:t>
            </w:r>
          </w:p>
        </w:tc>
        <w:tc>
          <w:tcPr>
            <w:tcW w:w="1245" w:type="dxa"/>
            <w:tcBorders>
              <w:top w:val="nil"/>
              <w:left w:val="nil"/>
              <w:bottom w:val="nil"/>
              <w:right w:val="single" w:sz="4" w:space="0" w:color="3F3F3F"/>
            </w:tcBorders>
            <w:shd w:val="clear" w:color="000000" w:fill="F2F2F2"/>
            <w:noWrap/>
            <w:vAlign w:val="center"/>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798.9</w:t>
            </w:r>
          </w:p>
        </w:tc>
        <w:tc>
          <w:tcPr>
            <w:tcW w:w="1458" w:type="dxa"/>
            <w:tcBorders>
              <w:top w:val="nil"/>
              <w:left w:val="nil"/>
              <w:bottom w:val="nil"/>
              <w:right w:val="single" w:sz="4" w:space="0" w:color="auto"/>
            </w:tcBorders>
            <w:shd w:val="clear" w:color="000000" w:fill="F2F2F2"/>
            <w:noWrap/>
            <w:vAlign w:val="center"/>
            <w:hideMark/>
          </w:tcPr>
          <w:p w:rsidR="00277B1F" w:rsidRPr="00277B1F" w:rsidRDefault="00277B1F" w:rsidP="00277B1F">
            <w:pPr>
              <w:jc w:val="center"/>
              <w:rPr>
                <w:rFonts w:ascii="Calibri" w:eastAsia="Times New Roman" w:hAnsi="Calibri" w:cs="Calibri"/>
                <w:color w:val="3F3F3F"/>
                <w:sz w:val="22"/>
                <w:szCs w:val="22"/>
              </w:rPr>
            </w:pPr>
            <w:r w:rsidRPr="00277B1F">
              <w:rPr>
                <w:rFonts w:ascii="Calibri" w:eastAsia="Times New Roman" w:hAnsi="Calibri" w:cs="Calibri"/>
                <w:color w:val="3F3F3F"/>
                <w:sz w:val="22"/>
                <w:szCs w:val="22"/>
              </w:rPr>
              <w:t>1467</w:t>
            </w:r>
          </w:p>
        </w:tc>
      </w:tr>
      <w:tr w:rsidR="00277B1F" w:rsidRPr="00277B1F" w:rsidTr="00277B1F">
        <w:trPr>
          <w:trHeight w:val="640"/>
        </w:trPr>
        <w:tc>
          <w:tcPr>
            <w:tcW w:w="1060" w:type="dxa"/>
            <w:vMerge w:val="restart"/>
            <w:tcBorders>
              <w:top w:val="single" w:sz="4" w:space="0" w:color="auto"/>
              <w:left w:val="single" w:sz="4" w:space="0" w:color="auto"/>
              <w:bottom w:val="single" w:sz="4" w:space="0" w:color="auto"/>
              <w:right w:val="single" w:sz="4" w:space="0" w:color="auto"/>
            </w:tcBorders>
            <w:shd w:val="clear" w:color="000000" w:fill="FFC7CE"/>
            <w:vAlign w:val="center"/>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 xml:space="preserve">Red </w:t>
            </w:r>
            <w:r w:rsidRPr="00277B1F">
              <w:rPr>
                <w:rFonts w:ascii="Calibri" w:eastAsia="Times New Roman" w:hAnsi="Calibri" w:cs="Calibri"/>
                <w:color w:val="000000"/>
                <w:sz w:val="22"/>
                <w:szCs w:val="22"/>
              </w:rPr>
              <w:br/>
              <w:t>LED</w:t>
            </w:r>
          </w:p>
        </w:tc>
        <w:tc>
          <w:tcPr>
            <w:tcW w:w="2700" w:type="dxa"/>
            <w:tcBorders>
              <w:top w:val="single" w:sz="4" w:space="0" w:color="auto"/>
              <w:left w:val="nil"/>
              <w:bottom w:val="single" w:sz="4" w:space="0" w:color="auto"/>
              <w:right w:val="single" w:sz="4" w:space="0" w:color="auto"/>
            </w:tcBorders>
            <w:shd w:val="clear" w:color="000000" w:fill="FFC7CE"/>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 xml:space="preserve">Measured </w:t>
            </w:r>
            <w:r w:rsidRPr="00277B1F">
              <w:rPr>
                <w:rFonts w:ascii="Calibri" w:eastAsia="Times New Roman" w:hAnsi="Calibri" w:cs="Calibri"/>
                <w:color w:val="000000"/>
                <w:sz w:val="22"/>
                <w:szCs w:val="22"/>
              </w:rPr>
              <w:br/>
              <w:t>voltage VR  (V)</w:t>
            </w:r>
          </w:p>
        </w:tc>
        <w:tc>
          <w:tcPr>
            <w:tcW w:w="1507" w:type="dxa"/>
            <w:tcBorders>
              <w:top w:val="single" w:sz="4" w:space="0" w:color="auto"/>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2.002</w:t>
            </w:r>
          </w:p>
        </w:tc>
        <w:tc>
          <w:tcPr>
            <w:tcW w:w="1245" w:type="dxa"/>
            <w:tcBorders>
              <w:top w:val="single" w:sz="4" w:space="0" w:color="auto"/>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1.917</w:t>
            </w:r>
          </w:p>
        </w:tc>
        <w:tc>
          <w:tcPr>
            <w:tcW w:w="1245" w:type="dxa"/>
            <w:tcBorders>
              <w:top w:val="single" w:sz="4" w:space="0" w:color="auto"/>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1.869</w:t>
            </w:r>
          </w:p>
        </w:tc>
        <w:tc>
          <w:tcPr>
            <w:tcW w:w="1245" w:type="dxa"/>
            <w:tcBorders>
              <w:top w:val="single" w:sz="4" w:space="0" w:color="auto"/>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1.839</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1.796</w:t>
            </w:r>
          </w:p>
        </w:tc>
      </w:tr>
      <w:tr w:rsidR="00277B1F" w:rsidRPr="00277B1F" w:rsidTr="00277B1F">
        <w:trPr>
          <w:trHeight w:val="640"/>
        </w:trPr>
        <w:tc>
          <w:tcPr>
            <w:tcW w:w="1060" w:type="dxa"/>
            <w:vMerge/>
            <w:tcBorders>
              <w:top w:val="single" w:sz="4" w:space="0" w:color="auto"/>
              <w:left w:val="single" w:sz="4" w:space="0" w:color="auto"/>
              <w:bottom w:val="single" w:sz="4" w:space="0" w:color="auto"/>
              <w:right w:val="single" w:sz="4" w:space="0" w:color="auto"/>
            </w:tcBorders>
            <w:vAlign w:val="center"/>
            <w:hideMark/>
          </w:tcPr>
          <w:p w:rsidR="00277B1F" w:rsidRPr="00277B1F" w:rsidRDefault="00277B1F" w:rsidP="00277B1F">
            <w:pPr>
              <w:rPr>
                <w:rFonts w:ascii="Calibri" w:eastAsia="Times New Roman" w:hAnsi="Calibri" w:cs="Calibri"/>
                <w:color w:val="000000"/>
                <w:sz w:val="22"/>
                <w:szCs w:val="22"/>
              </w:rPr>
            </w:pPr>
          </w:p>
        </w:tc>
        <w:tc>
          <w:tcPr>
            <w:tcW w:w="2700" w:type="dxa"/>
            <w:tcBorders>
              <w:top w:val="nil"/>
              <w:left w:val="nil"/>
              <w:bottom w:val="single" w:sz="4" w:space="0" w:color="auto"/>
              <w:right w:val="single" w:sz="4" w:space="0" w:color="auto"/>
            </w:tcBorders>
            <w:shd w:val="clear" w:color="000000" w:fill="FFC7CE"/>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 xml:space="preserve">Calculated </w:t>
            </w:r>
            <w:r w:rsidRPr="00277B1F">
              <w:rPr>
                <w:rFonts w:ascii="Calibri" w:eastAsia="Times New Roman" w:hAnsi="Calibri" w:cs="Calibri"/>
                <w:color w:val="000000"/>
                <w:sz w:val="22"/>
                <w:szCs w:val="22"/>
              </w:rPr>
              <w:br/>
              <w:t>Current IR (mA)</w:t>
            </w:r>
          </w:p>
        </w:tc>
        <w:tc>
          <w:tcPr>
            <w:tcW w:w="1507"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20.134</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9.448</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5.688</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3.957</w:t>
            </w:r>
          </w:p>
        </w:tc>
        <w:tc>
          <w:tcPr>
            <w:tcW w:w="1458"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2.184</w:t>
            </w:r>
          </w:p>
        </w:tc>
      </w:tr>
      <w:tr w:rsidR="00277B1F" w:rsidRPr="00277B1F" w:rsidTr="00277B1F">
        <w:trPr>
          <w:trHeight w:val="640"/>
        </w:trPr>
        <w:tc>
          <w:tcPr>
            <w:tcW w:w="1060" w:type="dxa"/>
            <w:vMerge w:val="restart"/>
            <w:tcBorders>
              <w:top w:val="nil"/>
              <w:left w:val="single" w:sz="4" w:space="0" w:color="auto"/>
              <w:bottom w:val="single" w:sz="4" w:space="0" w:color="auto"/>
              <w:right w:val="single" w:sz="4" w:space="0" w:color="auto"/>
            </w:tcBorders>
            <w:shd w:val="clear" w:color="000000" w:fill="C6EFCE"/>
            <w:vAlign w:val="center"/>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 xml:space="preserve">Green </w:t>
            </w:r>
            <w:r w:rsidRPr="00277B1F">
              <w:rPr>
                <w:rFonts w:ascii="Calibri" w:eastAsia="Times New Roman" w:hAnsi="Calibri" w:cs="Calibri"/>
                <w:color w:val="000000"/>
                <w:sz w:val="22"/>
                <w:szCs w:val="22"/>
              </w:rPr>
              <w:br/>
              <w:t>LED</w:t>
            </w:r>
          </w:p>
        </w:tc>
        <w:tc>
          <w:tcPr>
            <w:tcW w:w="2700" w:type="dxa"/>
            <w:tcBorders>
              <w:top w:val="nil"/>
              <w:left w:val="nil"/>
              <w:bottom w:val="single" w:sz="4" w:space="0" w:color="auto"/>
              <w:right w:val="single" w:sz="4" w:space="0" w:color="auto"/>
            </w:tcBorders>
            <w:shd w:val="clear" w:color="000000" w:fill="C6EFCE"/>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 xml:space="preserve">Measured </w:t>
            </w:r>
            <w:r w:rsidRPr="00277B1F">
              <w:rPr>
                <w:rFonts w:ascii="Calibri" w:eastAsia="Times New Roman" w:hAnsi="Calibri" w:cs="Calibri"/>
                <w:color w:val="000000"/>
                <w:sz w:val="22"/>
                <w:szCs w:val="22"/>
              </w:rPr>
              <w:br/>
              <w:t>voltage VG  (V)</w:t>
            </w:r>
          </w:p>
        </w:tc>
        <w:tc>
          <w:tcPr>
            <w:tcW w:w="1507"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3.108</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2.904</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2.778</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2.694</w:t>
            </w:r>
          </w:p>
        </w:tc>
        <w:tc>
          <w:tcPr>
            <w:tcW w:w="1458"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2.572</w:t>
            </w:r>
          </w:p>
        </w:tc>
      </w:tr>
      <w:tr w:rsidR="00277B1F" w:rsidRPr="00277B1F" w:rsidTr="00277B1F">
        <w:trPr>
          <w:trHeight w:val="640"/>
        </w:trPr>
        <w:tc>
          <w:tcPr>
            <w:tcW w:w="1060" w:type="dxa"/>
            <w:vMerge/>
            <w:tcBorders>
              <w:top w:val="nil"/>
              <w:left w:val="single" w:sz="4" w:space="0" w:color="auto"/>
              <w:bottom w:val="single" w:sz="4" w:space="0" w:color="auto"/>
              <w:right w:val="single" w:sz="4" w:space="0" w:color="auto"/>
            </w:tcBorders>
            <w:vAlign w:val="center"/>
            <w:hideMark/>
          </w:tcPr>
          <w:p w:rsidR="00277B1F" w:rsidRPr="00277B1F" w:rsidRDefault="00277B1F" w:rsidP="00277B1F">
            <w:pPr>
              <w:rPr>
                <w:rFonts w:ascii="Calibri" w:eastAsia="Times New Roman" w:hAnsi="Calibri" w:cs="Calibri"/>
                <w:color w:val="000000"/>
                <w:sz w:val="22"/>
                <w:szCs w:val="22"/>
              </w:rPr>
            </w:pPr>
          </w:p>
        </w:tc>
        <w:tc>
          <w:tcPr>
            <w:tcW w:w="2700" w:type="dxa"/>
            <w:tcBorders>
              <w:top w:val="nil"/>
              <w:left w:val="nil"/>
              <w:bottom w:val="single" w:sz="4" w:space="0" w:color="auto"/>
              <w:right w:val="single" w:sz="4" w:space="0" w:color="auto"/>
            </w:tcBorders>
            <w:shd w:val="clear" w:color="000000" w:fill="C6EFCE"/>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 xml:space="preserve">Calculated </w:t>
            </w:r>
            <w:r w:rsidRPr="00277B1F">
              <w:rPr>
                <w:rFonts w:ascii="Calibri" w:eastAsia="Times New Roman" w:hAnsi="Calibri" w:cs="Calibri"/>
                <w:color w:val="000000"/>
                <w:sz w:val="22"/>
                <w:szCs w:val="22"/>
              </w:rPr>
              <w:br/>
              <w:t>Current IG (mA)</w:t>
            </w:r>
          </w:p>
        </w:tc>
        <w:tc>
          <w:tcPr>
            <w:tcW w:w="1507"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12.707</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6.424</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4.036</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2.886</w:t>
            </w:r>
          </w:p>
        </w:tc>
        <w:tc>
          <w:tcPr>
            <w:tcW w:w="1458"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1.655</w:t>
            </w:r>
          </w:p>
        </w:tc>
      </w:tr>
      <w:tr w:rsidR="00277B1F" w:rsidRPr="00277B1F" w:rsidTr="00277B1F">
        <w:trPr>
          <w:trHeight w:val="680"/>
        </w:trPr>
        <w:tc>
          <w:tcPr>
            <w:tcW w:w="1060" w:type="dxa"/>
            <w:vMerge w:val="restart"/>
            <w:tcBorders>
              <w:top w:val="nil"/>
              <w:left w:val="single" w:sz="4" w:space="0" w:color="auto"/>
              <w:bottom w:val="single" w:sz="4" w:space="0" w:color="auto"/>
              <w:right w:val="single" w:sz="4" w:space="0" w:color="auto"/>
            </w:tcBorders>
            <w:shd w:val="clear" w:color="000000" w:fill="DDEBF7"/>
            <w:vAlign w:val="center"/>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 xml:space="preserve">Blue </w:t>
            </w:r>
            <w:r w:rsidRPr="00277B1F">
              <w:rPr>
                <w:rFonts w:ascii="Calibri" w:eastAsia="Times New Roman" w:hAnsi="Calibri" w:cs="Calibri"/>
                <w:color w:val="000000"/>
                <w:sz w:val="22"/>
                <w:szCs w:val="22"/>
              </w:rPr>
              <w:br/>
              <w:t>LED</w:t>
            </w:r>
          </w:p>
        </w:tc>
        <w:tc>
          <w:tcPr>
            <w:tcW w:w="2700" w:type="dxa"/>
            <w:tcBorders>
              <w:top w:val="nil"/>
              <w:left w:val="nil"/>
              <w:bottom w:val="single" w:sz="4" w:space="0" w:color="auto"/>
              <w:right w:val="single" w:sz="4" w:space="0" w:color="auto"/>
            </w:tcBorders>
            <w:shd w:val="clear" w:color="000000" w:fill="DDEBF7"/>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 xml:space="preserve">Measured </w:t>
            </w:r>
            <w:r w:rsidRPr="00277B1F">
              <w:rPr>
                <w:rFonts w:ascii="Calibri" w:eastAsia="Times New Roman" w:hAnsi="Calibri" w:cs="Calibri"/>
                <w:color w:val="000000"/>
                <w:sz w:val="22"/>
                <w:szCs w:val="22"/>
              </w:rPr>
              <w:br/>
              <w:t>voltage V</w:t>
            </w:r>
            <w:r w:rsidRPr="00277B1F">
              <w:rPr>
                <w:rFonts w:ascii="Calibri" w:eastAsia="Times New Roman" w:hAnsi="Calibri" w:cs="Calibri"/>
                <w:color w:val="000000"/>
                <w:sz w:val="22"/>
                <w:szCs w:val="22"/>
                <w:vertAlign w:val="subscript"/>
              </w:rPr>
              <w:t>B</w:t>
            </w:r>
            <w:r w:rsidRPr="00277B1F">
              <w:rPr>
                <w:rFonts w:ascii="Calibri" w:eastAsia="Times New Roman" w:hAnsi="Calibri" w:cs="Calibri"/>
                <w:color w:val="000000"/>
                <w:sz w:val="22"/>
                <w:szCs w:val="22"/>
              </w:rPr>
              <w:t xml:space="preserve">  (V)</w:t>
            </w:r>
          </w:p>
        </w:tc>
        <w:tc>
          <w:tcPr>
            <w:tcW w:w="1507"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3.115</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2.952</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2.865</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2.813</w:t>
            </w:r>
          </w:p>
        </w:tc>
        <w:tc>
          <w:tcPr>
            <w:tcW w:w="1458"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2.74</w:t>
            </w:r>
          </w:p>
        </w:tc>
      </w:tr>
      <w:tr w:rsidR="00277B1F" w:rsidRPr="00277B1F" w:rsidTr="00277B1F">
        <w:trPr>
          <w:trHeight w:val="680"/>
        </w:trPr>
        <w:tc>
          <w:tcPr>
            <w:tcW w:w="1060" w:type="dxa"/>
            <w:vMerge/>
            <w:tcBorders>
              <w:top w:val="nil"/>
              <w:left w:val="single" w:sz="4" w:space="0" w:color="auto"/>
              <w:bottom w:val="single" w:sz="4" w:space="0" w:color="auto"/>
              <w:right w:val="single" w:sz="4" w:space="0" w:color="auto"/>
            </w:tcBorders>
            <w:vAlign w:val="center"/>
            <w:hideMark/>
          </w:tcPr>
          <w:p w:rsidR="00277B1F" w:rsidRPr="00277B1F" w:rsidRDefault="00277B1F" w:rsidP="00277B1F">
            <w:pPr>
              <w:rPr>
                <w:rFonts w:ascii="Calibri" w:eastAsia="Times New Roman" w:hAnsi="Calibri" w:cs="Calibri"/>
                <w:color w:val="000000"/>
                <w:sz w:val="22"/>
                <w:szCs w:val="22"/>
              </w:rPr>
            </w:pPr>
          </w:p>
        </w:tc>
        <w:tc>
          <w:tcPr>
            <w:tcW w:w="2700" w:type="dxa"/>
            <w:tcBorders>
              <w:top w:val="nil"/>
              <w:left w:val="nil"/>
              <w:bottom w:val="single" w:sz="4" w:space="0" w:color="auto"/>
              <w:right w:val="single" w:sz="4" w:space="0" w:color="auto"/>
            </w:tcBorders>
            <w:shd w:val="clear" w:color="000000" w:fill="DDEBF7"/>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 xml:space="preserve">Calculated </w:t>
            </w:r>
            <w:r w:rsidRPr="00277B1F">
              <w:rPr>
                <w:rFonts w:ascii="Calibri" w:eastAsia="Times New Roman" w:hAnsi="Calibri" w:cs="Calibri"/>
                <w:color w:val="000000"/>
                <w:sz w:val="22"/>
                <w:szCs w:val="22"/>
              </w:rPr>
              <w:br/>
              <w:t>Current I</w:t>
            </w:r>
            <w:r w:rsidRPr="00277B1F">
              <w:rPr>
                <w:rFonts w:ascii="Calibri" w:eastAsia="Times New Roman" w:hAnsi="Calibri" w:cs="Calibri"/>
                <w:color w:val="000000"/>
                <w:sz w:val="22"/>
                <w:szCs w:val="22"/>
                <w:vertAlign w:val="subscript"/>
              </w:rPr>
              <w:t>B</w:t>
            </w:r>
            <w:r w:rsidRPr="00277B1F">
              <w:rPr>
                <w:rFonts w:ascii="Calibri" w:eastAsia="Times New Roman" w:hAnsi="Calibri" w:cs="Calibri"/>
                <w:color w:val="000000"/>
                <w:sz w:val="22"/>
                <w:szCs w:val="22"/>
              </w:rPr>
              <w:t xml:space="preserve"> (mA)</w:t>
            </w:r>
          </w:p>
        </w:tc>
        <w:tc>
          <w:tcPr>
            <w:tcW w:w="1507"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12.660</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6.276</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3.878</w:t>
            </w:r>
          </w:p>
        </w:tc>
        <w:tc>
          <w:tcPr>
            <w:tcW w:w="1245"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2.738</w:t>
            </w:r>
          </w:p>
        </w:tc>
        <w:tc>
          <w:tcPr>
            <w:tcW w:w="1458" w:type="dxa"/>
            <w:tcBorders>
              <w:top w:val="nil"/>
              <w:left w:val="nil"/>
              <w:bottom w:val="single" w:sz="4" w:space="0" w:color="auto"/>
              <w:right w:val="single" w:sz="4" w:space="0" w:color="auto"/>
            </w:tcBorders>
            <w:shd w:val="clear" w:color="auto" w:fill="auto"/>
            <w:noWrap/>
            <w:vAlign w:val="bottom"/>
            <w:hideMark/>
          </w:tcPr>
          <w:p w:rsidR="00277B1F" w:rsidRPr="00277B1F" w:rsidRDefault="00277B1F" w:rsidP="00277B1F">
            <w:pPr>
              <w:jc w:val="center"/>
              <w:rPr>
                <w:rFonts w:ascii="Calibri" w:eastAsia="Times New Roman" w:hAnsi="Calibri" w:cs="Calibri"/>
                <w:color w:val="000000"/>
                <w:sz w:val="22"/>
                <w:szCs w:val="22"/>
              </w:rPr>
            </w:pPr>
            <w:r w:rsidRPr="00277B1F">
              <w:rPr>
                <w:rFonts w:ascii="Calibri" w:eastAsia="Times New Roman" w:hAnsi="Calibri" w:cs="Calibri"/>
                <w:color w:val="000000"/>
                <w:sz w:val="22"/>
                <w:szCs w:val="22"/>
              </w:rPr>
              <w:t>1.541</w:t>
            </w:r>
          </w:p>
        </w:tc>
      </w:tr>
    </w:tbl>
    <w:p w:rsidR="00277B1F" w:rsidRDefault="00277B1F"/>
    <w:p w:rsidR="00FB14AE" w:rsidRDefault="00FB14AE"/>
    <w:p w:rsidR="00FB14AE" w:rsidRDefault="00277B1F">
      <w:pPr>
        <w:rPr>
          <w:b/>
          <w:bCs/>
          <w:u w:val="single"/>
        </w:rPr>
      </w:pPr>
      <w:r>
        <w:rPr>
          <w:noProof/>
        </w:rPr>
        <w:drawing>
          <wp:inline distT="0" distB="0" distL="0" distR="0" wp14:anchorId="6281CDA8" wp14:editId="3F8978A1">
            <wp:extent cx="4572000" cy="2743200"/>
            <wp:effectExtent l="0" t="0" r="12700" b="12700"/>
            <wp:docPr id="1" name="Chart 1">
              <a:extLst xmlns:a="http://schemas.openxmlformats.org/drawingml/2006/main">
                <a:ext uri="{FF2B5EF4-FFF2-40B4-BE49-F238E27FC236}">
                  <a16:creationId xmlns:a16="http://schemas.microsoft.com/office/drawing/2014/main" id="{6D970E3A-3D2C-CC4E-93F7-AB162B64A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B14AE" w:rsidRDefault="00B552FB">
      <w:pPr>
        <w:rPr>
          <w:b/>
          <w:bCs/>
          <w:u w:val="single"/>
        </w:rPr>
      </w:pPr>
      <w:bookmarkStart w:id="0" w:name="_GoBack"/>
      <w:r>
        <w:rPr>
          <w:noProof/>
        </w:rPr>
        <w:lastRenderedPageBreak/>
        <w:drawing>
          <wp:inline distT="0" distB="0" distL="0" distR="0" wp14:anchorId="3F10CBFD" wp14:editId="31F56D76">
            <wp:extent cx="4572000" cy="2821354"/>
            <wp:effectExtent l="0" t="0" r="12700" b="10795"/>
            <wp:docPr id="6" name="Chart 6">
              <a:extLst xmlns:a="http://schemas.openxmlformats.org/drawingml/2006/main">
                <a:ext uri="{FF2B5EF4-FFF2-40B4-BE49-F238E27FC236}">
                  <a16:creationId xmlns:a16="http://schemas.microsoft.com/office/drawing/2014/main" id="{2CDBC9D6-F797-4F47-BE9C-D9C3292F1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sidR="00277B1F" w:rsidRDefault="00277B1F">
      <w:pPr>
        <w:rPr>
          <w:b/>
          <w:bCs/>
          <w:u w:val="single"/>
        </w:rPr>
      </w:pPr>
    </w:p>
    <w:p w:rsidR="00277B1F" w:rsidRDefault="00277B1F">
      <w:pPr>
        <w:rPr>
          <w:b/>
          <w:bCs/>
          <w:u w:val="single"/>
        </w:rPr>
      </w:pPr>
      <w:r>
        <w:rPr>
          <w:noProof/>
        </w:rPr>
        <w:drawing>
          <wp:inline distT="0" distB="0" distL="0" distR="0" wp14:anchorId="544EB47A" wp14:editId="2E9073E2">
            <wp:extent cx="4572000" cy="2743200"/>
            <wp:effectExtent l="0" t="0" r="12700" b="12700"/>
            <wp:docPr id="5" name="Chart 5">
              <a:extLst xmlns:a="http://schemas.openxmlformats.org/drawingml/2006/main">
                <a:ext uri="{FF2B5EF4-FFF2-40B4-BE49-F238E27FC236}">
                  <a16:creationId xmlns:a16="http://schemas.microsoft.com/office/drawing/2014/main" id="{6550E142-914C-5D4F-9252-11B3CB7C1D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14AE" w:rsidRDefault="00FB14AE">
      <w:pPr>
        <w:rPr>
          <w:b/>
          <w:bCs/>
          <w:u w:val="single"/>
        </w:rPr>
      </w:pPr>
    </w:p>
    <w:p w:rsidR="00FB14AE" w:rsidRDefault="00FB14AE">
      <w:pPr>
        <w:rPr>
          <w:b/>
          <w:bCs/>
          <w:u w:val="single"/>
        </w:rPr>
      </w:pPr>
    </w:p>
    <w:p w:rsidR="00FB14AE" w:rsidRDefault="00894E83">
      <w:r>
        <w:t>Observation:</w:t>
      </w:r>
    </w:p>
    <w:p w:rsidR="00894E83" w:rsidRPr="00894E83" w:rsidRDefault="00894E83">
      <w:r>
        <w:t xml:space="preserve">The graphs are not linear. They are polynomial in nature and they have similar shape with those provided in the datasheet for the RGB LED Lamp. The values are similar as the datasheet. However, we cannot obtain the higher voltage and current part </w:t>
      </w:r>
      <w:r w:rsidR="00256136">
        <w:t xml:space="preserve">of the graph </w:t>
      </w:r>
      <w:r>
        <w:t>from the datasheet as insufficient lab data points collected. We should collect more data points and include more than 5 resistance values per graph to move our graphs closer to those in the datasheet.</w:t>
      </w:r>
    </w:p>
    <w:p w:rsidR="00277B1F" w:rsidRDefault="00277B1F">
      <w:pPr>
        <w:rPr>
          <w:b/>
          <w:bCs/>
          <w:u w:val="single"/>
        </w:rPr>
      </w:pPr>
    </w:p>
    <w:p w:rsidR="00277B1F" w:rsidRDefault="00277B1F">
      <w:pPr>
        <w:rPr>
          <w:b/>
          <w:bCs/>
          <w:u w:val="single"/>
        </w:rPr>
      </w:pPr>
    </w:p>
    <w:p w:rsidR="00277B1F" w:rsidRDefault="00277B1F">
      <w:pPr>
        <w:rPr>
          <w:b/>
          <w:bCs/>
          <w:u w:val="single"/>
        </w:rPr>
      </w:pPr>
    </w:p>
    <w:p w:rsidR="00277B1F" w:rsidRDefault="00277B1F">
      <w:pPr>
        <w:rPr>
          <w:b/>
          <w:bCs/>
          <w:u w:val="single"/>
        </w:rPr>
      </w:pPr>
    </w:p>
    <w:p w:rsidR="00FB14AE" w:rsidRDefault="00FB14AE">
      <w:pPr>
        <w:rPr>
          <w:b/>
          <w:bCs/>
          <w:u w:val="single"/>
        </w:rPr>
      </w:pPr>
    </w:p>
    <w:p w:rsidR="00FB14AE" w:rsidRDefault="00FB14AE">
      <w:pPr>
        <w:rPr>
          <w:b/>
          <w:bCs/>
          <w:u w:val="single"/>
        </w:rPr>
      </w:pPr>
    </w:p>
    <w:p w:rsidR="00894E83" w:rsidRDefault="00894E83">
      <w:pPr>
        <w:rPr>
          <w:b/>
          <w:bCs/>
          <w:u w:val="single"/>
        </w:rPr>
      </w:pPr>
    </w:p>
    <w:p w:rsidR="00FB14AE" w:rsidRDefault="00FB14AE">
      <w:pPr>
        <w:rPr>
          <w:b/>
          <w:bCs/>
          <w:u w:val="single"/>
        </w:rPr>
      </w:pPr>
      <w:r>
        <w:rPr>
          <w:b/>
          <w:bCs/>
          <w:u w:val="single"/>
        </w:rPr>
        <w:lastRenderedPageBreak/>
        <w:t>Activity 2: Biasing the Red, Green, and Blue LEDs with appropriate resistors to achieve a desired colour</w:t>
      </w:r>
    </w:p>
    <w:p w:rsidR="00FB14AE" w:rsidRDefault="00FB14AE"/>
    <w:p w:rsidR="00256136" w:rsidRDefault="00256136">
      <w:r>
        <w:t>Actual Voltage: 5</w:t>
      </w:r>
      <w:r w:rsidR="00855247">
        <w:t>.00</w:t>
      </w:r>
      <w:r>
        <w:t>V</w:t>
      </w:r>
    </w:p>
    <w:p w:rsidR="00894E83" w:rsidRDefault="000671C4">
      <w:r>
        <w:t>Power Consumed</w:t>
      </w:r>
      <w:r w:rsidR="00256136">
        <w:t xml:space="preserve"> = VI</w:t>
      </w:r>
    </w:p>
    <w:p w:rsidR="00256136" w:rsidRDefault="00256136">
      <w:r>
        <w:t xml:space="preserve">Power Loss = </w:t>
      </w:r>
      <w:r w:rsidR="00855247">
        <w:t>(</w:t>
      </w:r>
      <w:r>
        <w:t>I^2</w:t>
      </w:r>
      <w:r w:rsidR="00855247">
        <w:t>)</w:t>
      </w:r>
      <w:r>
        <w:t>R</w:t>
      </w:r>
    </w:p>
    <w:tbl>
      <w:tblPr>
        <w:tblpPr w:leftFromText="180" w:rightFromText="180" w:vertAnchor="page" w:horzAnchor="margin" w:tblpY="3988"/>
        <w:tblW w:w="6720" w:type="dxa"/>
        <w:tblLook w:val="04A0" w:firstRow="1" w:lastRow="0" w:firstColumn="1" w:lastColumn="0" w:noHBand="0" w:noVBand="1"/>
      </w:tblPr>
      <w:tblGrid>
        <w:gridCol w:w="2700"/>
        <w:gridCol w:w="1340"/>
        <w:gridCol w:w="1340"/>
        <w:gridCol w:w="1340"/>
      </w:tblGrid>
      <w:tr w:rsidR="00256136" w:rsidRPr="00256136" w:rsidTr="00256136">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 </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Red</w:t>
            </w:r>
            <w:r>
              <w:rPr>
                <w:rFonts w:ascii="Calibri" w:eastAsia="Times New Roman" w:hAnsi="Calibri" w:cs="Calibri"/>
                <w:color w:val="000000"/>
                <w:sz w:val="22"/>
                <w:szCs w:val="22"/>
              </w:rPr>
              <w:t xml:space="preserve"> LED</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Green</w:t>
            </w:r>
            <w:r>
              <w:rPr>
                <w:rFonts w:ascii="Calibri" w:eastAsia="Times New Roman" w:hAnsi="Calibri" w:cs="Calibri"/>
                <w:color w:val="000000"/>
                <w:sz w:val="22"/>
                <w:szCs w:val="22"/>
              </w:rPr>
              <w:t xml:space="preserve"> LED</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Blue</w:t>
            </w:r>
            <w:r>
              <w:rPr>
                <w:rFonts w:ascii="Calibri" w:eastAsia="Times New Roman" w:hAnsi="Calibri" w:cs="Calibri"/>
                <w:color w:val="000000"/>
                <w:sz w:val="22"/>
                <w:szCs w:val="22"/>
              </w:rPr>
              <w:t xml:space="preserve"> LED</w:t>
            </w:r>
          </w:p>
        </w:tc>
      </w:tr>
      <w:tr w:rsidR="00256136" w:rsidRPr="00256136" w:rsidTr="00256136">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Current I (mA)</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20</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2</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2</w:t>
            </w:r>
          </w:p>
        </w:tc>
      </w:tr>
      <w:tr w:rsidR="00256136" w:rsidRPr="00256136" w:rsidTr="00256136">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Voltage V (V)</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2</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2.6</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2.8</w:t>
            </w:r>
          </w:p>
        </w:tc>
      </w:tr>
      <w:tr w:rsidR="00256136" w:rsidRPr="00256136" w:rsidTr="00256136">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Resistance R ( Ω )</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150</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1200</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1100</w:t>
            </w:r>
          </w:p>
        </w:tc>
      </w:tr>
      <w:tr w:rsidR="00855247" w:rsidRPr="00256136" w:rsidTr="00256136">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855247" w:rsidRPr="00256136" w:rsidRDefault="00855247" w:rsidP="00256136">
            <w:pPr>
              <w:rPr>
                <w:rFonts w:ascii="Calibri" w:eastAsia="Times New Roman" w:hAnsi="Calibri" w:cs="Calibri"/>
                <w:color w:val="000000"/>
                <w:sz w:val="22"/>
                <w:szCs w:val="22"/>
              </w:rPr>
            </w:pPr>
            <w:r>
              <w:rPr>
                <w:rFonts w:ascii="Calibri" w:eastAsia="Times New Roman" w:hAnsi="Calibri" w:cs="Calibri"/>
                <w:color w:val="000000"/>
                <w:sz w:val="22"/>
                <w:szCs w:val="22"/>
              </w:rPr>
              <w:t>Actual Resistance R (</w:t>
            </w:r>
            <w:r w:rsidRPr="00256136">
              <w:rPr>
                <w:rFonts w:ascii="Calibri" w:eastAsia="Times New Roman" w:hAnsi="Calibri" w:cs="Calibri"/>
                <w:color w:val="000000"/>
                <w:sz w:val="22"/>
                <w:szCs w:val="22"/>
              </w:rPr>
              <w:t xml:space="preserve"> </w:t>
            </w:r>
            <w:r w:rsidRPr="00256136">
              <w:rPr>
                <w:rFonts w:ascii="Calibri" w:eastAsia="Times New Roman" w:hAnsi="Calibri" w:cs="Calibri"/>
                <w:color w:val="000000"/>
                <w:sz w:val="22"/>
                <w:szCs w:val="22"/>
              </w:rPr>
              <w:t>Ω</w:t>
            </w:r>
            <w:r>
              <w:rPr>
                <w:rFonts w:ascii="Calibri" w:eastAsia="Times New Roman" w:hAnsi="Calibri" w:cs="Calibri"/>
                <w:color w:val="000000"/>
                <w:sz w:val="22"/>
                <w:szCs w:val="22"/>
              </w:rPr>
              <w:t>)</w:t>
            </w:r>
          </w:p>
        </w:tc>
        <w:tc>
          <w:tcPr>
            <w:tcW w:w="1340" w:type="dxa"/>
            <w:tcBorders>
              <w:top w:val="nil"/>
              <w:left w:val="nil"/>
              <w:bottom w:val="single" w:sz="4" w:space="0" w:color="auto"/>
              <w:right w:val="single" w:sz="4" w:space="0" w:color="auto"/>
            </w:tcBorders>
            <w:shd w:val="clear" w:color="auto" w:fill="auto"/>
            <w:noWrap/>
            <w:vAlign w:val="bottom"/>
          </w:tcPr>
          <w:p w:rsidR="00855247" w:rsidRPr="00256136" w:rsidRDefault="00855247" w:rsidP="00256136">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148.9</w:t>
            </w:r>
          </w:p>
        </w:tc>
        <w:tc>
          <w:tcPr>
            <w:tcW w:w="1340" w:type="dxa"/>
            <w:tcBorders>
              <w:top w:val="nil"/>
              <w:left w:val="nil"/>
              <w:bottom w:val="single" w:sz="4" w:space="0" w:color="auto"/>
              <w:right w:val="single" w:sz="4" w:space="0" w:color="auto"/>
            </w:tcBorders>
            <w:shd w:val="clear" w:color="auto" w:fill="auto"/>
            <w:noWrap/>
            <w:vAlign w:val="bottom"/>
          </w:tcPr>
          <w:p w:rsidR="00855247" w:rsidRPr="00256136" w:rsidRDefault="00855247" w:rsidP="00256136">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1168.0</w:t>
            </w:r>
          </w:p>
        </w:tc>
        <w:tc>
          <w:tcPr>
            <w:tcW w:w="1340" w:type="dxa"/>
            <w:tcBorders>
              <w:top w:val="nil"/>
              <w:left w:val="nil"/>
              <w:bottom w:val="single" w:sz="4" w:space="0" w:color="auto"/>
              <w:right w:val="single" w:sz="4" w:space="0" w:color="auto"/>
            </w:tcBorders>
            <w:shd w:val="clear" w:color="auto" w:fill="auto"/>
            <w:noWrap/>
            <w:vAlign w:val="bottom"/>
          </w:tcPr>
          <w:p w:rsidR="00855247" w:rsidRPr="00256136" w:rsidRDefault="00855247" w:rsidP="00256136">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1109.6</w:t>
            </w:r>
          </w:p>
        </w:tc>
      </w:tr>
      <w:tr w:rsidR="00256136" w:rsidRPr="00256136" w:rsidTr="00256136">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Power Consumed (W)</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0.04</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0.0052</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0.0056</w:t>
            </w:r>
          </w:p>
        </w:tc>
      </w:tr>
      <w:tr w:rsidR="00256136" w:rsidRPr="00256136" w:rsidTr="00256136">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Power Loss(W)</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0.06</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0.0048</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0.0044</w:t>
            </w:r>
          </w:p>
        </w:tc>
      </w:tr>
      <w:tr w:rsidR="00256136" w:rsidRPr="00256136" w:rsidTr="00256136">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56136" w:rsidRPr="00256136" w:rsidRDefault="00256136" w:rsidP="00256136">
            <w:pPr>
              <w:rPr>
                <w:rFonts w:ascii="Calibri" w:eastAsia="Times New Roman" w:hAnsi="Calibri" w:cs="Calibri"/>
                <w:color w:val="000000"/>
                <w:sz w:val="22"/>
                <w:szCs w:val="22"/>
              </w:rPr>
            </w:pPr>
            <w:r w:rsidRPr="00256136">
              <w:rPr>
                <w:rFonts w:ascii="Calibri" w:eastAsia="Times New Roman" w:hAnsi="Calibri" w:cs="Calibri"/>
                <w:color w:val="000000"/>
                <w:sz w:val="22"/>
                <w:szCs w:val="22"/>
              </w:rPr>
              <w:t>Efficiency (%)</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40</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52</w:t>
            </w:r>
          </w:p>
        </w:tc>
        <w:tc>
          <w:tcPr>
            <w:tcW w:w="1340" w:type="dxa"/>
            <w:tcBorders>
              <w:top w:val="nil"/>
              <w:left w:val="nil"/>
              <w:bottom w:val="single" w:sz="4" w:space="0" w:color="auto"/>
              <w:right w:val="single" w:sz="4" w:space="0" w:color="auto"/>
            </w:tcBorders>
            <w:shd w:val="clear" w:color="auto" w:fill="auto"/>
            <w:noWrap/>
            <w:vAlign w:val="bottom"/>
            <w:hideMark/>
          </w:tcPr>
          <w:p w:rsidR="00256136" w:rsidRPr="00256136" w:rsidRDefault="00256136" w:rsidP="00256136">
            <w:pPr>
              <w:jc w:val="center"/>
              <w:rPr>
                <w:rFonts w:ascii="Calibri" w:eastAsia="Times New Roman" w:hAnsi="Calibri" w:cs="Calibri"/>
                <w:color w:val="000000"/>
                <w:sz w:val="22"/>
                <w:szCs w:val="22"/>
              </w:rPr>
            </w:pPr>
            <w:r w:rsidRPr="00256136">
              <w:rPr>
                <w:rFonts w:ascii="Calibri" w:eastAsia="Times New Roman" w:hAnsi="Calibri" w:cs="Calibri"/>
                <w:color w:val="000000"/>
                <w:sz w:val="22"/>
                <w:szCs w:val="22"/>
              </w:rPr>
              <w:t>56</w:t>
            </w:r>
          </w:p>
        </w:tc>
      </w:tr>
    </w:tbl>
    <w:p w:rsidR="00256136" w:rsidRDefault="00256136"/>
    <w:p w:rsidR="00256136" w:rsidRPr="00FB14AE" w:rsidRDefault="00256136">
      <w:r>
        <w:t>Mystery Colour A</w:t>
      </w:r>
    </w:p>
    <w:p w:rsidR="00165739" w:rsidRDefault="00165739"/>
    <w:p w:rsidR="00256136" w:rsidRDefault="00256136"/>
    <w:p w:rsidR="00256136" w:rsidRDefault="00256136"/>
    <w:p w:rsidR="00256136" w:rsidRDefault="00256136"/>
    <w:p w:rsidR="00256136" w:rsidRDefault="00256136"/>
    <w:p w:rsidR="00256136" w:rsidRDefault="00256136"/>
    <w:p w:rsidR="00256136" w:rsidRDefault="00256136"/>
    <w:p w:rsidR="00256136" w:rsidRDefault="00256136"/>
    <w:p w:rsidR="00256136" w:rsidRDefault="00256136"/>
    <w:p w:rsidR="00855247" w:rsidRDefault="00855247"/>
    <w:p w:rsidR="00256136" w:rsidRPr="00165739" w:rsidRDefault="00256136">
      <w:r>
        <w:t>After constructing the circuit, the colour is pinkish.</w:t>
      </w:r>
    </w:p>
    <w:sectPr w:rsidR="00256136" w:rsidRPr="00165739" w:rsidSect="009E60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97A89"/>
    <w:multiLevelType w:val="multilevel"/>
    <w:tmpl w:val="69BC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5E"/>
    <w:rsid w:val="000671C4"/>
    <w:rsid w:val="001136F2"/>
    <w:rsid w:val="00165739"/>
    <w:rsid w:val="001906C2"/>
    <w:rsid w:val="001D0F5E"/>
    <w:rsid w:val="00256136"/>
    <w:rsid w:val="00277B1F"/>
    <w:rsid w:val="005742AB"/>
    <w:rsid w:val="008270D4"/>
    <w:rsid w:val="00855247"/>
    <w:rsid w:val="00894E83"/>
    <w:rsid w:val="009E60DD"/>
    <w:rsid w:val="00B312D5"/>
    <w:rsid w:val="00B552FB"/>
    <w:rsid w:val="00D8008C"/>
    <w:rsid w:val="00FB14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C470D1"/>
  <w15:chartTrackingRefBased/>
  <w15:docId w15:val="{B4985E14-13FC-9842-B7B3-85DACB6E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136F2"/>
  </w:style>
  <w:style w:type="character" w:customStyle="1" w:styleId="DateChar">
    <w:name w:val="Date Char"/>
    <w:basedOn w:val="DefaultParagraphFont"/>
    <w:link w:val="Date"/>
    <w:uiPriority w:val="99"/>
    <w:semiHidden/>
    <w:rsid w:val="001136F2"/>
  </w:style>
  <w:style w:type="paragraph" w:styleId="NormalWeb">
    <w:name w:val="Normal (Web)"/>
    <w:basedOn w:val="Normal"/>
    <w:uiPriority w:val="99"/>
    <w:semiHidden/>
    <w:unhideWhenUsed/>
    <w:rsid w:val="001657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29813">
      <w:bodyDiv w:val="1"/>
      <w:marLeft w:val="0"/>
      <w:marRight w:val="0"/>
      <w:marTop w:val="0"/>
      <w:marBottom w:val="0"/>
      <w:divBdr>
        <w:top w:val="none" w:sz="0" w:space="0" w:color="auto"/>
        <w:left w:val="none" w:sz="0" w:space="0" w:color="auto"/>
        <w:bottom w:val="none" w:sz="0" w:space="0" w:color="auto"/>
        <w:right w:val="none" w:sz="0" w:space="0" w:color="auto"/>
      </w:divBdr>
      <w:divsChild>
        <w:div w:id="1602110155">
          <w:marLeft w:val="0"/>
          <w:marRight w:val="0"/>
          <w:marTop w:val="0"/>
          <w:marBottom w:val="0"/>
          <w:divBdr>
            <w:top w:val="none" w:sz="0" w:space="0" w:color="auto"/>
            <w:left w:val="none" w:sz="0" w:space="0" w:color="auto"/>
            <w:bottom w:val="none" w:sz="0" w:space="0" w:color="auto"/>
            <w:right w:val="none" w:sz="0" w:space="0" w:color="auto"/>
          </w:divBdr>
          <w:divsChild>
            <w:div w:id="1506699964">
              <w:marLeft w:val="0"/>
              <w:marRight w:val="0"/>
              <w:marTop w:val="0"/>
              <w:marBottom w:val="0"/>
              <w:divBdr>
                <w:top w:val="none" w:sz="0" w:space="0" w:color="auto"/>
                <w:left w:val="none" w:sz="0" w:space="0" w:color="auto"/>
                <w:bottom w:val="none" w:sz="0" w:space="0" w:color="auto"/>
                <w:right w:val="none" w:sz="0" w:space="0" w:color="auto"/>
              </w:divBdr>
              <w:divsChild>
                <w:div w:id="4034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3305">
      <w:bodyDiv w:val="1"/>
      <w:marLeft w:val="0"/>
      <w:marRight w:val="0"/>
      <w:marTop w:val="0"/>
      <w:marBottom w:val="0"/>
      <w:divBdr>
        <w:top w:val="none" w:sz="0" w:space="0" w:color="auto"/>
        <w:left w:val="none" w:sz="0" w:space="0" w:color="auto"/>
        <w:bottom w:val="none" w:sz="0" w:space="0" w:color="auto"/>
        <w:right w:val="none" w:sz="0" w:space="0" w:color="auto"/>
      </w:divBdr>
    </w:div>
    <w:div w:id="288558901">
      <w:bodyDiv w:val="1"/>
      <w:marLeft w:val="0"/>
      <w:marRight w:val="0"/>
      <w:marTop w:val="0"/>
      <w:marBottom w:val="0"/>
      <w:divBdr>
        <w:top w:val="none" w:sz="0" w:space="0" w:color="auto"/>
        <w:left w:val="none" w:sz="0" w:space="0" w:color="auto"/>
        <w:bottom w:val="none" w:sz="0" w:space="0" w:color="auto"/>
        <w:right w:val="none" w:sz="0" w:space="0" w:color="auto"/>
      </w:divBdr>
    </w:div>
    <w:div w:id="44893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ihaowang/Desktop/CG1111/Lab%20Report/Lab%20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ihaowang/Desktop/CG1111/Lab%20Report/Lab%20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I-V Graph for RED LED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Sheet1!$C$4:$G$4</c:f>
              <c:numCache>
                <c:formatCode>General</c:formatCode>
                <c:ptCount val="5"/>
                <c:pt idx="0">
                  <c:v>2.0019999999999998</c:v>
                </c:pt>
                <c:pt idx="1">
                  <c:v>1.917</c:v>
                </c:pt>
                <c:pt idx="2">
                  <c:v>1.869</c:v>
                </c:pt>
                <c:pt idx="3">
                  <c:v>1.839</c:v>
                </c:pt>
                <c:pt idx="4">
                  <c:v>1.796</c:v>
                </c:pt>
              </c:numCache>
            </c:numRef>
          </c:xVal>
          <c:yVal>
            <c:numRef>
              <c:f>Sheet1!$C$5:$G$5</c:f>
              <c:numCache>
                <c:formatCode>0.000</c:formatCode>
                <c:ptCount val="5"/>
                <c:pt idx="0">
                  <c:v>20.134318334452654</c:v>
                </c:pt>
                <c:pt idx="1">
                  <c:v>9.4483604045357037</c:v>
                </c:pt>
                <c:pt idx="2">
                  <c:v>5.6875567665758409</c:v>
                </c:pt>
                <c:pt idx="3">
                  <c:v>3.9566904493678812</c:v>
                </c:pt>
                <c:pt idx="4">
                  <c:v>2.1840490797546011</c:v>
                </c:pt>
              </c:numCache>
            </c:numRef>
          </c:yVal>
          <c:smooth val="0"/>
          <c:extLst>
            <c:ext xmlns:c16="http://schemas.microsoft.com/office/drawing/2014/chart" uri="{C3380CC4-5D6E-409C-BE32-E72D297353CC}">
              <c16:uniqueId val="{00000001-17DF-B348-B8A4-558996F7CDB5}"/>
            </c:ext>
          </c:extLst>
        </c:ser>
        <c:dLbls>
          <c:showLegendKey val="0"/>
          <c:showVal val="0"/>
          <c:showCatName val="0"/>
          <c:showSerName val="0"/>
          <c:showPercent val="0"/>
          <c:showBubbleSize val="0"/>
        </c:dLbls>
        <c:axId val="1028701568"/>
        <c:axId val="998294880"/>
      </c:scatterChart>
      <c:valAx>
        <c:axId val="1028701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200" b="0" i="0" baseline="0">
                    <a:effectLst/>
                  </a:rPr>
                  <a:t>Measured Voltage VR (V)</a:t>
                </a:r>
                <a:endParaRPr lang="en-SG" sz="1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294880"/>
        <c:crosses val="autoZero"/>
        <c:crossBetween val="midCat"/>
      </c:valAx>
      <c:valAx>
        <c:axId val="99829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Calculated Current IR (mA)</a:t>
                </a:r>
                <a:endParaRPr lang="en-SG" sz="1200">
                  <a:effectLst/>
                </a:endParaRP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701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a:t>I-V Graph for GREEN</a:t>
            </a:r>
            <a:r>
              <a:rPr lang="en-GB" sz="1400" baseline="0"/>
              <a:t> LED</a:t>
            </a:r>
            <a:r>
              <a:rPr lang="en-GB" sz="140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Sheet1!$A$1:$E$1</c:f>
              <c:numCache>
                <c:formatCode>General</c:formatCode>
                <c:ptCount val="5"/>
                <c:pt idx="0">
                  <c:v>3.1080000000000001</c:v>
                </c:pt>
                <c:pt idx="1">
                  <c:v>2.9039999999999999</c:v>
                </c:pt>
                <c:pt idx="2">
                  <c:v>2.778</c:v>
                </c:pt>
                <c:pt idx="3">
                  <c:v>2.694</c:v>
                </c:pt>
                <c:pt idx="4">
                  <c:v>2.5720000000000001</c:v>
                </c:pt>
              </c:numCache>
            </c:numRef>
          </c:xVal>
          <c:yVal>
            <c:numRef>
              <c:f>Sheet1!$A$2:$E$2</c:f>
              <c:numCache>
                <c:formatCode>General</c:formatCode>
                <c:ptCount val="5"/>
                <c:pt idx="0">
                  <c:v>12.707000000000001</c:v>
                </c:pt>
                <c:pt idx="1">
                  <c:v>6.4240000000000004</c:v>
                </c:pt>
                <c:pt idx="2">
                  <c:v>4.0359999999999996</c:v>
                </c:pt>
                <c:pt idx="3">
                  <c:v>2.8860000000000001</c:v>
                </c:pt>
                <c:pt idx="4">
                  <c:v>1.655</c:v>
                </c:pt>
              </c:numCache>
            </c:numRef>
          </c:yVal>
          <c:smooth val="0"/>
          <c:extLst>
            <c:ext xmlns:c16="http://schemas.microsoft.com/office/drawing/2014/chart" uri="{C3380CC4-5D6E-409C-BE32-E72D297353CC}">
              <c16:uniqueId val="{00000001-626A-154D-B3E3-30F7E59B19CA}"/>
            </c:ext>
          </c:extLst>
        </c:ser>
        <c:dLbls>
          <c:showLegendKey val="0"/>
          <c:showVal val="0"/>
          <c:showCatName val="0"/>
          <c:showSerName val="0"/>
          <c:showPercent val="0"/>
          <c:showBubbleSize val="0"/>
        </c:dLbls>
        <c:axId val="1002203952"/>
        <c:axId val="1002205584"/>
      </c:scatterChart>
      <c:valAx>
        <c:axId val="1002203952"/>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Measured Voltage VG (V)</a:t>
                </a:r>
                <a:endParaRPr lang="en-SG"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205584"/>
        <c:crosses val="autoZero"/>
        <c:crossBetween val="midCat"/>
      </c:valAx>
      <c:valAx>
        <c:axId val="10022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Calculated </a:t>
                </a:r>
                <a:endParaRPr lang="en-SG" sz="1000">
                  <a:effectLst/>
                </a:endParaRPr>
              </a:p>
              <a:p>
                <a:pPr>
                  <a:defRPr/>
                </a:pPr>
                <a:r>
                  <a:rPr lang="en-GB" sz="1000" b="0" i="0" baseline="0">
                    <a:effectLst/>
                  </a:rPr>
                  <a:t>Current IG (mA)</a:t>
                </a:r>
                <a:endParaRPr lang="en-SG" sz="1000">
                  <a:effectLst/>
                </a:endParaRP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20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I-V Graph for BLUE LED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Sheet1!$C$8:$G$8</c:f>
              <c:numCache>
                <c:formatCode>General</c:formatCode>
                <c:ptCount val="5"/>
                <c:pt idx="0">
                  <c:v>3.1150000000000002</c:v>
                </c:pt>
                <c:pt idx="1">
                  <c:v>2.952</c:v>
                </c:pt>
                <c:pt idx="2">
                  <c:v>2.8650000000000002</c:v>
                </c:pt>
                <c:pt idx="3">
                  <c:v>2.8130000000000002</c:v>
                </c:pt>
                <c:pt idx="4">
                  <c:v>2.74</c:v>
                </c:pt>
              </c:numCache>
            </c:numRef>
          </c:xVal>
          <c:yVal>
            <c:numRef>
              <c:f>Sheet1!$C$9:$G$9</c:f>
              <c:numCache>
                <c:formatCode>0.000</c:formatCode>
                <c:ptCount val="5"/>
                <c:pt idx="0">
                  <c:v>12.659503022162523</c:v>
                </c:pt>
                <c:pt idx="1">
                  <c:v>6.2764327306159977</c:v>
                </c:pt>
                <c:pt idx="2">
                  <c:v>3.8782924613987282</c:v>
                </c:pt>
                <c:pt idx="3">
                  <c:v>2.7375140818625607</c:v>
                </c:pt>
                <c:pt idx="4">
                  <c:v>1.5405589638718471</c:v>
                </c:pt>
              </c:numCache>
            </c:numRef>
          </c:yVal>
          <c:smooth val="0"/>
          <c:extLst>
            <c:ext xmlns:c16="http://schemas.microsoft.com/office/drawing/2014/chart" uri="{C3380CC4-5D6E-409C-BE32-E72D297353CC}">
              <c16:uniqueId val="{00000001-7894-3E40-869A-4E5736CEEDFF}"/>
            </c:ext>
          </c:extLst>
        </c:ser>
        <c:dLbls>
          <c:showLegendKey val="0"/>
          <c:showVal val="0"/>
          <c:showCatName val="0"/>
          <c:showSerName val="0"/>
          <c:showPercent val="0"/>
          <c:showBubbleSize val="0"/>
        </c:dLbls>
        <c:axId val="987879232"/>
        <c:axId val="988722784"/>
      </c:scatterChart>
      <c:valAx>
        <c:axId val="987879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Calculated</a:t>
                </a:r>
                <a:r>
                  <a:rPr lang="en-GB" baseline="0"/>
                  <a:t> </a:t>
                </a:r>
              </a:p>
              <a:p>
                <a:pPr>
                  <a:defRPr/>
                </a:pPr>
                <a:r>
                  <a:rPr lang="en-GB" baseline="0"/>
                  <a:t>Current IB (mA)</a:t>
                </a:r>
                <a:endParaRPr lang="en-GB"/>
              </a:p>
            </c:rich>
          </c:tx>
          <c:layout>
            <c:manualLayout>
              <c:xMode val="edge"/>
              <c:yMode val="edge"/>
              <c:x val="1.3027777777777779E-2"/>
              <c:y val="0.364791484397783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8722784"/>
        <c:crosses val="autoZero"/>
        <c:crossBetween val="midCat"/>
      </c:valAx>
      <c:valAx>
        <c:axId val="98872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Measured Voltage VB (V)</a:t>
                </a:r>
              </a:p>
            </c:rich>
          </c:tx>
          <c:layout>
            <c:manualLayout>
              <c:xMode val="edge"/>
              <c:yMode val="edge"/>
              <c:x val="0.39444444444444443"/>
              <c:y val="0.86870370370370353"/>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879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Zihao</dc:creator>
  <cp:keywords/>
  <dc:description/>
  <cp:lastModifiedBy>Wang Zihao</cp:lastModifiedBy>
  <cp:revision>3</cp:revision>
  <dcterms:created xsi:type="dcterms:W3CDTF">2019-08-27T08:13:00Z</dcterms:created>
  <dcterms:modified xsi:type="dcterms:W3CDTF">2019-08-27T08:27:00Z</dcterms:modified>
</cp:coreProperties>
</file>