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01C201BD" w:rsidR="00276DCE" w:rsidRPr="009D5228"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009D5228">
        <w:rPr>
          <w:rStyle w:val="Emphasis"/>
          <w:rFonts w:eastAsiaTheme="majorEastAsia"/>
          <w:i w:val="0"/>
          <w:iCs w:val="0"/>
          <w:sz w:val="20"/>
          <w:szCs w:val="20"/>
        </w:rPr>
        <w:t xml:space="preserve">. </w:t>
      </w:r>
      <w:r w:rsidRPr="00276DCE">
        <w:rPr>
          <w:sz w:val="20"/>
          <w:szCs w:val="20"/>
        </w:rPr>
        <w:t>Resistance to doxycycline and extended-spectrum cephalosporins (ESCs), such as ceftriaxone (i.e., the current first-line and last-</w:t>
      </w:r>
      <w:r w:rsidR="0015330D">
        <w:rPr>
          <w:sz w:val="20"/>
          <w:szCs w:val="20"/>
        </w:rPr>
        <w:t>line</w:t>
      </w:r>
      <w:r w:rsidRPr="00276DCE">
        <w:rPr>
          <w:sz w:val="20"/>
          <w:szCs w:val="20"/>
        </w:rPr>
        <w:t xml:space="preserve"> antibiotic for gonorrhoea</w:t>
      </w:r>
      <w:r w:rsidR="00F729B0">
        <w:rPr>
          <w:rStyle w:val="FootnoteReference"/>
          <w:sz w:val="20"/>
          <w:szCs w:val="20"/>
        </w:rPr>
        <w:footnoteReference w:id="1"/>
      </w:r>
      <w:r w:rsidRPr="00276DCE">
        <w:rPr>
          <w:sz w:val="20"/>
          <w:szCs w:val="20"/>
        </w:rPr>
        <w:t>)</w:t>
      </w:r>
      <w:r w:rsidR="00804703">
        <w:rPr>
          <w:sz w:val="20"/>
          <w:szCs w:val="20"/>
        </w:rPr>
        <w:t xml:space="preserve"> </w:t>
      </w:r>
      <w:r w:rsidR="00804703">
        <w:rPr>
          <w:sz w:val="20"/>
          <w:szCs w:val="20"/>
        </w:rPr>
        <w:fldChar w:fldCharType="begin"/>
      </w:r>
      <w:r w:rsidR="00F729B0">
        <w:rPr>
          <w:sz w:val="20"/>
          <w:szCs w:val="20"/>
        </w:rPr>
        <w:instrText xml:space="preserve"> ADDIN ZOTERO_ITEM CSL_CITATION {"citationID":"XAYBGUMV","properties":{"formattedCitation":"[6]","plainCitation":"[6]","noteIndex":0},"citationItems":[{"id":420,"uris":["http://zotero.org/users/9663344/items/ZQGG9PCA"],"itemData":{"id":420,"type":"webpage","container-title":"UK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00804703">
        <w:rPr>
          <w:sz w:val="20"/>
          <w:szCs w:val="20"/>
        </w:rPr>
        <w:fldChar w:fldCharType="separate"/>
      </w:r>
      <w:r w:rsidR="00F729B0">
        <w:rPr>
          <w:noProof/>
          <w:sz w:val="20"/>
          <w:szCs w:val="20"/>
        </w:rPr>
        <w:t>[6]</w:t>
      </w:r>
      <w:r w:rsidR="00804703">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009D5228">
        <w:rPr>
          <w:color w:val="000000" w:themeColor="text1"/>
          <w:sz w:val="20"/>
          <w:szCs w:val="20"/>
        </w:rPr>
        <w:t xml:space="preserve">. </w:t>
      </w:r>
      <w:r w:rsidR="009D5228" w:rsidRPr="009D5228">
        <w:rPr>
          <w:sz w:val="20"/>
          <w:szCs w:val="20"/>
        </w:rPr>
        <w:t xml:space="preserve">Notably, ceftriaxone-resistant multidrug-resistant </w:t>
      </w:r>
      <w:r w:rsidR="009D5228" w:rsidRPr="009D5228">
        <w:rPr>
          <w:rStyle w:val="Emphasis"/>
          <w:rFonts w:eastAsiaTheme="majorEastAsia"/>
          <w:sz w:val="20"/>
          <w:szCs w:val="20"/>
        </w:rPr>
        <w:t>Neisseria gonorrhoeae</w:t>
      </w:r>
      <w:r w:rsidR="009D5228" w:rsidRPr="009D5228">
        <w:rPr>
          <w:sz w:val="20"/>
          <w:szCs w:val="20"/>
        </w:rPr>
        <w:t xml:space="preserve"> strains have already been detected in Singapore</w:t>
      </w:r>
      <w:r w:rsidR="009D5228">
        <w:rPr>
          <w:sz w:val="20"/>
          <w:szCs w:val="20"/>
        </w:rPr>
        <w:t xml:space="preserve"> </w:t>
      </w:r>
      <w:r w:rsidR="009D5228">
        <w:rPr>
          <w:sz w:val="20"/>
          <w:szCs w:val="20"/>
        </w:rPr>
        <w:fldChar w:fldCharType="begin"/>
      </w:r>
      <w:r w:rsidR="00F729B0">
        <w:rPr>
          <w:sz w:val="20"/>
          <w:szCs w:val="20"/>
        </w:rPr>
        <w:instrText xml:space="preserve"> ADDIN ZOTERO_ITEM CSL_CITATION {"citationID":"r51sHfS3","properties":{"formattedCitation":"[7]","plainCitation":"[7]","noteIndex":0},"citationItems":[{"id":432,"uris":["http://zotero.org/users/9663344/items/BNCYHYJV"],"itemData":{"id":432,"type":"article-journal","container-title":"Antimicrobial Agents and Chemotherapy","DOI":"10.1128/AAC.02624-18","ISSN":"0066-4804","issue":"5","journalAbbreviation":"Antimicrob Agents Chemother","note":"PMID: 30858209\nPMCID: PMC6496044","page":"e02624-18","source":"PubMed Central","title":"First Case of Ceftriaxone-Resistant Multidrug-Resistant Neisseria gonorrhoeae in Singapore","volume":"63","author":[{"family":"Ko","given":"Karrie Kwan Ki"},{"family":"Chio","given":"Martin T. W."},{"family":"Goh","given":"Sui Sin"},{"family":"Tan","given":"Ai Ling"},{"family":"Koh","given":"Tse Hsien"},{"family":"Abdul Rahman","given":"Nurdyana Binte"}],"issued":{"date-parts":[["2019",4,25]]}}}],"schema":"https://github.com/citation-style-language/schema/raw/master/csl-citation.json"} </w:instrText>
      </w:r>
      <w:r w:rsidR="009D5228">
        <w:rPr>
          <w:sz w:val="20"/>
          <w:szCs w:val="20"/>
        </w:rPr>
        <w:fldChar w:fldCharType="separate"/>
      </w:r>
      <w:r w:rsidR="00F729B0">
        <w:rPr>
          <w:noProof/>
          <w:sz w:val="20"/>
          <w:szCs w:val="20"/>
        </w:rPr>
        <w:t>[7]</w:t>
      </w:r>
      <w:r w:rsidR="009D5228">
        <w:rPr>
          <w:sz w:val="20"/>
          <w:szCs w:val="20"/>
        </w:rPr>
        <w:fldChar w:fldCharType="end"/>
      </w:r>
      <w:r w:rsidR="009D5228" w:rsidRPr="009D5228">
        <w:rPr>
          <w:sz w:val="20"/>
          <w:szCs w:val="20"/>
        </w:rPr>
        <w:t>.</w:t>
      </w:r>
    </w:p>
    <w:p w14:paraId="0C3010C3" w14:textId="1D865C95" w:rsidR="00276DCE" w:rsidRPr="00276DCE" w:rsidRDefault="00276DCE" w:rsidP="00276DCE">
      <w:pPr>
        <w:pStyle w:val="NormalWeb"/>
        <w:spacing w:line="276" w:lineRule="auto"/>
        <w:jc w:val="both"/>
        <w:rPr>
          <w:sz w:val="20"/>
          <w:szCs w:val="20"/>
        </w:rPr>
      </w:pPr>
      <w:r w:rsidRPr="00276DCE">
        <w:rPr>
          <w:sz w:val="20"/>
          <w:szCs w:val="20"/>
        </w:rPr>
        <w:t>For gonorrhoea, tetracycline resistance (</w:t>
      </w:r>
      <w:proofErr w:type="spellStart"/>
      <w:r w:rsidRPr="00276DCE">
        <w:rPr>
          <w:sz w:val="20"/>
          <w:szCs w:val="20"/>
        </w:rPr>
        <w:t>tetR</w:t>
      </w:r>
      <w:proofErr w:type="spellEnd"/>
      <w:r w:rsidRPr="00276DCE">
        <w:rPr>
          <w:sz w:val="20"/>
          <w:szCs w:val="20"/>
        </w:rPr>
        <w:t xml:space="preserve">) commonly results from plasmid-borne </w:t>
      </w:r>
      <w:r w:rsidRPr="00276DCE">
        <w:rPr>
          <w:rStyle w:val="Emphasis"/>
          <w:rFonts w:eastAsiaTheme="majorEastAsia"/>
          <w:sz w:val="20"/>
          <w:szCs w:val="20"/>
        </w:rPr>
        <w:t>tetM</w:t>
      </w:r>
      <w:r w:rsidRPr="00276DCE">
        <w:rPr>
          <w:sz w:val="20"/>
          <w:szCs w:val="20"/>
        </w:rPr>
        <w:t xml:space="preserve"> genes, which confer high-level resistance, or from chromosomal mutations in loci such as </w:t>
      </w:r>
      <w:proofErr w:type="spellStart"/>
      <w:r w:rsidRPr="00276DCE">
        <w:rPr>
          <w:rStyle w:val="Emphasis"/>
          <w:rFonts w:eastAsiaTheme="majorEastAsia"/>
          <w:sz w:val="20"/>
          <w:szCs w:val="20"/>
        </w:rPr>
        <w:t>rpsJ</w:t>
      </w:r>
      <w:proofErr w:type="spellEnd"/>
      <w:r w:rsidRPr="00276DCE">
        <w:rPr>
          <w:sz w:val="20"/>
          <w:szCs w:val="20"/>
        </w:rPr>
        <w:t xml:space="preserve">, </w:t>
      </w:r>
      <w:proofErr w:type="spellStart"/>
      <w:r w:rsidRPr="00276DCE">
        <w:rPr>
          <w:rStyle w:val="Emphasis"/>
          <w:rFonts w:eastAsiaTheme="majorEastAsia"/>
          <w:sz w:val="20"/>
          <w:szCs w:val="20"/>
        </w:rPr>
        <w:t>mtrR</w:t>
      </w:r>
      <w:proofErr w:type="spellEnd"/>
      <w:r w:rsidRPr="00276DCE">
        <w:rPr>
          <w:sz w:val="20"/>
          <w:szCs w:val="20"/>
        </w:rPr>
        <w:t xml:space="preserve">, and </w:t>
      </w:r>
      <w:proofErr w:type="spellStart"/>
      <w:r w:rsidRPr="00276DCE">
        <w:rPr>
          <w:rStyle w:val="Emphasis"/>
          <w:rFonts w:eastAsiaTheme="majorEastAsia"/>
          <w:sz w:val="20"/>
          <w:szCs w:val="20"/>
        </w:rPr>
        <w:t>porB</w:t>
      </w:r>
      <w:proofErr w:type="spellEnd"/>
      <w:r w:rsidRPr="00276DCE">
        <w:rPr>
          <w:sz w:val="20"/>
          <w:szCs w:val="20"/>
        </w:rPr>
        <w:t>. In contrast, ceftriaxone resistance (</w:t>
      </w:r>
      <w:proofErr w:type="spellStart"/>
      <w:r w:rsidRPr="00276DCE">
        <w:rPr>
          <w:sz w:val="20"/>
          <w:szCs w:val="20"/>
        </w:rPr>
        <w:t>cefR</w:t>
      </w:r>
      <w:proofErr w:type="spellEnd"/>
      <w:r w:rsidRPr="00276DCE">
        <w:rPr>
          <w:sz w:val="20"/>
          <w:szCs w:val="20"/>
        </w:rPr>
        <w:t xml:space="preserve">) typically involves mosaic </w:t>
      </w:r>
      <w:proofErr w:type="spellStart"/>
      <w:r w:rsidRPr="00276DCE">
        <w:rPr>
          <w:rStyle w:val="Emphasis"/>
          <w:rFonts w:eastAsiaTheme="majorEastAsia"/>
          <w:sz w:val="20"/>
          <w:szCs w:val="20"/>
        </w:rPr>
        <w:t>penA</w:t>
      </w:r>
      <w:proofErr w:type="spellEnd"/>
      <w:r w:rsidRPr="00276DCE">
        <w:rPr>
          <w:sz w:val="20"/>
          <w:szCs w:val="20"/>
        </w:rPr>
        <w:t xml:space="preserve"> alleles in combination with mutations in </w:t>
      </w:r>
      <w:proofErr w:type="spellStart"/>
      <w:r w:rsidRPr="00276DCE">
        <w:rPr>
          <w:rStyle w:val="Emphasis"/>
          <w:rFonts w:eastAsiaTheme="majorEastAsia"/>
          <w:sz w:val="20"/>
          <w:szCs w:val="20"/>
        </w:rPr>
        <w:t>mtrR</w:t>
      </w:r>
      <w:proofErr w:type="spellEnd"/>
      <w:r w:rsidRPr="00276DCE">
        <w:rPr>
          <w:sz w:val="20"/>
          <w:szCs w:val="20"/>
        </w:rPr>
        <w:t xml:space="preserve">, </w:t>
      </w:r>
      <w:proofErr w:type="spellStart"/>
      <w:r w:rsidRPr="00276DCE">
        <w:rPr>
          <w:rStyle w:val="Emphasis"/>
          <w:rFonts w:eastAsiaTheme="majorEastAsia"/>
          <w:sz w:val="20"/>
          <w:szCs w:val="20"/>
        </w:rPr>
        <w:t>porB</w:t>
      </w:r>
      <w:proofErr w:type="spellEnd"/>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00F729B0">
        <w:rPr>
          <w:color w:val="000000" w:themeColor="text1"/>
          <w:sz w:val="20"/>
          <w:szCs w:val="20"/>
        </w:rPr>
        <w:instrText xml:space="preserve"> ADDIN ZOTERO_ITEM CSL_CITATION {"citationID":"FjiRzlKO","properties":{"formattedCitation":"[2], [8]","plainCitation":"[2], [8]","noteIndex":0},"citationItems":[{"id":287,"uris":["http://zotero.org/users/9663344/items/UD4GZWU4"],"itemData":{"id":287,"type":"article-journal","container-title":"The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00F729B0">
        <w:rPr>
          <w:noProof/>
          <w:color w:val="000000" w:themeColor="text1"/>
          <w:sz w:val="20"/>
          <w:szCs w:val="20"/>
        </w:rPr>
        <w:t>[2], [8]</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w:t>
      </w:r>
      <w:proofErr w:type="spellStart"/>
      <w:r w:rsidRPr="00276DCE">
        <w:rPr>
          <w:sz w:val="20"/>
          <w:szCs w:val="20"/>
        </w:rPr>
        <w:t>cefR</w:t>
      </w:r>
      <w:proofErr w:type="spellEnd"/>
      <w:r w:rsidRPr="00276DCE">
        <w:rPr>
          <w:sz w:val="20"/>
          <w:szCs w:val="20"/>
        </w:rPr>
        <w:t xml:space="preserve"> mutations will arise within the </w:t>
      </w:r>
      <w:proofErr w:type="spellStart"/>
      <w:r w:rsidRPr="00276DCE">
        <w:rPr>
          <w:sz w:val="20"/>
          <w:szCs w:val="20"/>
        </w:rPr>
        <w:t>tetR</w:t>
      </w:r>
      <w:proofErr w:type="spellEnd"/>
      <w:r w:rsidRPr="00276DCE">
        <w:rPr>
          <w:sz w:val="20"/>
          <w:szCs w:val="20"/>
        </w:rPr>
        <w:t xml:space="preserve"> background or that dual-resistant (</w:t>
      </w:r>
      <w:proofErr w:type="spellStart"/>
      <w:r w:rsidRPr="00276DCE">
        <w:rPr>
          <w:sz w:val="20"/>
          <w:szCs w:val="20"/>
        </w:rPr>
        <w:t>tetR</w:t>
      </w:r>
      <w:proofErr w:type="spellEnd"/>
      <w:r w:rsidRPr="00276DCE">
        <w:rPr>
          <w:sz w:val="20"/>
          <w:szCs w:val="20"/>
        </w:rPr>
        <w:t xml:space="preserve"> + </w:t>
      </w:r>
      <w:proofErr w:type="spellStart"/>
      <w:r w:rsidRPr="00276DCE">
        <w:rPr>
          <w:sz w:val="20"/>
          <w:szCs w:val="20"/>
        </w:rPr>
        <w:t>cefR</w:t>
      </w:r>
      <w:proofErr w:type="spellEnd"/>
      <w:r w:rsidRPr="00276DCE">
        <w:rPr>
          <w:sz w:val="20"/>
          <w:szCs w:val="20"/>
        </w:rPr>
        <w:t xml:space="preserve">)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6022B396"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00F729B0">
        <w:rPr>
          <w:sz w:val="20"/>
          <w:szCs w:val="20"/>
        </w:rPr>
        <w:instrText xml:space="preserve"> ADDIN ZOTERO_ITEM CSL_CITATION {"citationID":"qvdfD3iE","properties":{"formattedCitation":"[9], [10]","plainCitation":"[9], [10]","noteIndex":0},"citationItems":[{"id":152,"uris":["http://zotero.org/users/9663344/items/WHKA7ZDX"],"itemData":{"id":152,"type":"article-journal","abstract":"BACKGROUND: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00F729B0">
        <w:rPr>
          <w:noProof/>
          <w:sz w:val="20"/>
          <w:szCs w:val="20"/>
        </w:rPr>
        <w:t>[9], [10]</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00F729B0">
        <w:rPr>
          <w:sz w:val="20"/>
          <w:szCs w:val="20"/>
        </w:rPr>
        <w:instrText xml:space="preserve"> ADDIN ZOTERO_ITEM CSL_CITATION {"citationID":"HPOzFcKr","properties":{"formattedCitation":"[11]","plainCitation":"[11]","noteIndex":0},"citationItems":[{"id":409,"uris":["http://zotero.org/users/9663344/items/S8TLUVMP"],"itemData":{"id":409,"type":"article-journal","container-title":"The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00F729B0">
        <w:rPr>
          <w:noProof/>
          <w:sz w:val="20"/>
          <w:szCs w:val="20"/>
        </w:rPr>
        <w:t>[11]</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614595EF"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00F729B0">
        <w:rPr>
          <w:color w:val="000000" w:themeColor="text1"/>
          <w:sz w:val="20"/>
          <w:szCs w:val="20"/>
          <w:shd w:val="clear" w:color="auto" w:fill="FFFFFF"/>
        </w:rPr>
        <w:instrText xml:space="preserve"> ADDIN ZOTERO_ITEM CSL_CITATION {"citationID":"izu2g4UO","properties":{"formattedCitation":"[12], [13], [14]","plainCitation":"[12], [13], [14]","noteIndex":0},"citationItems":[{"id":174,"uris":["http://zotero.org/users/9663344/items/9QGBX5LM"],"itemData":{"id":174,"type":"article-journal","abstract":"Mathematical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00F729B0">
        <w:rPr>
          <w:noProof/>
          <w:color w:val="000000" w:themeColor="text1"/>
          <w:sz w:val="20"/>
          <w:szCs w:val="20"/>
          <w:shd w:val="clear" w:color="auto" w:fill="FFFFFF"/>
        </w:rPr>
        <w:t>[12], [13], [14]</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00F729B0">
        <w:rPr>
          <w:sz w:val="20"/>
          <w:szCs w:val="20"/>
        </w:rPr>
        <w:instrText xml:space="preserve"> ADDIN ZOTERO_ITEM CSL_CITATION {"citationID":"Jf1aabV3","properties":{"formattedCitation":"[15], [16]","plainCitation":"[15], [16]","noteIndex":0},"citationItems":[{"id":297,"uris":["http://zotero.org/users/9663344/items/KC9H5ARD"],"itemData":{"id":297,"type":"article-journal","abstract":"Gonorrhea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00F729B0">
        <w:rPr>
          <w:noProof/>
          <w:sz w:val="20"/>
          <w:szCs w:val="20"/>
        </w:rPr>
        <w:t>[15], [16]</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6B29CCD0"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00F729B0">
        <w:rPr>
          <w:sz w:val="20"/>
          <w:szCs w:val="20"/>
        </w:rPr>
        <w:instrText xml:space="preserve"> ADDIN ZOTERO_ITEM CSL_CITATION {"citationID":"bWgM7jis","properties":{"formattedCitation":"[17]","plainCitation":"[17]","noteIndex":0},"citationItems":[{"id":408,"uris":["http://zotero.org/users/9663344/items/PRBSX5RW"],"itemData":{"id":408,"type":"article-journal","container-title":"International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00F729B0">
        <w:rPr>
          <w:noProof/>
          <w:sz w:val="20"/>
          <w:szCs w:val="20"/>
        </w:rPr>
        <w:t>[17]</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40BD9292" w:rsidR="006B751E" w:rsidRDefault="00B71524"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3ACC314" wp14:editId="292FE322">
            <wp:extent cx="3438371" cy="4572000"/>
            <wp:effectExtent l="0" t="0" r="3810" b="0"/>
            <wp:docPr id="183068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2738" name="Picture 1830682738"/>
                    <pic:cNvPicPr/>
                  </pic:nvPicPr>
                  <pic:blipFill>
                    <a:blip r:embed="rId8"/>
                    <a:stretch>
                      <a:fillRect/>
                    </a:stretch>
                  </pic:blipFill>
                  <pic:spPr>
                    <a:xfrm>
                      <a:off x="0" y="0"/>
                      <a:ext cx="3438371" cy="4572000"/>
                    </a:xfrm>
                    <a:prstGeom prst="rect">
                      <a:avLst/>
                    </a:prstGeom>
                  </pic:spPr>
                </pic:pic>
              </a:graphicData>
            </a:graphic>
          </wp:inline>
        </w:drawing>
      </w:r>
    </w:p>
    <w:p w14:paraId="42CE73F8" w14:textId="77777777" w:rsidR="001725A7" w:rsidRDefault="009701A4" w:rsidP="009701A4">
      <w:pPr>
        <w:pStyle w:val="NormalWeb"/>
        <w:spacing w:line="276" w:lineRule="auto"/>
        <w:jc w:val="both"/>
        <w:rPr>
          <w:sz w:val="20"/>
          <w:szCs w:val="20"/>
        </w:rPr>
        <w:sectPr w:rsidR="001725A7" w:rsidSect="00276DCE">
          <w:pgSz w:w="16838" w:h="11906" w:orient="landscape"/>
          <w:pgMar w:top="1440" w:right="1440" w:bottom="1440" w:left="1440" w:header="708" w:footer="708" w:gutter="0"/>
          <w:cols w:space="708"/>
          <w:docGrid w:linePitch="360"/>
        </w:sectPr>
      </w:pPr>
      <w:r>
        <w:rPr>
          <w:sz w:val="20"/>
          <w:szCs w:val="20"/>
        </w:rPr>
        <w:t>Fig. 1: Gonorrhoea transmission model.</w:t>
      </w:r>
    </w:p>
    <w:p w14:paraId="2160432B" w14:textId="40C686AC" w:rsidR="00F9466C" w:rsidRPr="00F9466C" w:rsidRDefault="00F9466C" w:rsidP="00B26C1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Compartmental model equations</w:t>
      </w:r>
    </w:p>
    <w:p w14:paraId="3426AA3D" w14:textId="58E341CD" w:rsidR="00B26C1F" w:rsidRPr="00354E6D" w:rsidRDefault="006C3307" w:rsidP="00B26C1F">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w:rPr>
              <w:rFonts w:ascii="Cambria Math" w:hAnsi="Cambria Math"/>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516BC5A3" w14:textId="0DA5F3F9" w:rsidR="001725A7" w:rsidRPr="0053170E" w:rsidRDefault="001725A7" w:rsidP="001725A7">
      <w:pPr>
        <w:spacing w:line="276" w:lineRule="auto"/>
        <w:jc w:val="both"/>
        <w:rPr>
          <w:rFonts w:ascii="Times New Roman" w:hAnsi="Times New Roman" w:cs="Times New Roman"/>
          <w:sz w:val="20"/>
          <w:szCs w:val="20"/>
        </w:rPr>
      </w:pPr>
      <w:r w:rsidRPr="0053170E">
        <w:rPr>
          <w:rFonts w:ascii="Times New Roman" w:hAnsi="Times New Roman" w:cs="Times New Roman"/>
          <w:sz w:val="20"/>
          <w:szCs w:val="20"/>
        </w:rPr>
        <w:t>In August 2025, England launched the 4CMenB (Bexsero) vaccination programme aimed at reducing gonorrhoea transmission</w:t>
      </w:r>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F729B0">
        <w:rPr>
          <w:rFonts w:ascii="Times New Roman" w:hAnsi="Times New Roman" w:cs="Times New Roman"/>
          <w:sz w:val="20"/>
          <w:szCs w:val="20"/>
        </w:rPr>
        <w:instrText xml:space="preserve"> ADDIN ZOTERO_ITEM CSL_CITATION {"citationID":"YQ6AUtSF","properties":{"formattedCitation":"[18]","plainCitation":"[18]","noteIndex":0},"citationItems":[{"id":437,"uris":["http://zotero.org/users/9663344/items/6QKYAFY5"],"itemData":{"id":437,"type":"webpage","container-title":"UK Health Security Agency","language":"en","title":"GRASP report: data to September 2025","title-short":"GRASP report","URL":"https://www.gov.uk/government/publications/gonococcal-resistance-to-antimicrobials-surveillance-programme-grasp-report/grasp-report-data-to-september-2025","accessed":{"date-parts":[["2025",11,20]]}}}],"schema":"https://github.com/citation-style-language/schema/raw/master/csl-citation.json"} </w:instrText>
      </w:r>
      <w:r>
        <w:rPr>
          <w:rFonts w:ascii="Times New Roman" w:hAnsi="Times New Roman" w:cs="Times New Roman"/>
          <w:sz w:val="20"/>
          <w:szCs w:val="20"/>
        </w:rPr>
        <w:fldChar w:fldCharType="separate"/>
      </w:r>
      <w:r w:rsidR="00F729B0">
        <w:rPr>
          <w:rFonts w:ascii="Times New Roman" w:hAnsi="Times New Roman" w:cs="Times New Roman"/>
          <w:noProof/>
          <w:sz w:val="20"/>
          <w:szCs w:val="20"/>
        </w:rPr>
        <w:t>[18]</w:t>
      </w:r>
      <w:r>
        <w:rPr>
          <w:rFonts w:ascii="Times New Roman" w:hAnsi="Times New Roman" w:cs="Times New Roman"/>
          <w:sz w:val="20"/>
          <w:szCs w:val="20"/>
        </w:rPr>
        <w:fldChar w:fldCharType="end"/>
      </w:r>
      <w:r w:rsidRPr="0053170E">
        <w:rPr>
          <w:rFonts w:ascii="Times New Roman" w:hAnsi="Times New Roman" w:cs="Times New Roman"/>
          <w:sz w:val="20"/>
          <w:szCs w:val="20"/>
        </w:rPr>
        <w:t>. The vaccine is recommended primarily for gay, bisexual, and other men who have sex with men (GBMSM) who are at elevated risk</w:t>
      </w:r>
      <w:r>
        <w:rPr>
          <w:rFonts w:ascii="Times New Roman" w:hAnsi="Times New Roman" w:cs="Times New Roman"/>
          <w:sz w:val="20"/>
          <w:szCs w:val="20"/>
        </w:rPr>
        <w:t xml:space="preserve"> - </w:t>
      </w:r>
      <w:r w:rsidRPr="0053170E">
        <w:rPr>
          <w:rFonts w:ascii="Times New Roman" w:hAnsi="Times New Roman" w:cs="Times New Roman"/>
          <w:sz w:val="20"/>
          <w:szCs w:val="20"/>
        </w:rPr>
        <w:t>specifically, individuals with a bacterial STI in the past year or those reporting five or more sexual partners within the previous three months.</w:t>
      </w:r>
    </w:p>
    <w:p w14:paraId="3CF9654F" w14:textId="3BA5D178" w:rsidR="00373D9B" w:rsidRPr="002D7CDC" w:rsidRDefault="00373D9B" w:rsidP="00373D9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gonorrhoea tests and </w:t>
      </w:r>
      <w:r w:rsidRPr="002D7CDC">
        <w:rPr>
          <w:rFonts w:ascii="Times New Roman" w:hAnsi="Times New Roman" w:cs="Times New Roman"/>
          <w:color w:val="000000"/>
          <w:sz w:val="20"/>
          <w:szCs w:val="20"/>
          <w:lang w:val="en-GB"/>
        </w:rPr>
        <w:t>diagnoses</w:t>
      </w:r>
      <w:r w:rsidR="00BF327B">
        <w:rPr>
          <w:rFonts w:ascii="Times New Roman" w:hAnsi="Times New Roman" w:cs="Times New Roman"/>
          <w:color w:val="000000"/>
          <w:sz w:val="20"/>
          <w:szCs w:val="20"/>
          <w:lang w:val="en-GB"/>
        </w:rPr>
        <w:t xml:space="preserve"> in the GUMCAD sample</w:t>
      </w:r>
      <w:r>
        <w:rPr>
          <w:rFonts w:ascii="Times New Roman" w:hAnsi="Times New Roman" w:cs="Times New Roman"/>
          <w:color w:val="000000"/>
          <w:sz w:val="20"/>
          <w:szCs w:val="20"/>
          <w:lang w:val="en-GB"/>
        </w:rPr>
        <w:t>,</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2D7CDC">
        <w:rPr>
          <w:rFonts w:ascii="Times New Roman" w:hAnsi="Times New Roman" w:cs="Times New Roman"/>
          <w:color w:val="000000"/>
          <w:sz w:val="20"/>
          <w:szCs w:val="20"/>
          <w:lang w:val="en-GB"/>
        </w:rPr>
        <w:t xml:space="preserve"> using Negative-Binomial likelihoods to allow for over-dispersion in the observation process relative to a Poisson distribution.</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NegBinom(</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mean </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and shape parameter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6B06941" w14:textId="708657CA" w:rsidR="00373D9B" w:rsidRPr="002D7CDC" w:rsidRDefault="00373D9B" w:rsidP="00373D9B">
      <w:pPr>
        <w:pStyle w:val="ListParagraph"/>
        <w:spacing w:line="276" w:lineRule="auto"/>
        <w:jc w:val="both"/>
        <w:rPr>
          <w:rFonts w:ascii="Times New Roman" w:hAnsi="Times New Roman" w:cs="Times New Roman"/>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X</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x</m:t>
                  </m:r>
                </m:e>
                <m:e>
                  <m:r>
                    <w:rPr>
                      <w:rFonts w:ascii="Cambria Math" w:hAnsi="Cambria Math" w:cs="Times New Roman"/>
                      <w:color w:val="0D0D0D"/>
                      <w:sz w:val="20"/>
                      <w:szCs w:val="20"/>
                      <w:shd w:val="clear" w:color="auto" w:fill="FFFFFF"/>
                      <w:lang w:val="en-US"/>
                    </w:rPr>
                    <m:t>m,κ</m:t>
                  </m:r>
                </m:e>
              </m:d>
              <m:r>
                <w:rPr>
                  <w:rFonts w:ascii="Cambria Math" w:hAnsi="Cambria Math" w:cs="Times New Roman"/>
                  <w:color w:val="0D0D0D"/>
                  <w:sz w:val="20"/>
                  <w:szCs w:val="20"/>
                  <w:shd w:val="clear" w:color="auto" w:fill="FFFFFF"/>
                  <w:lang w:val="en-US"/>
                </w:rPr>
                <m:t>=</m:t>
              </m:r>
              <m:f>
                <m:fPr>
                  <m:ctrlPr>
                    <w:rPr>
                      <w:rFonts w:ascii="Cambria Math" w:hAnsi="Cambria Math" w:cs="Times New Roman"/>
                      <w:i/>
                      <w:color w:val="0D0D0D"/>
                      <w:sz w:val="20"/>
                      <w:szCs w:val="20"/>
                      <w:shd w:val="clear" w:color="auto" w:fill="FFFFFF"/>
                      <w:lang w:val="en-US"/>
                    </w:rPr>
                  </m:ctrlPr>
                </m:fPr>
                <m:num>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κ+x</m:t>
                      </m:r>
                    </m:e>
                  </m:d>
                </m:num>
                <m:den>
                  <m:r>
                    <w:rPr>
                      <w:rFonts w:ascii="Cambria Math" w:hAnsi="Cambria Math" w:cs="Times New Roman"/>
                      <w:color w:val="0D0D0D"/>
                      <w:sz w:val="20"/>
                      <w:szCs w:val="20"/>
                      <w:shd w:val="clear" w:color="auto" w:fill="FFFFFF"/>
                      <w:lang w:val="en-US"/>
                    </w:rPr>
                    <m:t>x!</m:t>
                  </m:r>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κ</m:t>
                      </m:r>
                    </m:e>
                  </m:d>
                </m:den>
              </m:f>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κ</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κ</m:t>
                  </m:r>
                </m:sup>
              </m:sSup>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m</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x</m:t>
                  </m:r>
                </m:sup>
              </m:sSup>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m:t>
                  </m:r>
                </m:e>
              </m:d>
            </m:e>
          </m:eqArr>
        </m:oMath>
      </m:oMathPara>
    </w:p>
    <w:p w14:paraId="78C2CF7B" w14:textId="42CCFCEF"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lastRenderedPageBreak/>
        <w:t xml:space="preserve">where the shape parameter characterises the level of clustering or heterogeneity in the observation process, and </w:t>
      </w:r>
      <m:oMath>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m:t>
            </m:r>
          </m:e>
        </m:d>
      </m:oMath>
      <w:r w:rsidRPr="002D7CDC">
        <w:rPr>
          <w:rFonts w:ascii="Times New Roman" w:hAnsi="Times New Roman" w:cs="Times New Roman"/>
          <w:sz w:val="20"/>
          <w:szCs w:val="20"/>
        </w:rPr>
        <w:t xml:space="preserve"> is the Gamma function. Under the </w:t>
      </w:r>
      <w:r w:rsidR="000B2196">
        <w:rPr>
          <w:rFonts w:ascii="Times New Roman" w:hAnsi="Times New Roman" w:cs="Times New Roman"/>
          <w:sz w:val="20"/>
          <w:szCs w:val="20"/>
        </w:rPr>
        <w:t>N</w:t>
      </w:r>
      <w:r w:rsidRPr="002D7CDC">
        <w:rPr>
          <w:rFonts w:ascii="Times New Roman" w:hAnsi="Times New Roman" w:cs="Times New Roman"/>
          <w:sz w:val="20"/>
          <w:szCs w:val="20"/>
        </w:rPr>
        <w:t>egative</w:t>
      </w:r>
      <w:r w:rsidR="000B2196">
        <w:rPr>
          <w:rFonts w:ascii="Times New Roman" w:hAnsi="Times New Roman" w:cs="Times New Roman"/>
          <w:sz w:val="20"/>
          <w:szCs w:val="20"/>
        </w:rPr>
        <w:t>-B</w:t>
      </w:r>
      <w:r w:rsidRPr="002D7CDC">
        <w:rPr>
          <w:rFonts w:ascii="Times New Roman" w:hAnsi="Times New Roman" w:cs="Times New Roman"/>
          <w:sz w:val="20"/>
          <w:szCs w:val="20"/>
        </w:rPr>
        <w:t>inomial distribution</w:t>
      </w:r>
      <w:r w:rsidR="000B2196">
        <w:rPr>
          <w:rFonts w:ascii="Times New Roman" w:hAnsi="Times New Roman" w:cs="Times New Roman"/>
          <w:sz w:val="20"/>
          <w:szCs w:val="20"/>
        </w:rPr>
        <w:t>,</w:t>
      </w:r>
      <w:r w:rsidRPr="002D7CDC">
        <w:rPr>
          <w:rFonts w:ascii="Times New Roman" w:hAnsi="Times New Roman" w:cs="Times New Roman"/>
          <w:sz w:val="20"/>
          <w:szCs w:val="20"/>
        </w:rPr>
        <w:t xml:space="preserve"> </w:t>
      </w:r>
      <w:r w:rsidR="000B2196">
        <w:rPr>
          <w:rFonts w:ascii="Times New Roman" w:hAnsi="Times New Roman" w:cs="Times New Roman"/>
          <w:color w:val="0D0D0D"/>
          <w:sz w:val="20"/>
          <w:szCs w:val="20"/>
          <w:shd w:val="clear" w:color="auto" w:fill="FFFFFF"/>
        </w:rPr>
        <w:t xml:space="preserve">the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w:t>
      </w:r>
      <w:r w:rsidR="000B2196">
        <w:rPr>
          <w:rFonts w:ascii="Times New Roman" w:hAnsi="Times New Roman" w:cs="Times New Roman"/>
          <w:color w:val="0D0D0D"/>
          <w:sz w:val="20"/>
          <w:szCs w:val="20"/>
          <w:shd w:val="clear" w:color="auto" w:fill="FFFFFF"/>
        </w:rPr>
        <w:t xml:space="preserve">is </w:t>
      </w:r>
      <m:oMath>
        <m:r>
          <w:rPr>
            <w:rFonts w:ascii="Cambria Math" w:hAnsi="Cambria Math" w:cs="Times New Roman"/>
            <w:sz w:val="20"/>
            <w:szCs w:val="20"/>
          </w:rPr>
          <m:t>Var</m:t>
        </m:r>
        <m:d>
          <m:dPr>
            <m:begChr m:val="["/>
            <m:endChr m:val="]"/>
            <m:ctrlPr>
              <w:rPr>
                <w:rFonts w:ascii="Cambria Math" w:hAnsi="Cambria Math" w:cs="Times New Roman"/>
                <w:i/>
                <w:sz w:val="20"/>
                <w:szCs w:val="20"/>
              </w:rPr>
            </m:ctrlPr>
          </m:dPr>
          <m:e>
            <m:r>
              <w:rPr>
                <w:rFonts w:ascii="Cambria Math" w:hAnsi="Cambria Math" w:cs="Times New Roman"/>
                <w:sz w:val="20"/>
                <w:szCs w:val="20"/>
              </w:rPr>
              <m:t>X</m:t>
            </m:r>
          </m:e>
        </m:d>
        <m:r>
          <w:rPr>
            <w:rFonts w:ascii="Cambria Math" w:hAnsi="Cambria Math" w:cs="Times New Roman"/>
            <w:sz w:val="20"/>
            <w:szCs w:val="20"/>
          </w:rPr>
          <m:t>=m+</m:t>
        </m:r>
        <m:sSup>
          <m:sSupPr>
            <m:ctrlPr>
              <w:rPr>
                <w:rFonts w:ascii="Cambria Math" w:hAnsi="Cambria Math" w:cs="Times New Roman"/>
                <w:i/>
                <w:sz w:val="20"/>
                <w:szCs w:val="20"/>
              </w:rPr>
            </m:ctrlPr>
          </m:sSupPr>
          <m:e>
            <m:r>
              <w:rPr>
                <w:rFonts w:ascii="Cambria Math" w:hAnsi="Cambria Math" w:cs="Times New Roman"/>
                <w:sz w:val="20"/>
                <w:szCs w:val="20"/>
              </w:rPr>
              <m:t>m</m:t>
            </m:r>
          </m:e>
          <m:sup>
            <m:r>
              <w:rPr>
                <w:rFonts w:ascii="Cambria Math" w:hAnsi="Cambria Math" w:cs="Times New Roman"/>
                <w:sz w:val="20"/>
                <w:szCs w:val="20"/>
              </w:rPr>
              <m:t>2</m:t>
            </m:r>
          </m:sup>
        </m:sSup>
        <m:r>
          <m:rPr>
            <m:lit/>
          </m:rPr>
          <w:rPr>
            <w:rFonts w:ascii="Cambria Math" w:hAnsi="Cambria Math" w:cs="Times New Roman"/>
            <w:sz w:val="20"/>
            <w:szCs w:val="20"/>
          </w:rPr>
          <m:t>/</m:t>
        </m:r>
        <m:r>
          <w:rPr>
            <w:rFonts w:ascii="Cambria Math" w:hAnsi="Cambria Math" w:cs="Times New Roman"/>
            <w:sz w:val="20"/>
            <w:szCs w:val="20"/>
          </w:rPr>
          <m:t>k</m:t>
        </m:r>
      </m:oMath>
      <w:r w:rsidRPr="002D7CDC">
        <w:rPr>
          <w:rFonts w:ascii="Times New Roman" w:hAnsi="Times New Roman" w:cs="Times New Roman"/>
          <w:sz w:val="20"/>
          <w:szCs w:val="20"/>
        </w:rPr>
        <w:t>.</w:t>
      </w:r>
    </w:p>
    <w:p w14:paraId="649E9EF6" w14:textId="7FD9DC5E"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likelihoods of </w:t>
      </w:r>
      <m:oMath>
        <m:sSub>
          <m:sSubPr>
            <m:ctrlPr>
              <w:rPr>
                <w:rFonts w:ascii="Cambria Math" w:hAnsi="Cambria Math" w:cs="Times New Roman"/>
                <w:i/>
                <w:sz w:val="20"/>
                <w:szCs w:val="20"/>
              </w:rPr>
            </m:ctrlPr>
          </m:sSubPr>
          <m:e>
            <m:r>
              <w:rPr>
                <w:rFonts w:ascii="Cambria Math" w:hAnsi="Cambria Math" w:cs="Times New Roman"/>
                <w:sz w:val="20"/>
                <w:szCs w:val="20"/>
              </w:rPr>
              <m:t>Z</m:t>
            </m:r>
          </m:e>
          <m:sub>
            <m:r>
              <w:rPr>
                <w:rFonts w:ascii="Cambria Math" w:hAnsi="Cambria Math" w:cs="Times New Roman"/>
                <w:sz w:val="20"/>
                <w:szCs w:val="20"/>
              </w:rPr>
              <m:t>T</m:t>
            </m:r>
          </m:sub>
        </m:sSub>
        <m:d>
          <m:dPr>
            <m:ctrlPr>
              <w:rPr>
                <w:rFonts w:ascii="Cambria Math" w:hAnsi="Cambria Math" w:cs="Times New Roman"/>
                <w:i/>
                <w:sz w:val="20"/>
                <w:szCs w:val="20"/>
              </w:rPr>
            </m:ctrlPr>
          </m:dPr>
          <m:e>
            <m:r>
              <w:rPr>
                <w:rFonts w:ascii="Cambria Math" w:hAnsi="Cambria Math" w:cs="Times New Roman"/>
                <w:sz w:val="20"/>
                <w:szCs w:val="20"/>
              </w:rPr>
              <m:t>t</m:t>
            </m:r>
          </m:e>
        </m:d>
      </m:oMath>
      <w:r w:rsidR="00A26C1F">
        <w:rPr>
          <w:rFonts w:ascii="Times New Roman" w:hAnsi="Times New Roman" w:cs="Times New Roman"/>
          <w:sz w:val="20"/>
          <w:szCs w:val="20"/>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for each strain (i.e.,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w:r w:rsidR="00A26C1F">
        <w:rPr>
          <w:rFonts w:ascii="Times New Roman" w:hAnsi="Times New Roman" w:cs="Times New Roman"/>
          <w:sz w:val="20"/>
          <w:szCs w:val="20"/>
        </w:rPr>
        <w:t>are</w:t>
      </w:r>
      <w:r w:rsidRPr="002D7CDC">
        <w:rPr>
          <w:rFonts w:ascii="Times New Roman" w:hAnsi="Times New Roman" w:cs="Times New Roman"/>
          <w:sz w:val="20"/>
          <w:szCs w:val="20"/>
        </w:rPr>
        <w:t>:</w:t>
      </w:r>
    </w:p>
    <w:p w14:paraId="3445382E" w14:textId="5C3845F4" w:rsidR="00373D9B" w:rsidRPr="003C1DA1" w:rsidRDefault="00373D9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#(2)</m:t>
                  </m:r>
                </m:e>
              </m:eqArr>
              <m:r>
                <w:rPr>
                  <w:rFonts w:ascii="Cambria Math" w:hAnsi="Cambria Math" w:cs="Times New Roman"/>
                  <w:color w:val="0D0D0D"/>
                  <w:sz w:val="20"/>
                  <w:szCs w:val="20"/>
                  <w:shd w:val="clear" w:color="auto" w:fill="FFFFFF"/>
                  <w:lang w:val="en-US"/>
                </w:rPr>
                <m:t>#</m:t>
              </m:r>
            </m:e>
          </m:eqArr>
        </m:oMath>
      </m:oMathPara>
    </w:p>
    <w:p w14:paraId="7B8989CA" w14:textId="38648286"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3</m:t>
                  </m:r>
                </m:e>
              </m:d>
            </m:e>
          </m:eqArr>
        </m:oMath>
      </m:oMathPara>
    </w:p>
    <w:p w14:paraId="5B283957" w14:textId="5FD70B4D"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4</m:t>
                  </m:r>
                </m:e>
              </m:d>
            </m:e>
          </m:eqArr>
        </m:oMath>
      </m:oMathPara>
    </w:p>
    <w:p w14:paraId="23FC7EDA" w14:textId="235981E0"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5</m:t>
                  </m:r>
                </m:e>
              </m:d>
            </m:e>
          </m:eqArr>
        </m:oMath>
      </m:oMathPara>
    </w:p>
    <w:p w14:paraId="0FADA385" w14:textId="3117E3B9"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6</m:t>
                  </m:r>
                </m:e>
              </m:d>
            </m:e>
          </m:eqArr>
        </m:oMath>
      </m:oMathPara>
    </w:p>
    <w:p w14:paraId="17BE8868" w14:textId="38B220DE" w:rsidR="00666618" w:rsidRPr="002D7CDC"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where</w:t>
      </w:r>
      <w:r w:rsidRPr="002D7CDC">
        <w:rPr>
          <w:rFonts w:ascii="Times New Roman" w:hAnsi="Times New Roman" w:cs="Times New Roman"/>
          <w:color w:val="0D0D0D"/>
          <w:sz w:val="20"/>
          <w:szCs w:val="20"/>
          <w:shd w:val="clear" w:color="auto" w:fill="FFFFFF"/>
          <w:lang w:val="en-US"/>
        </w:rPr>
        <w:br/>
      </w: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eqArr>
                            <m:eqArrPr>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e>
                            <m:e>
                              <m:r>
                                <w:rPr>
                                  <w:rFonts w:ascii="Cambria Math" w:hAnsi="Cambria Math" w:cs="Times New Roman"/>
                                  <w:color w:val="0D0D0D"/>
                                  <w:sz w:val="20"/>
                                  <w:szCs w:val="20"/>
                                  <w:shd w:val="clear" w:color="auto" w:fill="FFFFFF"/>
                                  <w:lang w:val="en-US"/>
                                </w:rPr>
                                <m:t>+</m:t>
                              </m:r>
                              <m:r>
                                <w:rPr>
                                  <w:rFonts w:ascii="Cambria Math" w:hAnsi="Cambria Math" w:cs="Times New Roman"/>
                                  <w:color w:val="0D0D0D"/>
                                  <w:sz w:val="20"/>
                                  <w:szCs w:val="20"/>
                                  <w:shd w:val="clear" w:color="auto" w:fill="FFFFFF"/>
                                  <w:lang w:val="en-US"/>
                                </w:rPr>
                                <m:t xml:space="preserve"> </m:t>
                              </m:r>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eqAr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m:t>
                  </m:r>
                </m:e>
              </m:d>
            </m:e>
          </m:eqArr>
          <m: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8</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9</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10</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11</m:t>
                  </m:r>
                </m:e>
              </m:d>
            </m:e>
          </m:eqArr>
        </m:oMath>
      </m:oMathPara>
    </w:p>
    <w:p w14:paraId="4D388520" w14:textId="4510C1B9" w:rsidR="00373D9B"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 xml:space="preserve">with </w:t>
      </w:r>
      <m:oMath>
        <m:r>
          <w:rPr>
            <w:rFonts w:ascii="Cambria Math" w:hAnsi="Cambria Math" w:cs="Times New Roman"/>
            <w:color w:val="0D0D0D"/>
            <w:sz w:val="20"/>
            <w:szCs w:val="20"/>
            <w:shd w:val="clear" w:color="auto" w:fill="FFFFFF"/>
            <w:lang w:val="en-US"/>
          </w:rPr>
          <m:t>τ</m:t>
        </m:r>
      </m:oMath>
      <w:r w:rsidRPr="002D7CDC">
        <w:rPr>
          <w:rFonts w:ascii="Times New Roman" w:hAnsi="Times New Roman" w:cs="Times New Roman"/>
          <w:color w:val="0D0D0D"/>
          <w:sz w:val="20"/>
          <w:szCs w:val="20"/>
          <w:shd w:val="clear" w:color="auto" w:fill="FFFFFF"/>
          <w:lang w:val="en-US"/>
        </w:rPr>
        <w:t xml:space="preserve"> denotes the time variable of integration</w:t>
      </w:r>
      <w:r>
        <w:rPr>
          <w:rFonts w:ascii="Times New Roman" w:hAnsi="Times New Roman" w:cs="Times New Roman"/>
          <w:color w:val="0D0D0D"/>
          <w:sz w:val="20"/>
          <w:szCs w:val="20"/>
          <w:shd w:val="clear" w:color="auto" w:fill="FFFFFF"/>
          <w:lang w:val="en-US"/>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oMath>
      <w:r>
        <w:rPr>
          <w:rFonts w:ascii="Times New Roman" w:hAnsi="Times New Roman" w:cs="Times New Roman"/>
          <w:color w:val="0D0D0D"/>
          <w:sz w:val="20"/>
          <w:szCs w:val="20"/>
          <w:shd w:val="clear" w:color="auto" w:fill="FFFFFF"/>
          <w:lang w:val="en-US"/>
        </w:rPr>
        <w:t xml:space="preserve"> den</w:t>
      </w:r>
      <w:proofErr w:type="spellStart"/>
      <w:r>
        <w:rPr>
          <w:rFonts w:ascii="Times New Roman" w:hAnsi="Times New Roman" w:cs="Times New Roman"/>
          <w:color w:val="0D0D0D"/>
          <w:sz w:val="20"/>
          <w:szCs w:val="20"/>
          <w:shd w:val="clear" w:color="auto" w:fill="FFFFFF"/>
          <w:lang w:val="en-US"/>
        </w:rPr>
        <w:t>otes</w:t>
      </w:r>
      <w:proofErr w:type="spellEnd"/>
      <w:r>
        <w:rPr>
          <w:rFonts w:ascii="Times New Roman" w:hAnsi="Times New Roman" w:cs="Times New Roman"/>
          <w:color w:val="0D0D0D"/>
          <w:sz w:val="20"/>
          <w:szCs w:val="20"/>
          <w:shd w:val="clear" w:color="auto" w:fill="FFFFFF"/>
          <w:lang w:val="en-US"/>
        </w:rPr>
        <w:t xml:space="preserve"> the </w:t>
      </w:r>
      <w:r w:rsidR="00BF327B">
        <w:rPr>
          <w:rFonts w:ascii="Times New Roman" w:hAnsi="Times New Roman" w:cs="Times New Roman"/>
          <w:color w:val="0D0D0D"/>
          <w:sz w:val="20"/>
          <w:szCs w:val="20"/>
          <w:shd w:val="clear" w:color="auto" w:fill="FFFFFF"/>
          <w:lang w:val="en-US"/>
        </w:rPr>
        <w:t xml:space="preserve">shared </w:t>
      </w:r>
      <w:r>
        <w:rPr>
          <w:rFonts w:ascii="Times New Roman" w:hAnsi="Times New Roman" w:cs="Times New Roman"/>
          <w:color w:val="0D0D0D"/>
          <w:sz w:val="20"/>
          <w:szCs w:val="20"/>
          <w:shd w:val="clear" w:color="auto" w:fill="FFFFFF"/>
          <w:lang w:val="en-US"/>
        </w:rPr>
        <w:t>shape parameter</w:t>
      </w:r>
      <w:r w:rsidR="00BF327B">
        <w:rPr>
          <w:rFonts w:ascii="Times New Roman" w:hAnsi="Times New Roman" w:cs="Times New Roman"/>
          <w:color w:val="0D0D0D"/>
          <w:sz w:val="20"/>
          <w:szCs w:val="20"/>
          <w:shd w:val="clear" w:color="auto" w:fill="FFFFFF"/>
          <w:lang w:val="en-US"/>
        </w:rPr>
        <w:t xml:space="preserve"> for GUMCAD data streams</w:t>
      </w:r>
      <w:r w:rsidRPr="002D7CDC">
        <w:rPr>
          <w:rFonts w:ascii="Times New Roman" w:hAnsi="Times New Roman" w:cs="Times New Roman"/>
          <w:color w:val="0D0D0D"/>
          <w:sz w:val="20"/>
          <w:szCs w:val="20"/>
          <w:shd w:val="clear" w:color="auto" w:fill="FFFFFF"/>
          <w:lang w:val="en-US"/>
        </w:rPr>
        <w:t>.</w:t>
      </w:r>
    </w:p>
    <w:p w14:paraId="51FC9C33" w14:textId="79DB654E" w:rsidR="003C1F45" w:rsidRPr="002D7CDC" w:rsidRDefault="003C1F45" w:rsidP="003C1F4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symptomatic </w:t>
      </w:r>
      <w:r>
        <w:rPr>
          <w:rFonts w:ascii="Times New Roman" w:hAnsi="Times New Roman" w:cs="Times New Roman"/>
          <w:color w:val="000000"/>
          <w:sz w:val="20"/>
          <w:szCs w:val="20"/>
          <w:lang w:val="en-GB"/>
        </w:rPr>
        <w:t xml:space="preserve">gonorrhoea </w:t>
      </w:r>
      <w:r w:rsidRPr="002D7CDC">
        <w:rPr>
          <w:rFonts w:ascii="Times New Roman" w:hAnsi="Times New Roman" w:cs="Times New Roman"/>
          <w:color w:val="000000"/>
          <w:sz w:val="20"/>
          <w:szCs w:val="20"/>
          <w:lang w:val="en-GB"/>
        </w:rPr>
        <w:t>diagnoses</w:t>
      </w:r>
      <w:r>
        <w:rPr>
          <w:rFonts w:ascii="Times New Roman" w:hAnsi="Times New Roman" w:cs="Times New Roman"/>
          <w:color w:val="000000"/>
          <w:sz w:val="20"/>
          <w:szCs w:val="20"/>
          <w:lang w:val="en-GB"/>
        </w:rPr>
        <w:t xml:space="preserve"> in the </w:t>
      </w:r>
      <w:r>
        <w:rPr>
          <w:rFonts w:ascii="Times New Roman" w:hAnsi="Times New Roman" w:cs="Times New Roman"/>
          <w:color w:val="000000"/>
          <w:sz w:val="20"/>
          <w:szCs w:val="20"/>
          <w:lang w:val="en-GB"/>
        </w:rPr>
        <w:t>GRASP</w:t>
      </w:r>
      <w:r>
        <w:rPr>
          <w:rFonts w:ascii="Times New Roman" w:hAnsi="Times New Roman" w:cs="Times New Roman"/>
          <w:color w:val="000000"/>
          <w:sz w:val="20"/>
          <w:szCs w:val="20"/>
          <w:lang w:val="en-GB"/>
        </w:rPr>
        <w:t xml:space="preserve"> sample,</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 xml:space="preserve">using </w:t>
      </w:r>
      <w:r w:rsidR="0079342B">
        <w:rPr>
          <w:rFonts w:ascii="Times New Roman" w:hAnsi="Times New Roman" w:cs="Times New Roman"/>
          <w:color w:val="000000"/>
          <w:sz w:val="20"/>
          <w:szCs w:val="20"/>
          <w:lang w:val="en-GB"/>
        </w:rPr>
        <w:t>a Beta</w:t>
      </w:r>
      <w:r w:rsidRPr="002D7CDC">
        <w:rPr>
          <w:rFonts w:ascii="Times New Roman" w:hAnsi="Times New Roman" w:cs="Times New Roman"/>
          <w:color w:val="000000"/>
          <w:sz w:val="20"/>
          <w:szCs w:val="20"/>
          <w:lang w:val="en-GB"/>
        </w:rPr>
        <w:t xml:space="preserve">-Binomial </w:t>
      </w:r>
      <w:r w:rsidR="0079342B">
        <w:rPr>
          <w:rFonts w:ascii="Times New Roman" w:hAnsi="Times New Roman" w:cs="Times New Roman"/>
          <w:color w:val="000000"/>
          <w:sz w:val="20"/>
          <w:szCs w:val="20"/>
          <w:lang w:val="en-GB"/>
        </w:rPr>
        <w:t>likelihood</w:t>
      </w:r>
      <w:r w:rsidRPr="002D7CDC">
        <w:rPr>
          <w:rFonts w:ascii="Times New Roman" w:hAnsi="Times New Roman" w:cs="Times New Roman"/>
          <w:color w:val="000000"/>
          <w:sz w:val="20"/>
          <w:szCs w:val="20"/>
          <w:lang w:val="en-GB"/>
        </w:rPr>
        <w:t>.</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w:t>
      </w:r>
      <w:r w:rsidR="0079342B">
        <w:rPr>
          <w:rFonts w:ascii="Times New Roman" w:hAnsi="Times New Roman" w:cs="Times New Roman"/>
          <w:sz w:val="20"/>
          <w:szCs w:val="20"/>
        </w:rPr>
        <w:t>Beta</w:t>
      </w:r>
      <w:r w:rsidRPr="002D7CDC">
        <w:rPr>
          <w:rFonts w:ascii="Times New Roman" w:hAnsi="Times New Roman" w:cs="Times New Roman"/>
          <w:sz w:val="20"/>
          <w:szCs w:val="20"/>
        </w:rPr>
        <w:t>Binom(</w:t>
      </w:r>
      <m:oMath>
        <m:r>
          <w:rPr>
            <w:rFonts w:ascii="Cambria Math" w:hAnsi="Cambria Math" w:cs="Times New Roman"/>
            <w:sz w:val="20"/>
            <w:szCs w:val="20"/>
          </w:rPr>
          <m:t>n</m:t>
        </m:r>
      </m:oMath>
      <w:r w:rsidRPr="002D7CDC">
        <w:rPr>
          <w:rFonts w:ascii="Times New Roman" w:hAnsi="Times New Roman" w:cs="Times New Roman"/>
          <w:sz w:val="20"/>
          <w:szCs w:val="20"/>
        </w:rPr>
        <w:t>,</w:t>
      </w:r>
      <w:r w:rsidR="0079342B" w:rsidRPr="0079342B">
        <w:rPr>
          <w:rFonts w:ascii="Cambria Math" w:hAnsi="Cambria Math" w:cs="Times New Roman"/>
          <w:i/>
          <w:sz w:val="20"/>
          <w:szCs w:val="20"/>
        </w:rPr>
        <w:t xml:space="preserve"> </w:t>
      </w:r>
      <m:oMath>
        <m:r>
          <w:rPr>
            <w:rFonts w:ascii="Cambria Math" w:hAnsi="Cambria Math" w:cs="Times New Roman"/>
            <w:sz w:val="20"/>
            <w:szCs w:val="20"/>
          </w:rPr>
          <m:t>p</m:t>
        </m:r>
      </m:oMath>
      <w:r w:rsidR="0079342B">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w:t>
      </w:r>
      <w:r w:rsidR="0079342B">
        <w:rPr>
          <w:rFonts w:ascii="Times New Roman" w:hAnsi="Times New Roman" w:cs="Times New Roman"/>
          <w:sz w:val="20"/>
          <w:szCs w:val="20"/>
        </w:rPr>
        <w:t xml:space="preserve">size </w:t>
      </w:r>
      <m:oMath>
        <m:r>
          <w:rPr>
            <w:rFonts w:ascii="Cambria Math" w:hAnsi="Cambria Math" w:cs="Times New Roman"/>
            <w:sz w:val="20"/>
            <w:szCs w:val="20"/>
          </w:rPr>
          <m:t>n</m:t>
        </m:r>
      </m:oMath>
      <w:r w:rsidR="0079342B">
        <w:rPr>
          <w:rFonts w:ascii="Times New Roman" w:hAnsi="Times New Roman" w:cs="Times New Roman"/>
          <w:sz w:val="20"/>
          <w:szCs w:val="20"/>
        </w:rPr>
        <w:t xml:space="preserve">, probability </w:t>
      </w:r>
      <m:oMath>
        <m:r>
          <w:rPr>
            <w:rFonts w:ascii="Cambria Math" w:hAnsi="Cambria Math" w:cs="Times New Roman"/>
            <w:sz w:val="20"/>
            <w:szCs w:val="20"/>
          </w:rPr>
          <m:t>p</m:t>
        </m:r>
      </m:oMath>
      <w:r w:rsidR="0079342B" w:rsidRPr="002D7CDC">
        <w:rPr>
          <w:rFonts w:ascii="Times New Roman" w:hAnsi="Times New Roman" w:cs="Times New Roman"/>
          <w:sz w:val="20"/>
          <w:szCs w:val="20"/>
        </w:rPr>
        <w:t xml:space="preserve"> </w:t>
      </w:r>
      <w:r w:rsidRPr="002D7CDC">
        <w:rPr>
          <w:rFonts w:ascii="Times New Roman" w:hAnsi="Times New Roman" w:cs="Times New Roman"/>
          <w:sz w:val="20"/>
          <w:szCs w:val="20"/>
        </w:rPr>
        <w:t xml:space="preserve">and </w:t>
      </w:r>
      <w:r w:rsidR="0079342B">
        <w:rPr>
          <w:rFonts w:ascii="Times New Roman" w:hAnsi="Times New Roman" w:cs="Times New Roman"/>
          <w:sz w:val="20"/>
          <w:szCs w:val="20"/>
        </w:rPr>
        <w:t>over-dispersion</w:t>
      </w:r>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9884553" w14:textId="468B5D64" w:rsidR="003C1F45" w:rsidRPr="000B2196" w:rsidRDefault="00F63B65"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f</m:t>
                  </m:r>
                </m:e>
                <m:sub>
                  <m:r>
                    <w:rPr>
                      <w:rFonts w:ascii="Cambria Math" w:hAnsi="Cambria Math" w:cs="Times New Roman"/>
                      <w:color w:val="0D0D0D"/>
                      <w:sz w:val="20"/>
                      <w:szCs w:val="20"/>
                      <w:shd w:val="clear" w:color="auto" w:fill="FFFFFF"/>
                    </w:rPr>
                    <m:t>x</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e>
                  <m:r>
                    <w:rPr>
                      <w:rFonts w:ascii="Cambria Math" w:hAnsi="Cambria Math" w:cs="Times New Roman"/>
                      <w:color w:val="0D0D0D"/>
                      <w:sz w:val="20"/>
                      <w:szCs w:val="20"/>
                      <w:shd w:val="clear" w:color="auto" w:fill="FFFFFF"/>
                    </w:rPr>
                    <m:t>n,p,</m:t>
                  </m:r>
                  <m:r>
                    <m:rPr>
                      <m:sty m:val="p"/>
                    </m:rPr>
                    <w:rPr>
                      <w:rFonts w:ascii="Cambria Math" w:hAnsi="Cambria Math" w:cs="Times New Roman"/>
                      <w:color w:val="0D0D0D"/>
                      <w:sz w:val="20"/>
                      <w:szCs w:val="20"/>
                      <w:shd w:val="clear" w:color="auto" w:fill="FFFFFF"/>
                    </w:rPr>
                    <m:t>κ</m:t>
                  </m:r>
                </m:e>
              </m:d>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f>
                    <m:fPr>
                      <m:type m:val="noBar"/>
                      <m:ctrlPr>
                        <w:rPr>
                          <w:rFonts w:ascii="Cambria Math" w:hAnsi="Cambria Math" w:cs="Times New Roman"/>
                          <w:i/>
                          <w:color w:val="0D0D0D"/>
                          <w:sz w:val="20"/>
                          <w:szCs w:val="20"/>
                          <w:shd w:val="clear" w:color="auto" w:fill="FFFFFF"/>
                        </w:rPr>
                      </m:ctrlPr>
                    </m:fPr>
                    <m:num>
                      <m:r>
                        <w:rPr>
                          <w:rFonts w:ascii="Cambria Math" w:hAnsi="Cambria Math" w:cs="Times New Roman"/>
                          <w:color w:val="0D0D0D"/>
                          <w:sz w:val="20"/>
                          <w:szCs w:val="20"/>
                          <w:shd w:val="clear" w:color="auto" w:fill="FFFFFF"/>
                        </w:rPr>
                        <m:t>n</m:t>
                      </m:r>
                    </m:num>
                    <m:den>
                      <m:r>
                        <w:rPr>
                          <w:rFonts w:ascii="Cambria Math" w:hAnsi="Cambria Math" w:cs="Times New Roman"/>
                          <w:color w:val="0D0D0D"/>
                          <w:sz w:val="20"/>
                          <w:szCs w:val="20"/>
                          <w:shd w:val="clear" w:color="auto" w:fill="FFFFFF"/>
                        </w:rPr>
                        <m:t>x</m:t>
                      </m:r>
                    </m:den>
                  </m:f>
                </m:e>
              </m:d>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x+a,n-x+b</m:t>
                      </m:r>
                    </m:e>
                  </m:d>
                  <m:ctrlPr>
                    <w:rPr>
                      <w:rFonts w:ascii="Cambria Math" w:hAnsi="Cambria Math" w:cs="Times New Roman"/>
                      <w:i/>
                      <w:color w:val="0D0D0D"/>
                      <w:sz w:val="20"/>
                      <w:szCs w:val="20"/>
                      <w:shd w:val="clear" w:color="auto" w:fill="FFFFFF"/>
                    </w:rPr>
                  </m:ctrlPr>
                </m:num>
                <m:den>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a,b</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12</m:t>
                  </m:r>
                </m:e>
              </m:d>
            </m:e>
          </m:eqArr>
        </m:oMath>
      </m:oMathPara>
    </w:p>
    <w:p w14:paraId="31083E4B" w14:textId="0851C929" w:rsidR="000B2196" w:rsidRDefault="00877A9C"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where</w:t>
      </w:r>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m:t>
            </m:r>
          </m:e>
        </m:d>
      </m:oMath>
      <w:r w:rsidR="000B2196">
        <w:rPr>
          <w:rFonts w:ascii="Times New Roman" w:hAnsi="Times New Roman" w:cs="Times New Roman"/>
          <w:color w:val="0D0D0D"/>
          <w:sz w:val="20"/>
          <w:szCs w:val="20"/>
          <w:shd w:val="clear" w:color="auto" w:fill="FFFFFF"/>
        </w:rPr>
        <w:t xml:space="preserve"> is the Beta function and </w:t>
      </w:r>
      <m:oMath>
        <m:r>
          <w:rPr>
            <w:rFonts w:ascii="Cambria Math" w:hAnsi="Cambria Math" w:cs="Times New Roman"/>
            <w:color w:val="0D0D0D"/>
            <w:sz w:val="20"/>
            <w:szCs w:val="20"/>
            <w:shd w:val="clear" w:color="auto" w:fill="FFFFFF"/>
          </w:rPr>
          <m:t>a=p</m:t>
        </m:r>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Under the Beta-Binomial distribution, the mean and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are </w:t>
      </w:r>
      <m:oMath>
        <m:r>
          <w:rPr>
            <w:rFonts w:ascii="Cambria Math" w:hAnsi="Cambria Math" w:cs="Times New Roman"/>
            <w:color w:val="0D0D0D"/>
            <w:sz w:val="20"/>
            <w:szCs w:val="20"/>
            <w:shd w:val="clear" w:color="auto" w:fill="FFFFFF"/>
          </w:rPr>
          <m:t>E</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oMath>
      <w:r w:rsidR="000B2196">
        <w:rPr>
          <w:rFonts w:ascii="Times New Roman" w:hAnsi="Times New Roman" w:cs="Times New Roman"/>
          <w:color w:val="0D0D0D"/>
          <w:sz w:val="20"/>
          <w:szCs w:val="20"/>
          <w:shd w:val="clear" w:color="auto" w:fill="FFFFFF"/>
        </w:rPr>
        <w:t xml:space="preserve"> and </w:t>
      </w:r>
      <m:oMath>
        <m:r>
          <w:rPr>
            <w:rFonts w:ascii="Cambria Math" w:hAnsi="Cambria Math" w:cs="Times New Roman"/>
            <w:color w:val="0D0D0D"/>
            <w:sz w:val="20"/>
            <w:szCs w:val="20"/>
            <w:shd w:val="clear" w:color="auto" w:fill="FFFFFF"/>
          </w:rPr>
          <m:t>Var</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n-1</m:t>
                </m:r>
              </m:e>
            </m:d>
            <m:r>
              <m:rPr>
                <m:sty m:val="p"/>
              </m:rPr>
              <w:rPr>
                <w:rFonts w:ascii="Cambria Math" w:hAnsi="Cambria Math" w:cs="Times New Roman"/>
                <w:color w:val="0D0D0D"/>
                <w:sz w:val="20"/>
                <w:szCs w:val="20"/>
                <w:shd w:val="clear" w:color="auto" w:fill="FFFFFF"/>
              </w:rPr>
              <m:t>κ</m:t>
            </m:r>
          </m:e>
        </m:d>
      </m:oMath>
      <w:r w:rsidR="00EE4B38">
        <w:rPr>
          <w:rFonts w:ascii="Times New Roman" w:hAnsi="Times New Roman" w:cs="Times New Roman"/>
          <w:color w:val="0D0D0D"/>
          <w:sz w:val="20"/>
          <w:szCs w:val="20"/>
          <w:shd w:val="clear" w:color="auto" w:fill="FFFFFF"/>
        </w:rPr>
        <w:t xml:space="preserve"> respectively.</w:t>
      </w:r>
    </w:p>
    <w:p w14:paraId="1EA6A0DE" w14:textId="77777777"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The model-predicted probability that a diagnosis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xml:space="preserve"> was symptomatic is </w:t>
      </w:r>
    </w:p>
    <w:p w14:paraId="72655DE5" w14:textId="3FBE625D" w:rsidR="00EE4B38" w:rsidRDefault="00EE4B38"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f>
                <m:fPr>
                  <m:ctrlPr>
                    <w:rPr>
                      <w:rFonts w:ascii="Cambria Math" w:hAnsi="Cambria Math" w:cs="Times New Roman"/>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13</m:t>
                  </m:r>
                </m:e>
              </m:d>
            </m:e>
          </m:eqArr>
        </m:oMath>
      </m:oMathPara>
    </w:p>
    <w:p w14:paraId="78599312" w14:textId="01B55053"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where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the number of symptomatic and asymptomatic diagnoses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respectively, as follows:</w:t>
      </w:r>
    </w:p>
    <w:p w14:paraId="1ACB1A93" w14:textId="48BB77FE" w:rsidR="00877A9C" w:rsidRPr="00877A9C" w:rsidRDefault="00877A9C"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14</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A</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15</m:t>
                  </m:r>
                </m:e>
              </m:d>
            </m:e>
          </m:eqArr>
        </m:oMath>
      </m:oMathPara>
    </w:p>
    <w:p w14:paraId="55CAC18B" w14:textId="75561A94" w:rsidR="00877A9C" w:rsidRDefault="00877A9C" w:rsidP="00373D9B">
      <w:pPr>
        <w:spacing w:line="276" w:lineRule="auto"/>
        <w:jc w:val="both"/>
        <w:rPr>
          <w:rFonts w:ascii="Times New Roman" w:hAnsi="Times New Roman" w:cs="Times New Roman"/>
          <w:color w:val="0D0D0D"/>
          <w:sz w:val="20"/>
          <w:szCs w:val="20"/>
          <w:shd w:val="clear" w:color="auto" w:fill="FFFFFF"/>
          <w:lang w:val="en-US"/>
        </w:rPr>
      </w:pPr>
      <w:r>
        <w:rPr>
          <w:rFonts w:ascii="Times New Roman" w:hAnsi="Times New Roman" w:cs="Times New Roman"/>
          <w:iCs/>
          <w:color w:val="0D0D0D"/>
          <w:sz w:val="20"/>
          <w:szCs w:val="20"/>
          <w:shd w:val="clear" w:color="auto" w:fill="FFFFFF"/>
          <w:lang w:val="en-US"/>
        </w:rPr>
        <w:t>We model</w:t>
      </w:r>
      <w:r w:rsidR="00F5221A">
        <w:rPr>
          <w:rFonts w:ascii="Times New Roman" w:hAnsi="Times New Roman" w:cs="Times New Roman"/>
          <w:iCs/>
          <w:color w:val="0D0D0D"/>
          <w:sz w:val="20"/>
          <w:szCs w:val="20"/>
          <w:shd w:val="clear" w:color="auto" w:fill="FFFFFF"/>
          <w:lang w:val="en-US"/>
        </w:rPr>
        <w:t>l</w:t>
      </w:r>
      <w:r>
        <w:rPr>
          <w:rFonts w:ascii="Times New Roman" w:hAnsi="Times New Roman" w:cs="Times New Roman"/>
          <w:iCs/>
          <w:color w:val="0D0D0D"/>
          <w:sz w:val="20"/>
          <w:szCs w:val="20"/>
          <w:shd w:val="clear" w:color="auto" w:fill="FFFFFF"/>
          <w:lang w:val="en-US"/>
        </w:rPr>
        <w:t xml:space="preserve">ed </w:t>
      </w:r>
      <w:r w:rsidR="00F5221A">
        <w:rPr>
          <w:rFonts w:ascii="Times New Roman" w:hAnsi="Times New Roman" w:cs="Times New Roman"/>
          <w:iCs/>
          <w:color w:val="0D0D0D"/>
          <w:sz w:val="20"/>
          <w:szCs w:val="20"/>
          <w:shd w:val="clear" w:color="auto" w:fill="FFFFFF"/>
          <w:lang w:val="en-US"/>
        </w:rPr>
        <w:t xml:space="preserve">the number of symptomatic diagnoses in GRASP, accounting for the size of the GRASP sample,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F5221A">
        <w:rPr>
          <w:rFonts w:ascii="Times New Roman" w:hAnsi="Times New Roman" w:cs="Times New Roman"/>
          <w:iCs/>
          <w:color w:val="0D0D0D"/>
          <w:sz w:val="20"/>
          <w:szCs w:val="20"/>
          <w:shd w:val="clear" w:color="auto" w:fill="FFFFFF"/>
          <w:lang w:val="en-US"/>
        </w:rPr>
        <w:t xml:space="preserve">, and fitted the shape parameter for the GRASP dataset,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oMath>
      <w:r w:rsidR="00F5221A">
        <w:rPr>
          <w:rFonts w:ascii="Times New Roman" w:hAnsi="Times New Roman" w:cs="Times New Roman"/>
          <w:color w:val="0D0D0D"/>
          <w:sz w:val="20"/>
          <w:szCs w:val="20"/>
          <w:shd w:val="clear" w:color="auto" w:fill="FFFFFF"/>
          <w:lang w:val="en-US"/>
        </w:rPr>
        <w:t>, within the Bayesian framework:</w:t>
      </w:r>
    </w:p>
    <w:p w14:paraId="12E230CF" w14:textId="2161DA68" w:rsidR="00F5221A" w:rsidRPr="00F5221A" w:rsidRDefault="00F5221A"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~BetaBinom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f>
                        <m:fPr>
                          <m:ctrlPr>
                            <w:rPr>
                              <w:rFonts w:ascii="Cambria Math" w:hAnsi="Cambria Math" w:cs="Times New Roman"/>
                              <w:i/>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den>
                      </m:f>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16</m:t>
                  </m:r>
                </m:e>
              </m:d>
            </m:e>
          </m:eqArr>
        </m:oMath>
      </m:oMathPara>
    </w:p>
    <w:p w14:paraId="0C57FEA2" w14:textId="50B50D6A" w:rsidR="00373D9B" w:rsidRPr="000B2196" w:rsidRDefault="00373D9B" w:rsidP="00373D9B">
      <w:pPr>
        <w:spacing w:line="276" w:lineRule="auto"/>
        <w:jc w:val="both"/>
        <w:rPr>
          <w:rFonts w:ascii="Times New Roman" w:hAnsi="Times New Roman" w:cs="Times New Roman"/>
          <w:color w:val="0D0D0D"/>
          <w:sz w:val="20"/>
          <w:szCs w:val="20"/>
          <w:shd w:val="clear" w:color="auto" w:fill="FFFFFF"/>
        </w:rPr>
      </w:pPr>
      <w:r w:rsidRPr="002D7CDC">
        <w:rPr>
          <w:rFonts w:ascii="Times New Roman" w:hAnsi="Times New Roman" w:cs="Times New Roman"/>
          <w:color w:val="0D0D0D"/>
          <w:sz w:val="20"/>
          <w:szCs w:val="20"/>
          <w:shd w:val="clear" w:color="auto" w:fill="FFFFFF"/>
          <w:lang w:val="en-US"/>
        </w:rPr>
        <w:t xml:space="preserve">The </w:t>
      </w:r>
      <w:r>
        <w:rPr>
          <w:rFonts w:ascii="Times New Roman" w:hAnsi="Times New Roman" w:cs="Times New Roman"/>
          <w:color w:val="0D0D0D"/>
          <w:sz w:val="20"/>
          <w:szCs w:val="20"/>
          <w:shd w:val="clear" w:color="auto" w:fill="FFFFFF"/>
          <w:lang w:val="en-US"/>
        </w:rPr>
        <w:t xml:space="preserve">overall </w:t>
      </w:r>
      <w:r w:rsidRPr="002D7CDC">
        <w:rPr>
          <w:rFonts w:ascii="Times New Roman" w:hAnsi="Times New Roman" w:cs="Times New Roman"/>
          <w:color w:val="0D0D0D"/>
          <w:sz w:val="20"/>
          <w:szCs w:val="20"/>
          <w:shd w:val="clear" w:color="auto" w:fill="FFFFFF"/>
          <w:lang w:val="en-US"/>
        </w:rPr>
        <w:t xml:space="preserve">likelihood of the </w:t>
      </w:r>
      <w:r>
        <w:rPr>
          <w:rFonts w:ascii="Times New Roman" w:hAnsi="Times New Roman" w:cs="Times New Roman"/>
          <w:color w:val="0D0D0D"/>
          <w:sz w:val="20"/>
          <w:szCs w:val="20"/>
          <w:shd w:val="clear" w:color="auto" w:fill="FFFFFF"/>
          <w:lang w:val="en-US"/>
        </w:rPr>
        <w:t>data</w:t>
      </w:r>
      <w:r w:rsidRPr="002D7CDC">
        <w:rPr>
          <w:rFonts w:ascii="Times New Roman" w:hAnsi="Times New Roman" w:cs="Times New Roman"/>
          <w:color w:val="0D0D0D"/>
          <w:sz w:val="20"/>
          <w:szCs w:val="20"/>
          <w:shd w:val="clear" w:color="auto" w:fill="FFFFFF"/>
          <w:lang w:val="en-US"/>
        </w:rPr>
        <w:t xml:space="preserve"> given the modelled trajectories produced by parameter set </w:t>
      </w:r>
      <m:oMath>
        <m:r>
          <m:rPr>
            <m:sty m:val="p"/>
          </m:rPr>
          <w:rPr>
            <w:rFonts w:ascii="Cambria Math" w:hAnsi="Cambria Math" w:cs="Times New Roman"/>
            <w:color w:val="0D0D0D"/>
            <w:sz w:val="20"/>
            <w:szCs w:val="20"/>
            <w:shd w:val="clear" w:color="auto" w:fill="FFFFFF"/>
            <w:lang w:val="en-US"/>
          </w:rPr>
          <m:t>Θ</m:t>
        </m:r>
      </m:oMath>
      <w:r w:rsidRPr="002D7CDC">
        <w:rPr>
          <w:rFonts w:ascii="Times New Roman" w:hAnsi="Times New Roman" w:cs="Times New Roman"/>
          <w:color w:val="0D0D0D"/>
          <w:sz w:val="20"/>
          <w:szCs w:val="20"/>
          <w:shd w:val="clear" w:color="auto" w:fill="FFFFFF"/>
          <w:lang w:val="en-US"/>
        </w:rPr>
        <w:t xml:space="preserve"> was calculated as the product of the likelihoods of the </w:t>
      </w:r>
      <w:r w:rsidR="00506AFF">
        <w:rPr>
          <w:rFonts w:ascii="Times New Roman" w:hAnsi="Times New Roman" w:cs="Times New Roman"/>
          <w:color w:val="0D0D0D"/>
          <w:sz w:val="20"/>
          <w:szCs w:val="20"/>
          <w:shd w:val="clear" w:color="auto" w:fill="FFFFFF"/>
          <w:lang w:val="en-US"/>
        </w:rPr>
        <w:t xml:space="preserve">six </w:t>
      </w:r>
      <w:r w:rsidRPr="002D7CDC">
        <w:rPr>
          <w:rFonts w:ascii="Times New Roman" w:hAnsi="Times New Roman" w:cs="Times New Roman"/>
          <w:color w:val="0D0D0D"/>
          <w:sz w:val="20"/>
          <w:szCs w:val="20"/>
          <w:shd w:val="clear" w:color="auto" w:fill="FFFFFF"/>
          <w:lang w:val="en-US"/>
        </w:rPr>
        <w:t>data stream</w:t>
      </w:r>
      <w:r w:rsidR="00506AFF">
        <w:rPr>
          <w:rFonts w:ascii="Times New Roman" w:hAnsi="Times New Roman" w:cs="Times New Roman"/>
          <w:color w:val="0D0D0D"/>
          <w:sz w:val="20"/>
          <w:szCs w:val="20"/>
          <w:shd w:val="clear" w:color="auto" w:fill="FFFFFF"/>
          <w:lang w:val="en-US"/>
        </w:rPr>
        <w:t>s</w:t>
      </w:r>
      <w:r w:rsidRPr="002D7CDC">
        <w:rPr>
          <w:rFonts w:ascii="Times New Roman" w:hAnsi="Times New Roman" w:cs="Times New Roman"/>
          <w:color w:val="0D0D0D"/>
          <w:sz w:val="20"/>
          <w:szCs w:val="20"/>
          <w:shd w:val="clear" w:color="auto" w:fill="FFFFFF"/>
          <w:lang w:val="en-US"/>
        </w:rPr>
        <w:t xml:space="preserve"> in each year </w:t>
      </w:r>
      <m:oMath>
        <m:r>
          <w:rPr>
            <w:rFonts w:ascii="Cambria Math" w:hAnsi="Cambria Math" w:cs="Times New Roman"/>
            <w:color w:val="0D0D0D"/>
            <w:sz w:val="20"/>
            <w:szCs w:val="20"/>
            <w:shd w:val="clear" w:color="auto" w:fill="FFFFFF"/>
            <w:lang w:val="en-US"/>
          </w:rPr>
          <m:t>t</m:t>
        </m:r>
      </m:oMath>
      <w:r w:rsidRPr="002D7CDC">
        <w:rPr>
          <w:rFonts w:ascii="Times New Roman" w:hAnsi="Times New Roman" w:cs="Times New Roman"/>
          <w:color w:val="0D0D0D"/>
          <w:sz w:val="20"/>
          <w:szCs w:val="20"/>
          <w:shd w:val="clear" w:color="auto" w:fill="FFFFFF"/>
          <w:lang w:val="en-US"/>
        </w:rPr>
        <w:t xml:space="preserve"> = 2011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0</m:t>
            </m:r>
          </m:sub>
        </m:sSub>
      </m:oMath>
      <w:r w:rsidRPr="002D7CDC">
        <w:rPr>
          <w:rFonts w:ascii="Times New Roman" w:hAnsi="Times New Roman" w:cs="Times New Roman"/>
          <w:color w:val="0D0D0D"/>
          <w:sz w:val="20"/>
          <w:szCs w:val="20"/>
          <w:shd w:val="clear" w:color="auto" w:fill="FFFFFF"/>
          <w:lang w:val="en-US"/>
        </w:rPr>
        <w:t>), …, 20</w:t>
      </w:r>
      <w:r w:rsidR="002A1438">
        <w:rPr>
          <w:rFonts w:ascii="Times New Roman" w:hAnsi="Times New Roman" w:cs="Times New Roman"/>
          <w:color w:val="0D0D0D"/>
          <w:sz w:val="20"/>
          <w:szCs w:val="20"/>
          <w:shd w:val="clear" w:color="auto" w:fill="FFFFFF"/>
          <w:lang w:val="en-US"/>
        </w:rPr>
        <w:t>19, 2022</w:t>
      </w:r>
      <w:r w:rsidRPr="002D7CDC">
        <w:rPr>
          <w:rFonts w:ascii="Times New Roman" w:hAnsi="Times New Roman" w:cs="Times New Roman"/>
          <w:color w:val="0D0D0D"/>
          <w:sz w:val="20"/>
          <w:szCs w:val="20"/>
          <w:shd w:val="clear" w:color="auto" w:fill="FFFFFF"/>
          <w:lang w:val="en-US"/>
        </w:rPr>
        <w:t>, 2023, 2024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max</m:t>
            </m:r>
          </m:sub>
        </m:sSub>
      </m:oMath>
      <w:r w:rsidRPr="002D7CDC">
        <w:rPr>
          <w:rFonts w:ascii="Times New Roman" w:hAnsi="Times New Roman" w:cs="Times New Roman"/>
          <w:color w:val="0D0D0D"/>
          <w:sz w:val="20"/>
          <w:szCs w:val="20"/>
          <w:shd w:val="clear" w:color="auto" w:fill="FFFFFF"/>
          <w:lang w:val="en-US"/>
        </w:rPr>
        <w:t>) for England</w:t>
      </w:r>
      <w:r w:rsidR="000D472A">
        <w:rPr>
          <w:rFonts w:ascii="Times New Roman" w:hAnsi="Times New Roman" w:cs="Times New Roman"/>
          <w:color w:val="0D0D0D"/>
          <w:sz w:val="20"/>
          <w:szCs w:val="20"/>
          <w:shd w:val="clear" w:color="auto" w:fill="FFFFFF"/>
          <w:lang w:val="en-US"/>
        </w:rPr>
        <w:t xml:space="preserve"> (</w:t>
      </w:r>
      <m:oMath>
        <m:r>
          <w:rPr>
            <w:rFonts w:ascii="Cambria Math" w:hAnsi="Cambria Math" w:cs="Times New Roman"/>
            <w:color w:val="0D0D0D"/>
            <w:sz w:val="20"/>
            <w:szCs w:val="20"/>
            <w:shd w:val="clear" w:color="auto" w:fill="FFFFFF"/>
            <w:lang w:val="en-US"/>
          </w:rPr>
          <m:t>t</m:t>
        </m:r>
        <m:r>
          <w:rPr>
            <w:rFonts w:ascii="Cambria Math" w:hAnsi="Cambria Math" w:cs="Times New Roman"/>
            <w:color w:val="0D0D0D"/>
            <w:sz w:val="20"/>
            <w:szCs w:val="20"/>
            <w:shd w:val="clear" w:color="auto" w:fill="FFFFFF"/>
            <w:lang w:val="en-US"/>
          </w:rPr>
          <m:t>=2020, 2021</m:t>
        </m:r>
      </m:oMath>
      <w:r w:rsidR="000D472A">
        <w:rPr>
          <w:rFonts w:ascii="Times New Roman" w:hAnsi="Times New Roman" w:cs="Times New Roman"/>
          <w:color w:val="0D0D0D"/>
          <w:sz w:val="20"/>
          <w:szCs w:val="20"/>
          <w:shd w:val="clear" w:color="auto" w:fill="FFFFFF"/>
          <w:lang w:val="en-US"/>
        </w:rPr>
        <w:t xml:space="preserve"> </w:t>
      </w:r>
      <w:r w:rsidR="0016426E">
        <w:rPr>
          <w:rFonts w:ascii="Times New Roman" w:hAnsi="Times New Roman" w:cs="Times New Roman"/>
          <w:color w:val="0D0D0D"/>
          <w:sz w:val="20"/>
          <w:szCs w:val="20"/>
          <w:shd w:val="clear" w:color="auto" w:fill="FFFFFF"/>
          <w:lang w:val="en-US"/>
        </w:rPr>
        <w:t>were excluded</w:t>
      </w:r>
      <w:r w:rsidR="000D472A">
        <w:rPr>
          <w:rFonts w:ascii="Times New Roman" w:hAnsi="Times New Roman" w:cs="Times New Roman"/>
          <w:color w:val="0D0D0D"/>
          <w:sz w:val="20"/>
          <w:szCs w:val="20"/>
          <w:shd w:val="clear" w:color="auto" w:fill="FFFFFF"/>
          <w:lang w:val="en-US"/>
        </w:rPr>
        <w:t xml:space="preserve"> for England for all six data streams)</w:t>
      </w:r>
      <w:r w:rsidR="00506AFF">
        <w:rPr>
          <w:rFonts w:ascii="Times New Roman" w:hAnsi="Times New Roman" w:cs="Times New Roman"/>
          <w:color w:val="0D0D0D"/>
          <w:sz w:val="20"/>
          <w:szCs w:val="20"/>
          <w:shd w:val="clear" w:color="auto" w:fill="FFFFFF"/>
          <w:lang w:val="en-US"/>
        </w:rPr>
        <w:t>, as follows:</w:t>
      </w:r>
    </w:p>
    <w:p w14:paraId="4E99A476" w14:textId="4BB48032" w:rsidR="001725A7" w:rsidRPr="005B07EA" w:rsidRDefault="00EA3640" w:rsidP="009701A4">
      <w:pPr>
        <w:pStyle w:val="NormalWeb"/>
        <w:spacing w:line="276" w:lineRule="auto"/>
        <w:jc w:val="both"/>
        <w:rPr>
          <w:i/>
          <w:sz w:val="20"/>
          <w:szCs w:val="20"/>
        </w:rPr>
      </w:pPr>
      <m:oMathPara>
        <m:oMath>
          <m:eqArr>
            <m:eqArrPr>
              <m:maxDist m:val="1"/>
              <m:ctrlPr>
                <w:rPr>
                  <w:rFonts w:ascii="Cambria Math" w:hAnsi="Cambria Math"/>
                  <w:i/>
                  <w:color w:val="0D0D0D"/>
                  <w:sz w:val="20"/>
                  <w:szCs w:val="20"/>
                  <w:shd w:val="clear" w:color="auto" w:fill="FFFFFF"/>
                  <w:lang w:val="en-US"/>
                </w:rPr>
              </m:ctrlPr>
            </m:eqArrPr>
            <m:e>
              <m:r>
                <w:rPr>
                  <w:rFonts w:ascii="Cambria Math" w:hAnsi="Cambria Math"/>
                  <w:color w:val="0D0D0D"/>
                  <w:sz w:val="20"/>
                  <w:szCs w:val="20"/>
                  <w:shd w:val="clear" w:color="auto" w:fill="FFFFFF"/>
                  <w:lang w:val="en-US"/>
                </w:rPr>
                <m:t>L</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Z</m:t>
                  </m:r>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m:t>
                  </m:r>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0</m:t>
                      </m:r>
                    </m:sub>
                  </m:sSub>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 xml:space="preserve"> </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t=2015</m:t>
                      </m:r>
                    </m:sub>
                    <m:sup>
                      <m:r>
                        <w:rPr>
                          <w:rFonts w:ascii="Cambria Math" w:hAnsi="Cambria Math"/>
                          <w:color w:val="0D0D0D"/>
                          <w:sz w:val="20"/>
                          <w:szCs w:val="20"/>
                          <w:shd w:val="clear" w:color="auto" w:fill="FFFFFF"/>
                          <w:lang w:val="en-US"/>
                        </w:rPr>
                        <m:t>2022</m:t>
                      </m:r>
                    </m:sup>
                    <m:e>
                      <m:sSub>
                        <m:sSubPr>
                          <m:ctrlPr>
                            <w:rPr>
                              <w:rFonts w:ascii="Cambria Math" w:hAnsi="Cambria Math"/>
                              <w:i/>
                              <w:color w:val="0D0D0D"/>
                              <w:sz w:val="20"/>
                              <w:szCs w:val="20"/>
                              <w:shd w:val="clear" w:color="auto" w:fill="FFFFFF"/>
                              <w:lang w:val="en-US"/>
                            </w:rPr>
                          </m:ctrlPr>
                        </m:sSub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eastAsiaTheme="minorEastAsia" w:hAnsi="Cambria Math"/>
                                      <w:color w:val="0D0D0D"/>
                                      <w:kern w:val="2"/>
                                      <w:sz w:val="20"/>
                                      <w:szCs w:val="20"/>
                                      <w:shd w:val="clear" w:color="auto" w:fill="FFFFFF"/>
                                      <w:lang w:val="en-US"/>
                                      <w14:ligatures w14:val="standardContextual"/>
                                    </w:rPr>
                                    <m:t>0</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0</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e>
                  </m:nary>
                </m:e>
              </m:nary>
              <m:ctrlPr>
                <w:rPr>
                  <w:rFonts w:ascii="Cambria Math" w:eastAsia="Cambria Math" w:hAnsi="Cambria Math" w:cs="Cambria Math"/>
                  <w:i/>
                  <w:color w:val="0D0D0D"/>
                  <w:sz w:val="20"/>
                  <w:szCs w:val="20"/>
                  <w:shd w:val="clear" w:color="auto" w:fill="FFFFFF"/>
                </w:rPr>
              </m:ctrlPr>
            </m:e>
            <m:e>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t=2013</m:t>
                  </m:r>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R</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r>
                        <w:rPr>
                          <w:rFonts w:ascii="Cambria Math" w:hAnsi="Cambria Math"/>
                          <w:color w:val="0D0D0D"/>
                          <w:sz w:val="20"/>
                          <w:szCs w:val="20"/>
                          <w:shd w:val="clear" w:color="auto" w:fill="FFFFFF"/>
                          <w:lang w:val="en-US"/>
                        </w:rPr>
                        <m:t>, Θ</m:t>
                      </m:r>
                    </m:e>
                  </m:d>
                </m:e>
              </m:nary>
              <m:r>
                <w:rPr>
                  <w:rFonts w:ascii="Cambria Math" w:hAnsi="Cambria Math"/>
                  <w:color w:val="0D0D0D"/>
                  <w:sz w:val="20"/>
                  <w:szCs w:val="20"/>
                  <w:shd w:val="clear" w:color="auto" w:fill="FFFFFF"/>
                  <w:lang w:val="en-US"/>
                </w:rPr>
                <m:t>#</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17</m:t>
                  </m:r>
                </m:e>
              </m:d>
            </m:e>
          </m:eqArr>
        </m:oMath>
      </m:oMathPara>
    </w:p>
    <w:p w14:paraId="6F102B0D" w14:textId="69485D69" w:rsidR="000B68AF"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F02256">
        <w:rPr>
          <w:rFonts w:ascii="Times New Roman" w:hAnsi="Times New Roman" w:cs="Times New Roman"/>
          <w:sz w:val="20"/>
          <w:szCs w:val="20"/>
        </w:rPr>
        <w:t>Gonorrhoea can infect multiple anatomical sites</w:t>
      </w:r>
      <w:r>
        <w:rPr>
          <w:rFonts w:ascii="Times New Roman" w:hAnsi="Times New Roman" w:cs="Times New Roman"/>
          <w:sz w:val="20"/>
          <w:szCs w:val="20"/>
        </w:rPr>
        <w:t xml:space="preserve"> (i.e., </w:t>
      </w:r>
      <w:r w:rsidRPr="00F02256">
        <w:rPr>
          <w:rFonts w:ascii="Times New Roman" w:hAnsi="Times New Roman" w:cs="Times New Roman"/>
          <w:sz w:val="20"/>
          <w:szCs w:val="20"/>
        </w:rPr>
        <w:t>the rectum, pharynx, and urethra</w:t>
      </w:r>
      <w:r>
        <w:rPr>
          <w:rFonts w:ascii="Times New Roman" w:hAnsi="Times New Roman" w:cs="Times New Roman"/>
          <w:sz w:val="20"/>
          <w:szCs w:val="20"/>
        </w:rPr>
        <w:t xml:space="preserve">) </w:t>
      </w:r>
      <w:r w:rsidRPr="00F02256">
        <w:rPr>
          <w:rFonts w:ascii="Times New Roman" w:hAnsi="Times New Roman" w:cs="Times New Roman"/>
          <w:sz w:val="20"/>
          <w:szCs w:val="20"/>
        </w:rPr>
        <w:t xml:space="preserve">each associated with distinct probabilities of symptom development and transmission potential </w:t>
      </w:r>
      <w:r w:rsidRPr="00F02256">
        <w:rPr>
          <w:rFonts w:ascii="Times New Roman" w:eastAsia="Times New Roman" w:hAnsi="Times New Roman" w:cs="Times New Roman"/>
          <w:color w:val="000000" w:themeColor="text1"/>
          <w:kern w:val="0"/>
          <w:sz w:val="20"/>
          <w:szCs w:val="20"/>
          <w14:ligatures w14:val="none"/>
        </w:rPr>
        <w:fldChar w:fldCharType="begin"/>
      </w:r>
      <w:r w:rsidR="00F729B0">
        <w:rPr>
          <w:rFonts w:ascii="Times New Roman" w:eastAsia="Times New Roman" w:hAnsi="Times New Roman" w:cs="Times New Roman"/>
          <w:color w:val="000000" w:themeColor="text1"/>
          <w:kern w:val="0"/>
          <w:sz w:val="20"/>
          <w:szCs w:val="20"/>
          <w14:ligatures w14:val="none"/>
        </w:rPr>
        <w:instrText xml:space="preserve"> ADDIN ZOTERO_ITEM CSL_CITATION {"citationID":"gu82ZKtP","properties":{"formattedCitation":"[19]","plainCitation":"[19]","noteIndex":0},"citationItems":[{"id":426,"uris":["http://zotero.org/users/9663344/items/5WMZE529"],"itemData":{"id":426,"type":"article-journal","abstract":"We determined the conditions of 26 women who had recently been exposed to Neisseria gonorrhoeae. Infection was more common among women with more than one exposure (13/14) than among those with one exposure (6/12). Gonococcal infection was significantly associated with the presence of findings on physical examination suggestive of upper genital tract inflammation. Nine of 19 infected women had such findings; no uninfected women did. Among infected women, the prevalence of abnormal physical findings was 47% +/- 23% (95% confidence interval). These findings suggest that upper genital tract involvement is a common early complication of gonococcal infection.","container-title":"JAMA","ISSN":"0098-7484","issue":"23","journalAbbreviation":"JAMA","language":"eng","note":"PMID: 6417362","page":"3205-3209","source":"PubMed","title":"Risk of acquiring gonorrhea and prevalence of abnormal adnexal findings among women recently exposed to gonorrhea","volume":"250","author":[{"family":"Platt","given":"R."},{"family":"Rice","given":"P. A."},{"family":"McCormack","given":"W. M."}],"issued":{"date-parts":[["1983",12,16]]}}}],"schema":"https://github.com/citation-style-language/schema/raw/master/csl-citation.json"}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00F729B0">
        <w:rPr>
          <w:rFonts w:ascii="Times New Roman" w:eastAsia="Times New Roman" w:hAnsi="Times New Roman" w:cs="Times New Roman"/>
          <w:noProof/>
          <w:color w:val="000000" w:themeColor="text1"/>
          <w:kern w:val="0"/>
          <w:sz w:val="20"/>
          <w:szCs w:val="20"/>
          <w14:ligatures w14:val="none"/>
        </w:rPr>
        <w:t>[19]</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 xml:space="preserve">. </w:t>
      </w:r>
      <w:r w:rsidRPr="00F02256">
        <w:rPr>
          <w:rFonts w:ascii="Times New Roman" w:hAnsi="Times New Roman" w:cs="Times New Roman"/>
          <w:sz w:val="20"/>
          <w:szCs w:val="20"/>
        </w:rPr>
        <w:t xml:space="preserve">Because available surveillance data are not disaggregated by infection site, model parameters represent site-averaged values. The model further assumes that infection does not confer lasting natural immunity </w:t>
      </w:r>
      <w:r w:rsidRPr="00F02256">
        <w:rPr>
          <w:rFonts w:ascii="Times New Roman" w:eastAsia="Times New Roman" w:hAnsi="Times New Roman" w:cs="Times New Roman"/>
          <w:color w:val="000000" w:themeColor="text1"/>
          <w:kern w:val="0"/>
          <w:sz w:val="20"/>
          <w:szCs w:val="20"/>
          <w14:ligatures w14:val="none"/>
        </w:rPr>
        <w:fldChar w:fldCharType="begin"/>
      </w:r>
      <w:r w:rsidR="00F729B0">
        <w:rPr>
          <w:rFonts w:ascii="Times New Roman" w:eastAsia="Times New Roman" w:hAnsi="Times New Roman" w:cs="Times New Roman"/>
          <w:color w:val="000000" w:themeColor="text1"/>
          <w:kern w:val="0"/>
          <w:sz w:val="20"/>
          <w:szCs w:val="20"/>
          <w14:ligatures w14:val="none"/>
        </w:rPr>
        <w:instrText xml:space="preserve"> ADDIN ZOTERO_ITEM CSL_CITATION {"citationID":"KrHKNrh4","properties":{"formattedCitation":"[20], [21]","plainCitation":"[20], [21]","noteIndex":0},"citationItems":[{"id":428,"uris":["http://zotero.org/users/9663344/items/E74QJDGX"],"itemData":{"id":428,"type":"article-journal","abstract":"BACKGROUND: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Dis","language":"eng","note":"PMID: 11689753","page":"555-564","source":"PubMed","title":"Experimental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Dis","language":"eng","note":"PMID: 19617871","page":"478-489","source":"PubMed","title":"Repeat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00F729B0">
        <w:rPr>
          <w:rFonts w:ascii="Times New Roman" w:eastAsia="Times New Roman" w:hAnsi="Times New Roman" w:cs="Times New Roman"/>
          <w:noProof/>
          <w:color w:val="000000" w:themeColor="text1"/>
          <w:kern w:val="0"/>
          <w:sz w:val="20"/>
          <w:szCs w:val="20"/>
          <w14:ligatures w14:val="none"/>
        </w:rPr>
        <w:t>[20], [21]</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w:t>
      </w:r>
    </w:p>
    <w:p w14:paraId="012611B1" w14:textId="6018BFA5" w:rsidR="000B68AF"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t xml:space="preserve">Table </w:t>
      </w:r>
      <w:r>
        <w:rPr>
          <w:rFonts w:ascii="Times New Roman" w:eastAsia="Times New Roman" w:hAnsi="Times New Roman" w:cs="Times New Roman"/>
          <w:color w:val="000000" w:themeColor="text1"/>
          <w:kern w:val="0"/>
          <w:sz w:val="20"/>
          <w:szCs w:val="20"/>
          <w14:ligatures w14:val="none"/>
        </w:rPr>
        <w:t>1</w:t>
      </w:r>
      <w:r>
        <w:rPr>
          <w:rFonts w:ascii="Times New Roman" w:eastAsia="Times New Roman" w:hAnsi="Times New Roman" w:cs="Times New Roman"/>
          <w:color w:val="000000" w:themeColor="text1"/>
          <w:kern w:val="0"/>
          <w:sz w:val="20"/>
          <w:szCs w:val="20"/>
          <w14:ligatures w14:val="none"/>
        </w:rPr>
        <w:t>: Fixed parameters.</w:t>
      </w:r>
    </w:p>
    <w:tbl>
      <w:tblPr>
        <w:tblStyle w:val="TableGrid"/>
        <w:tblW w:w="0" w:type="auto"/>
        <w:tblLook w:val="04A0" w:firstRow="1" w:lastRow="0" w:firstColumn="1" w:lastColumn="0" w:noHBand="0" w:noVBand="1"/>
      </w:tblPr>
      <w:tblGrid>
        <w:gridCol w:w="1202"/>
        <w:gridCol w:w="4108"/>
        <w:gridCol w:w="1800"/>
        <w:gridCol w:w="1916"/>
      </w:tblGrid>
      <w:tr w:rsidR="000B68AF" w14:paraId="2BF301F7" w14:textId="77777777" w:rsidTr="004338C0">
        <w:tc>
          <w:tcPr>
            <w:tcW w:w="1202" w:type="dxa"/>
            <w:tcBorders>
              <w:top w:val="single" w:sz="4" w:space="0" w:color="auto"/>
              <w:bottom w:val="single" w:sz="4" w:space="0" w:color="auto"/>
            </w:tcBorders>
          </w:tcPr>
          <w:p w14:paraId="2C816FD8"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p>
        </w:tc>
        <w:tc>
          <w:tcPr>
            <w:tcW w:w="4108" w:type="dxa"/>
            <w:tcBorders>
              <w:top w:val="single" w:sz="4" w:space="0" w:color="auto"/>
              <w:bottom w:val="single" w:sz="4" w:space="0" w:color="auto"/>
            </w:tcBorders>
          </w:tcPr>
          <w:p w14:paraId="7CAC8250" w14:textId="77777777" w:rsidR="000B68AF" w:rsidRDefault="000B68AF" w:rsidP="0007760A">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1800" w:type="dxa"/>
            <w:tcBorders>
              <w:top w:val="single" w:sz="4" w:space="0" w:color="auto"/>
              <w:bottom w:val="single" w:sz="4" w:space="0" w:color="auto"/>
            </w:tcBorders>
          </w:tcPr>
          <w:p w14:paraId="0110426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1916" w:type="dxa"/>
            <w:tcBorders>
              <w:top w:val="single" w:sz="4" w:space="0" w:color="auto"/>
              <w:bottom w:val="single" w:sz="4" w:space="0" w:color="auto"/>
            </w:tcBorders>
          </w:tcPr>
          <w:p w14:paraId="67CFDA3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0B68AF" w14:paraId="75959899" w14:textId="77777777" w:rsidTr="004338C0">
        <w:tc>
          <w:tcPr>
            <w:tcW w:w="1202" w:type="dxa"/>
            <w:tcBorders>
              <w:top w:val="single" w:sz="4" w:space="0" w:color="auto"/>
            </w:tcBorders>
          </w:tcPr>
          <w:p w14:paraId="249F3673" w14:textId="77777777" w:rsidR="000B68AF" w:rsidRPr="00D32E21" w:rsidRDefault="000B68AF" w:rsidP="000B68AF">
            <w:pPr>
              <w:spacing w:before="100" w:beforeAutospacing="1" w:after="100" w:afterAutospacing="1" w:line="276" w:lineRule="auto"/>
              <w:rPr>
                <w:rFonts w:eastAsia="Times New Roman"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108" w:type="dxa"/>
            <w:tcBorders>
              <w:top w:val="single" w:sz="4" w:space="0" w:color="auto"/>
            </w:tcBorders>
          </w:tcPr>
          <w:p w14:paraId="0AF8ABD4"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c>
          <w:tcPr>
            <w:tcW w:w="1800" w:type="dxa"/>
            <w:tcBorders>
              <w:top w:val="single" w:sz="4" w:space="0" w:color="auto"/>
            </w:tcBorders>
          </w:tcPr>
          <w:p w14:paraId="00E49386" w14:textId="700678A3"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600,000</w:t>
            </w:r>
          </w:p>
        </w:tc>
        <w:tc>
          <w:tcPr>
            <w:tcW w:w="1916" w:type="dxa"/>
            <w:tcBorders>
              <w:top w:val="single" w:sz="4" w:space="0" w:color="auto"/>
            </w:tcBorders>
          </w:tcPr>
          <w:p w14:paraId="5BFC354C" w14:textId="7E48AA5F" w:rsidR="000B68AF" w:rsidRPr="002D7CDC" w:rsidRDefault="000B68AF" w:rsidP="000B68AF">
            <w:pPr>
              <w:spacing w:before="100" w:beforeAutospacing="1" w:after="100" w:afterAutospacing="1" w:line="276" w:lineRule="auto"/>
              <w:rPr>
                <w:szCs w:val="20"/>
              </w:rPr>
            </w:pPr>
            <w:r w:rsidRPr="002D7CDC">
              <w:rPr>
                <w:szCs w:val="20"/>
              </w:rPr>
              <w:fldChar w:fldCharType="begin"/>
            </w:r>
            <w:r w:rsidR="00F729B0">
              <w:rPr>
                <w:szCs w:val="20"/>
              </w:rPr>
              <w:instrText xml:space="preserve"> ADDIN ZOTERO_ITEM CSL_CITATION {"citationID":"MKMGDMCL","properties":{"formattedCitation":"[10]","plainCitation":"[10]","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F729B0">
              <w:rPr>
                <w:noProof/>
                <w:szCs w:val="20"/>
              </w:rPr>
              <w:t>[10]</w:t>
            </w:r>
            <w:r w:rsidRPr="002D7CDC">
              <w:rPr>
                <w:szCs w:val="20"/>
              </w:rPr>
              <w:fldChar w:fldCharType="end"/>
            </w:r>
          </w:p>
        </w:tc>
      </w:tr>
      <w:tr w:rsidR="000B68AF" w14:paraId="50526759" w14:textId="77777777" w:rsidTr="0007760A">
        <w:tc>
          <w:tcPr>
            <w:tcW w:w="1202" w:type="dxa"/>
          </w:tcPr>
          <w:p w14:paraId="070C11C8"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α</m:t>
                </m:r>
              </m:oMath>
            </m:oMathPara>
          </w:p>
        </w:tc>
        <w:tc>
          <w:tcPr>
            <w:tcW w:w="4108" w:type="dxa"/>
          </w:tcPr>
          <w:p w14:paraId="7512E438"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c>
          <w:tcPr>
            <w:tcW w:w="1800" w:type="dxa"/>
          </w:tcPr>
          <w:p w14:paraId="70CA2BE1" w14:textId="5C4446F7"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12,000</w:t>
            </w:r>
          </w:p>
        </w:tc>
        <w:tc>
          <w:tcPr>
            <w:tcW w:w="1916" w:type="dxa"/>
          </w:tcPr>
          <w:p w14:paraId="17025A64" w14:textId="0B90D4F9" w:rsidR="000B68AF" w:rsidRPr="002D7CDC" w:rsidRDefault="000B68AF" w:rsidP="000B68AF">
            <w:pPr>
              <w:spacing w:before="100" w:beforeAutospacing="1" w:after="100" w:afterAutospacing="1" w:line="276" w:lineRule="auto"/>
              <w:rPr>
                <w:szCs w:val="20"/>
              </w:rPr>
            </w:pPr>
            <w:r w:rsidRPr="002D7CDC">
              <w:rPr>
                <w:szCs w:val="20"/>
              </w:rPr>
              <w:fldChar w:fldCharType="begin"/>
            </w:r>
            <w:r w:rsidR="00F729B0">
              <w:rPr>
                <w:szCs w:val="20"/>
              </w:rPr>
              <w:instrText xml:space="preserve"> ADDIN ZOTERO_ITEM CSL_CITATION {"citationID":"w57P0FhY","properties":{"formattedCitation":"[10]","plainCitation":"[10]","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F729B0">
              <w:rPr>
                <w:noProof/>
                <w:szCs w:val="20"/>
              </w:rPr>
              <w:t>[10]</w:t>
            </w:r>
            <w:r w:rsidRPr="002D7CDC">
              <w:rPr>
                <w:szCs w:val="20"/>
              </w:rPr>
              <w:fldChar w:fldCharType="end"/>
            </w:r>
          </w:p>
        </w:tc>
      </w:tr>
      <w:tr w:rsidR="000B68AF" w14:paraId="6F071FDD" w14:textId="77777777" w:rsidTr="0007760A">
        <w:tc>
          <w:tcPr>
            <w:tcW w:w="1202" w:type="dxa"/>
          </w:tcPr>
          <w:p w14:paraId="0453A3F1"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γ</m:t>
                </m:r>
              </m:oMath>
            </m:oMathPara>
          </w:p>
        </w:tc>
        <w:tc>
          <w:tcPr>
            <w:tcW w:w="4108" w:type="dxa"/>
          </w:tcPr>
          <w:p w14:paraId="17C50987"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c>
          <w:tcPr>
            <w:tcW w:w="1800" w:type="dxa"/>
          </w:tcPr>
          <w:p w14:paraId="7D0B43A0" w14:textId="4C6D9C2E"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50</w:t>
            </w:r>
          </w:p>
        </w:tc>
        <w:tc>
          <w:tcPr>
            <w:tcW w:w="1916" w:type="dxa"/>
          </w:tcPr>
          <w:p w14:paraId="342E4B2F" w14:textId="32500E4D" w:rsidR="000B68AF" w:rsidRPr="002D7CDC" w:rsidRDefault="000B68AF" w:rsidP="000B68AF">
            <w:pPr>
              <w:spacing w:before="100" w:beforeAutospacing="1" w:after="100" w:afterAutospacing="1" w:line="276" w:lineRule="auto"/>
              <w:rPr>
                <w:szCs w:val="20"/>
              </w:rPr>
            </w:pPr>
            <w:r w:rsidRPr="002D7CDC">
              <w:rPr>
                <w:szCs w:val="20"/>
              </w:rPr>
              <w:t>Ages 15-65</w:t>
            </w:r>
          </w:p>
        </w:tc>
      </w:tr>
      <w:tr w:rsidR="000B68AF" w14:paraId="61185994" w14:textId="77777777" w:rsidTr="0007760A">
        <w:tc>
          <w:tcPr>
            <w:tcW w:w="1202" w:type="dxa"/>
          </w:tcPr>
          <w:p w14:paraId="7F5E60A9"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62AF2B81"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7524D44B" w14:textId="1C1972B3"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0.85</w:t>
            </w:r>
          </w:p>
        </w:tc>
        <w:tc>
          <w:tcPr>
            <w:tcW w:w="1916" w:type="dxa"/>
          </w:tcPr>
          <w:p w14:paraId="20F138AF" w14:textId="29F9E034" w:rsidR="000B68AF" w:rsidRPr="002D7CDC" w:rsidRDefault="000B68AF" w:rsidP="000B68AF">
            <w:pPr>
              <w:spacing w:before="100" w:beforeAutospacing="1" w:after="100" w:afterAutospacing="1" w:line="276" w:lineRule="auto"/>
              <w:rPr>
                <w:szCs w:val="20"/>
              </w:rPr>
            </w:pPr>
            <w:r w:rsidRPr="002D7CDC">
              <w:rPr>
                <w:szCs w:val="20"/>
              </w:rPr>
              <w:fldChar w:fldCharType="begin"/>
            </w:r>
            <w:r w:rsidR="00F729B0">
              <w:rPr>
                <w:szCs w:val="20"/>
              </w:rPr>
              <w:instrText xml:space="preserve"> ADDIN ZOTERO_ITEM CSL_CITATION {"citationID":"ImYdrbxT","properties":{"formattedCitation":"[10]","plainCitation":"[10]","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F729B0">
              <w:rPr>
                <w:noProof/>
                <w:szCs w:val="20"/>
              </w:rPr>
              <w:t>[10]</w:t>
            </w:r>
            <w:r w:rsidRPr="002D7CDC">
              <w:rPr>
                <w:szCs w:val="20"/>
              </w:rPr>
              <w:fldChar w:fldCharType="end"/>
            </w:r>
          </w:p>
        </w:tc>
      </w:tr>
      <w:tr w:rsidR="000B68AF" w14:paraId="3B19744C" w14:textId="77777777" w:rsidTr="0007760A">
        <w:tc>
          <w:tcPr>
            <w:tcW w:w="1202" w:type="dxa"/>
          </w:tcPr>
          <w:p w14:paraId="7E3171F5"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49EDB31F"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3EFD947D" w14:textId="428AE10D"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0.15</w:t>
            </w:r>
          </w:p>
        </w:tc>
        <w:tc>
          <w:tcPr>
            <w:tcW w:w="1916" w:type="dxa"/>
          </w:tcPr>
          <w:p w14:paraId="21364C4A" w14:textId="4787CFC5" w:rsidR="000B68AF" w:rsidRPr="002D7CDC" w:rsidRDefault="000B68AF" w:rsidP="000B68AF">
            <w:pPr>
              <w:spacing w:before="100" w:beforeAutospacing="1" w:after="100" w:afterAutospacing="1" w:line="276" w:lineRule="auto"/>
              <w:rPr>
                <w:szCs w:val="20"/>
              </w:rPr>
            </w:pPr>
            <m:oMathPara>
              <m:oMath>
                <m:r>
                  <w:rPr>
                    <w:rFonts w:ascii="Cambria Math" w:hAnsi="Cambria Math"/>
                    <w:szCs w:val="20"/>
                  </w:rPr>
                  <m:t>1-</m:t>
                </m:r>
                <m:sSub>
                  <m:sSubPr>
                    <m:ctrlPr>
                      <w:rPr>
                        <w:rFonts w:ascii="Cambria Math" w:hAnsi="Cambria Math"/>
                        <w:i/>
                        <w:szCs w:val="20"/>
                      </w:rPr>
                    </m:ctrlPr>
                  </m:sSubPr>
                  <m:e>
                    <m:r>
                      <w:rPr>
                        <w:rFonts w:ascii="Cambria Math" w:hAnsi="Cambria Math"/>
                        <w:szCs w:val="20"/>
                      </w:rPr>
                      <m:t>q</m:t>
                    </m:r>
                  </m:e>
                  <m:sub>
                    <m:r>
                      <w:rPr>
                        <w:rFonts w:ascii="Cambria Math" w:hAnsi="Cambria Math"/>
                        <w:szCs w:val="20"/>
                      </w:rPr>
                      <m:t>L</m:t>
                    </m:r>
                  </m:sub>
                </m:sSub>
              </m:oMath>
            </m:oMathPara>
          </w:p>
        </w:tc>
      </w:tr>
      <w:tr w:rsidR="000B68AF" w14:paraId="43DFE4C6" w14:textId="77777777" w:rsidTr="0007760A">
        <w:tc>
          <w:tcPr>
            <w:tcW w:w="1202" w:type="dxa"/>
          </w:tcPr>
          <w:p w14:paraId="5A8F510A"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4724C6C5"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68EA611C" w14:textId="21D8D3EA"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0.6</w:t>
            </w:r>
          </w:p>
        </w:tc>
        <w:tc>
          <w:tcPr>
            <w:tcW w:w="1916" w:type="dxa"/>
          </w:tcPr>
          <w:p w14:paraId="029C5E72" w14:textId="171A39D9" w:rsidR="000B68AF" w:rsidRPr="002D7CDC" w:rsidRDefault="000B68AF" w:rsidP="000B68AF">
            <w:pPr>
              <w:spacing w:before="100" w:beforeAutospacing="1" w:after="100" w:afterAutospacing="1" w:line="276" w:lineRule="auto"/>
              <w:rPr>
                <w:szCs w:val="20"/>
              </w:rPr>
            </w:pPr>
            <w:r w:rsidRPr="002D7CDC">
              <w:rPr>
                <w:szCs w:val="20"/>
              </w:rPr>
              <w:fldChar w:fldCharType="begin"/>
            </w:r>
            <w:r w:rsidR="00F729B0">
              <w:rPr>
                <w:szCs w:val="20"/>
              </w:rPr>
              <w:instrText xml:space="preserve"> ADDIN ZOTERO_ITEM CSL_CITATION {"citationID":"wN04tvFd","properties":{"formattedCitation":"[10]","plainCitation":"[10]","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F729B0">
              <w:rPr>
                <w:noProof/>
                <w:szCs w:val="20"/>
              </w:rPr>
              <w:t>[10]</w:t>
            </w:r>
            <w:r w:rsidRPr="002D7CDC">
              <w:rPr>
                <w:szCs w:val="20"/>
              </w:rPr>
              <w:fldChar w:fldCharType="end"/>
            </w:r>
          </w:p>
        </w:tc>
      </w:tr>
      <w:tr w:rsidR="000B68AF" w14:paraId="1EF3BDCD" w14:textId="77777777" w:rsidTr="0007760A">
        <w:tc>
          <w:tcPr>
            <w:tcW w:w="1202" w:type="dxa"/>
          </w:tcPr>
          <w:p w14:paraId="7F5863F5"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7CFFB1A6"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784F330C" w14:textId="6232E810"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15.6</w:t>
            </w:r>
          </w:p>
        </w:tc>
        <w:tc>
          <w:tcPr>
            <w:tcW w:w="1916" w:type="dxa"/>
          </w:tcPr>
          <w:p w14:paraId="11665C68" w14:textId="572486A3" w:rsidR="000B68AF" w:rsidRPr="002D7CDC" w:rsidRDefault="000B68AF" w:rsidP="000B68AF">
            <w:pPr>
              <w:spacing w:before="100" w:beforeAutospacing="1" w:after="100" w:afterAutospacing="1" w:line="276" w:lineRule="auto"/>
              <w:rPr>
                <w:szCs w:val="20"/>
              </w:rPr>
            </w:pPr>
            <w:r w:rsidRPr="002D7CDC">
              <w:rPr>
                <w:szCs w:val="20"/>
              </w:rPr>
              <w:fldChar w:fldCharType="begin"/>
            </w:r>
            <w:r w:rsidR="00F729B0">
              <w:rPr>
                <w:szCs w:val="20"/>
              </w:rPr>
              <w:instrText xml:space="preserve"> ADDIN ZOTERO_ITEM CSL_CITATION {"citationID":"iZMaP5Y4","properties":{"formattedCitation":"[10]","plainCitation":"[10]","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F729B0">
              <w:rPr>
                <w:noProof/>
                <w:szCs w:val="20"/>
              </w:rPr>
              <w:t>[10]</w:t>
            </w:r>
            <w:r w:rsidRPr="002D7CDC">
              <w:rPr>
                <w:szCs w:val="20"/>
              </w:rPr>
              <w:fldChar w:fldCharType="end"/>
            </w:r>
          </w:p>
        </w:tc>
      </w:tr>
    </w:tbl>
    <w:p w14:paraId="5A508F87" w14:textId="3198BF3B" w:rsidR="000B68AF" w:rsidRPr="00756C05"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756C05">
        <w:rPr>
          <w:rFonts w:ascii="Times New Roman" w:eastAsia="Times New Roman" w:hAnsi="Times New Roman" w:cs="Times New Roman"/>
          <w:color w:val="000000" w:themeColor="text1"/>
          <w:kern w:val="0"/>
          <w:sz w:val="20"/>
          <w:szCs w:val="20"/>
          <w14:ligatures w14:val="none"/>
        </w:rPr>
        <w:t xml:space="preserve">Table </w:t>
      </w:r>
      <w:r>
        <w:rPr>
          <w:rFonts w:ascii="Times New Roman" w:eastAsia="Times New Roman" w:hAnsi="Times New Roman" w:cs="Times New Roman"/>
          <w:color w:val="000000" w:themeColor="text1"/>
          <w:kern w:val="0"/>
          <w:sz w:val="20"/>
          <w:szCs w:val="20"/>
          <w14:ligatures w14:val="none"/>
        </w:rPr>
        <w:t>2</w:t>
      </w:r>
      <w:r w:rsidRPr="00756C05">
        <w:rPr>
          <w:rFonts w:ascii="Times New Roman" w:eastAsia="Times New Roman" w:hAnsi="Times New Roman" w:cs="Times New Roman"/>
          <w:color w:val="000000" w:themeColor="text1"/>
          <w:kern w:val="0"/>
          <w:sz w:val="20"/>
          <w:szCs w:val="20"/>
          <w14:ligatures w14:val="none"/>
        </w:rPr>
        <w:t xml:space="preserve">: Fitted parameters. </w:t>
      </w:r>
      <w:r w:rsidRPr="00756C05">
        <w:rPr>
          <w:rFonts w:ascii="Times New Roman" w:hAnsi="Times New Roman"/>
          <w:sz w:val="20"/>
          <w:szCs w:val="20"/>
        </w:rPr>
        <w:t>Transition rate parameters (</w:t>
      </w:r>
      <m:oMath>
        <m:r>
          <w:rPr>
            <w:rFonts w:ascii="Cambria Math" w:hAnsi="Cambria Math"/>
            <w:sz w:val="20"/>
            <w:szCs w:val="20"/>
          </w:rPr>
          <m:t>θ∈</m:t>
        </m:r>
        <m:r>
          <m:rPr>
            <m:lit/>
          </m:rPr>
          <w:rPr>
            <w:rFonts w:ascii="Cambria Math" w:hAnsi="Cambria Math"/>
            <w:sz w:val="20"/>
            <w:szCs w:val="20"/>
          </w:rPr>
          <m:t>{</m:t>
        </m:r>
        <m:r>
          <w:rPr>
            <w:rFonts w:ascii="Cambria Math" w:hAnsi="Cambria Math"/>
            <w:sz w:val="20"/>
            <w:szCs w:val="20"/>
          </w:rPr>
          <m:t>σ,μ,ρ,</m:t>
        </m:r>
        <m:r>
          <w:rPr>
            <w:rFonts w:ascii="Cambria Math" w:eastAsia="Times New Roman" w:hAnsi="Cambria Math" w:cs="Times New Roman"/>
            <w:color w:val="000000" w:themeColor="text1"/>
            <w:kern w:val="0"/>
            <w:sz w:val="20"/>
            <w:szCs w:val="20"/>
            <w14:ligatures w14:val="none"/>
          </w:rPr>
          <m:t>ν</m:t>
        </m:r>
        <m:r>
          <m:rPr>
            <m:lit/>
          </m:rPr>
          <w:rPr>
            <w:rFonts w:ascii="Cambria Math" w:hAnsi="Cambria Math"/>
            <w:sz w:val="20"/>
            <w:szCs w:val="20"/>
          </w:rPr>
          <m:t>}</m:t>
        </m:r>
      </m:oMath>
      <w:r w:rsidRPr="00756C05">
        <w:rPr>
          <w:rFonts w:ascii="Times New Roman" w:hAnsi="Times New Roman"/>
          <w:sz w:val="20"/>
          <w:szCs w:val="20"/>
        </w:rPr>
        <w:t xml:space="preserve">) are presented in an annual basis, giving a mean time to transition of </w:t>
      </w:r>
      <m:oMath>
        <m:r>
          <w:rPr>
            <w:rFonts w:ascii="Cambria Math" w:hAnsi="Cambria Math"/>
            <w:sz w:val="20"/>
            <w:szCs w:val="20"/>
          </w:rPr>
          <m:t>365/θ</m:t>
        </m:r>
      </m:oMath>
      <w:r w:rsidRPr="00756C05">
        <w:rPr>
          <w:rFonts w:ascii="Times New Roman" w:hAnsi="Times New Roman"/>
          <w:sz w:val="20"/>
          <w:szCs w:val="20"/>
        </w:rPr>
        <w:t xml:space="preserve"> days.</w:t>
      </w:r>
      <w:r>
        <w:rPr>
          <w:rFonts w:ascii="Times New Roman" w:hAnsi="Times New Roman"/>
          <w:sz w:val="20"/>
          <w:szCs w:val="20"/>
        </w:rPr>
        <w:t xml:space="preserve"> </w:t>
      </w:r>
    </w:p>
    <w:tbl>
      <w:tblPr>
        <w:tblStyle w:val="TableGrid"/>
        <w:tblW w:w="0" w:type="auto"/>
        <w:tblLook w:val="04A0" w:firstRow="1" w:lastRow="0" w:firstColumn="1" w:lastColumn="0" w:noHBand="0" w:noVBand="1"/>
      </w:tblPr>
      <w:tblGrid>
        <w:gridCol w:w="770"/>
        <w:gridCol w:w="4720"/>
        <w:gridCol w:w="2764"/>
        <w:gridCol w:w="772"/>
      </w:tblGrid>
      <w:tr w:rsidR="000B68AF" w14:paraId="7B0E73B8" w14:textId="77777777" w:rsidTr="0007760A">
        <w:tc>
          <w:tcPr>
            <w:tcW w:w="770" w:type="dxa"/>
            <w:tcBorders>
              <w:top w:val="single" w:sz="4" w:space="0" w:color="auto"/>
              <w:bottom w:val="single" w:sz="4" w:space="0" w:color="auto"/>
            </w:tcBorders>
          </w:tcPr>
          <w:p w14:paraId="5F9F06FB"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p>
        </w:tc>
        <w:tc>
          <w:tcPr>
            <w:tcW w:w="4720" w:type="dxa"/>
            <w:tcBorders>
              <w:top w:val="single" w:sz="4" w:space="0" w:color="auto"/>
              <w:bottom w:val="single" w:sz="4" w:space="0" w:color="auto"/>
            </w:tcBorders>
          </w:tcPr>
          <w:p w14:paraId="72DBBC5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2764" w:type="dxa"/>
            <w:tcBorders>
              <w:top w:val="single" w:sz="4" w:space="0" w:color="auto"/>
              <w:bottom w:val="single" w:sz="4" w:space="0" w:color="auto"/>
            </w:tcBorders>
          </w:tcPr>
          <w:p w14:paraId="72D4A0A1"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Prior</w:t>
            </w:r>
          </w:p>
        </w:tc>
        <w:tc>
          <w:tcPr>
            <w:tcW w:w="772" w:type="dxa"/>
            <w:tcBorders>
              <w:top w:val="single" w:sz="4" w:space="0" w:color="auto"/>
              <w:bottom w:val="single" w:sz="4" w:space="0" w:color="auto"/>
            </w:tcBorders>
          </w:tcPr>
          <w:p w14:paraId="622330A7"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0B68AF" w14:paraId="611D3546" w14:textId="77777777" w:rsidTr="0007760A">
        <w:tc>
          <w:tcPr>
            <w:tcW w:w="770" w:type="dxa"/>
            <w:tcBorders>
              <w:top w:val="single" w:sz="4" w:space="0" w:color="auto"/>
            </w:tcBorders>
          </w:tcPr>
          <w:p w14:paraId="747A601D"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β</m:t>
                </m:r>
              </m:oMath>
            </m:oMathPara>
          </w:p>
        </w:tc>
        <w:tc>
          <w:tcPr>
            <w:tcW w:w="4720" w:type="dxa"/>
            <w:tcBorders>
              <w:top w:val="single" w:sz="4" w:space="0" w:color="auto"/>
            </w:tcBorders>
          </w:tcPr>
          <w:p w14:paraId="15C6258F"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c>
          <w:tcPr>
            <w:tcW w:w="2764" w:type="dxa"/>
            <w:tcBorders>
              <w:top w:val="single" w:sz="4" w:space="0" w:color="auto"/>
            </w:tcBorders>
          </w:tcPr>
          <w:p w14:paraId="6D9B9D8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Borders>
              <w:top w:val="single" w:sz="4" w:space="0" w:color="auto"/>
            </w:tcBorders>
          </w:tcPr>
          <w:p w14:paraId="05F69E22" w14:textId="0D128563"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{"citationID":"jWnqThrZ","properties":{"formattedCitation":"[15]","plainCitation":"[15]","noteIndex":0},"citationItems":[{"id":297,"uris":["http://zotero.org/users/9663344/items/KC9H5ARD"],"itemData":{"id":297,"type":"article-journal","abstract":"Gonorrhea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6A72CBF7" w14:textId="77777777" w:rsidTr="0007760A">
        <w:tc>
          <w:tcPr>
            <w:tcW w:w="770" w:type="dxa"/>
          </w:tcPr>
          <w:p w14:paraId="38919DBD"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β</m:t>
                    </m:r>
                  </m:sub>
                </m:sSub>
              </m:oMath>
            </m:oMathPara>
          </w:p>
        </w:tc>
        <w:tc>
          <w:tcPr>
            <w:tcW w:w="4720" w:type="dxa"/>
          </w:tcPr>
          <w:p w14:paraId="455D374C"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c>
          <w:tcPr>
            <w:tcW w:w="2764" w:type="dxa"/>
          </w:tcPr>
          <w:p w14:paraId="241F3E1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5D9CFBC0" w14:textId="430C56C5"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{"citationID":"09jqa9HJ","properties":{"formattedCitation":"[15]","plainCitation":"[15]","noteIndex":0},"citationItems":[{"id":297,"uris":["http://zotero.org/users/9663344/items/KC9H5ARD"],"itemData":{"id":297,"type":"article-journal","abstract":"Gonorrhea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1502F514" w14:textId="77777777" w:rsidTr="0007760A">
        <w:tc>
          <w:tcPr>
            <w:tcW w:w="770" w:type="dxa"/>
          </w:tcPr>
          <w:p w14:paraId="5107AD0E"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4720" w:type="dxa"/>
          </w:tcPr>
          <w:p w14:paraId="2E86C243"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c>
          <w:tcPr>
            <w:tcW w:w="2764" w:type="dxa"/>
          </w:tcPr>
          <w:p w14:paraId="02D7457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17904710" w14:textId="1392AFAB"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{"citationID":"qZtQyyFj","properties":{"formattedCitation":"[15]","plainCitation":"[15]","noteIndex":0},"citationItems":[{"id":297,"uris":["http://zotero.org/users/9663344/items/KC9H5ARD"],"itemData":{"id":297,"type":"article-journal","abstract":"Gonorrhea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315876D7" w14:textId="77777777" w:rsidTr="0007760A">
        <w:tc>
          <w:tcPr>
            <w:tcW w:w="770" w:type="dxa"/>
          </w:tcPr>
          <w:p w14:paraId="2D80B697"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σ</m:t>
                </m:r>
              </m:oMath>
            </m:oMathPara>
          </w:p>
        </w:tc>
        <w:tc>
          <w:tcPr>
            <w:tcW w:w="4720" w:type="dxa"/>
          </w:tcPr>
          <w:p w14:paraId="3DE98CC8"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c>
          <w:tcPr>
            <w:tcW w:w="2764" w:type="dxa"/>
          </w:tcPr>
          <w:p w14:paraId="43CAAAE6"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[16.7, 4.6]</w:t>
            </w:r>
          </w:p>
        </w:tc>
        <w:tc>
          <w:tcPr>
            <w:tcW w:w="772" w:type="dxa"/>
          </w:tcPr>
          <w:p w14:paraId="510B1604" w14:textId="694FFEA6"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{"citationID":"TIJSJcID","properties":{"formattedCitation":"[15]","plainCitation":"[15]","noteIndex":0},"citationItems":[{"id":297,"uris":["http://zotero.org/users/9663344/items/KC9H5ARD"],"itemData":{"id":297,"type":"article-journal","abstract":"Gonorrhea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78F94283" w14:textId="77777777" w:rsidTr="0007760A">
        <w:tc>
          <w:tcPr>
            <w:tcW w:w="770" w:type="dxa"/>
          </w:tcPr>
          <w:p w14:paraId="29D3D259"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ψ</m:t>
                </m:r>
              </m:oMath>
            </m:oMathPara>
          </w:p>
        </w:tc>
        <w:tc>
          <w:tcPr>
            <w:tcW w:w="4720" w:type="dxa"/>
          </w:tcPr>
          <w:p w14:paraId="3E397BAC"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c>
          <w:tcPr>
            <w:tcW w:w="2764" w:type="dxa"/>
          </w:tcPr>
          <w:p w14:paraId="3E4A391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407C3B3C" w14:textId="570D26A2"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{"citationID":"eZSERn4C","properties":{"formattedCitation":"[15]","plainCitation":"[15]","noteIndex":0},"citationItems":[{"id":297,"uris":["http://zotero.org/users/9663344/items/KC9H5ARD"],"itemData":{"id":297,"type":"article-journal","abstract":"Gonorrhea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471FFE41" w14:textId="77777777" w:rsidTr="0007760A">
        <w:tc>
          <w:tcPr>
            <w:tcW w:w="770" w:type="dxa"/>
          </w:tcPr>
          <w:p w14:paraId="0D799401"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μ</m:t>
                </m:r>
              </m:oMath>
            </m:oMathPara>
          </w:p>
        </w:tc>
        <w:tc>
          <w:tcPr>
            <w:tcW w:w="4720" w:type="dxa"/>
          </w:tcPr>
          <w:p w14:paraId="0C2F99F2"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c>
          <w:tcPr>
            <w:tcW w:w="2764" w:type="dxa"/>
          </w:tcPr>
          <w:p w14:paraId="19319981"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[3.2, 42.6]</w:t>
            </w:r>
          </w:p>
        </w:tc>
        <w:tc>
          <w:tcPr>
            <w:tcW w:w="772" w:type="dxa"/>
          </w:tcPr>
          <w:p w14:paraId="1EDAB35F" w14:textId="76E902CC"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{"citationID":"ugcbcWQ3","properties":{"formattedCitation":"[15]","plainCitation":"[15]","noteIndex":0},"citationItems":[{"id":297,"uris":["http://zotero.org/users/9663344/items/KC9H5ARD"],"itemData":{"id":297,"type":"article-journal","abstract":"Gonorrhea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3B0AC327" w14:textId="77777777" w:rsidTr="0007760A">
        <w:tc>
          <w:tcPr>
            <w:tcW w:w="770" w:type="dxa"/>
          </w:tcPr>
          <w:p w14:paraId="3169ED0A"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η</m:t>
                    </m: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iCs/>
                        <w:color w:val="000000" w:themeColor="text1"/>
                        <w:kern w:val="0"/>
                        <w:szCs w:val="20"/>
                        <w14:ligatures w14:val="none"/>
                      </w:rPr>
                    </m:ctrlPr>
                  </m:dPr>
                  <m:e>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720" w:type="dxa"/>
          </w:tcPr>
          <w:p w14:paraId="47B761EA"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c>
          <w:tcPr>
            <w:tcW w:w="2764" w:type="dxa"/>
          </w:tcPr>
          <w:p w14:paraId="61341A3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4]</w:t>
            </w:r>
          </w:p>
        </w:tc>
        <w:tc>
          <w:tcPr>
            <w:tcW w:w="772" w:type="dxa"/>
          </w:tcPr>
          <w:p w14:paraId="26DE590B" w14:textId="4D368B26"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{"citationID":"nDqqyIAO","properties":{"formattedCitation":"[15]","plainCitation":"[15]","noteIndex":0},"citationItems":[{"id":297,"uris":["http://zotero.org/users/9663344/items/KC9H5ARD"],"itemData":{"id":297,"type":"article-journal","abstract":"Gonorrhea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3BDE84AB" w14:textId="77777777" w:rsidTr="0007760A">
        <w:tc>
          <w:tcPr>
            <w:tcW w:w="770" w:type="dxa"/>
          </w:tcPr>
          <w:p w14:paraId="26ED85F0"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ω</m:t>
                </m:r>
              </m:oMath>
            </m:oMathPara>
          </w:p>
        </w:tc>
        <w:tc>
          <w:tcPr>
            <w:tcW w:w="4720" w:type="dxa"/>
          </w:tcPr>
          <w:p w14:paraId="013808B4"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c>
          <w:tcPr>
            <w:tcW w:w="2764" w:type="dxa"/>
          </w:tcPr>
          <w:p w14:paraId="5DB2A3ED"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proofErr w:type="gramStart"/>
            <w:r w:rsidRPr="002D7CDC">
              <w:rPr>
                <w:szCs w:val="20"/>
                <w:lang w:val="en-US"/>
              </w:rPr>
              <w:t>logN[</w:t>
            </w:r>
            <w:proofErr w:type="gramEnd"/>
            <w:r w:rsidRPr="002D7CDC">
              <w:rPr>
                <w:szCs w:val="20"/>
                <w:lang w:val="en-US"/>
              </w:rPr>
              <w:t>-0.87, 0.39]</w:t>
            </w:r>
          </w:p>
        </w:tc>
        <w:tc>
          <w:tcPr>
            <w:tcW w:w="772" w:type="dxa"/>
          </w:tcPr>
          <w:p w14:paraId="2947A054" w14:textId="4A9CAB8D" w:rsidR="000B68AF" w:rsidRPr="002D7CDC" w:rsidRDefault="000B68AF" w:rsidP="0007760A">
            <w:pPr>
              <w:spacing w:before="100" w:beforeAutospacing="1" w:after="100" w:afterAutospacing="1" w:line="276" w:lineRule="auto"/>
              <w:rPr>
                <w:szCs w:val="20"/>
                <w:lang w:val="en-US"/>
              </w:rPr>
            </w:pPr>
            <w:r>
              <w:rPr>
                <w:szCs w:val="20"/>
              </w:rPr>
              <w:fldChar w:fldCharType="begin"/>
            </w:r>
            <w:r w:rsidR="00F729B0">
              <w:rPr>
                <w:szCs w:val="20"/>
              </w:rPr>
              <w:instrText xml:space="preserve"> ADDIN ZOTERO_ITEM CSL_CITATION {"citationID":"87w9wO7R","properties":{"formattedCitation":"[15]","plainCitation":"[15]","noteIndex":0},"citationItems":[{"id":297,"uris":["http://zotero.org/users/9663344/items/KC9H5ARD"],"itemData":{"id":297,"type":"article-journal","abstract":"Gonorrhea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56F3A7D8" w14:textId="77777777" w:rsidTr="0007760A">
        <w:tc>
          <w:tcPr>
            <w:tcW w:w="770" w:type="dxa"/>
          </w:tcPr>
          <w:p w14:paraId="629458E7"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η</m:t>
                    </m:r>
                  </m:sub>
                </m:sSub>
              </m:oMath>
            </m:oMathPara>
          </w:p>
        </w:tc>
        <w:tc>
          <w:tcPr>
            <w:tcW w:w="4720" w:type="dxa"/>
          </w:tcPr>
          <w:p w14:paraId="70238C61"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c>
          <w:tcPr>
            <w:tcW w:w="2764" w:type="dxa"/>
          </w:tcPr>
          <w:p w14:paraId="1ECD45C0"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772" w:type="dxa"/>
          </w:tcPr>
          <w:p w14:paraId="43F9886D" w14:textId="3C99D7CF"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{"citationID":"sl4pPGPK","properties":{"formattedCitation":"[15]","plainCitation":"[15]","noteIndex":0},"citationItems":[{"id":297,"uris":["http://zotero.org/users/9663344/items/KC9H5ARD"],"itemData":{"id":297,"type":"article-journal","abstract":"Gonorrhea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0DB38414" w14:textId="77777777" w:rsidTr="0007760A">
        <w:tc>
          <w:tcPr>
            <w:tcW w:w="770" w:type="dxa"/>
          </w:tcPr>
          <w:p w14:paraId="5C7AF909"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ρ</m:t>
                </m:r>
              </m:oMath>
            </m:oMathPara>
          </w:p>
        </w:tc>
        <w:tc>
          <w:tcPr>
            <w:tcW w:w="4720" w:type="dxa"/>
          </w:tcPr>
          <w:p w14:paraId="74B0B9DD"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c>
          <w:tcPr>
            <w:tcW w:w="2764" w:type="dxa"/>
          </w:tcPr>
          <w:p w14:paraId="3AD74D3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[108.6, 0.48]</w:t>
            </w:r>
          </w:p>
        </w:tc>
        <w:tc>
          <w:tcPr>
            <w:tcW w:w="772" w:type="dxa"/>
          </w:tcPr>
          <w:p w14:paraId="70B93F05" w14:textId="4823AB91"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{"citationID":"J5ExjMLp","properties":{"formattedCitation":"[15]","plainCitation":"[15]","noteIndex":0},"citationItems":[{"id":297,"uris":["http://zotero.org/users/9663344/items/KC9H5ARD"],"itemData":{"id":297,"type":"article-journal","abstract":"Gonorrhea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3DCD9C46" w14:textId="77777777" w:rsidTr="0007760A">
        <w:tc>
          <w:tcPr>
            <w:tcW w:w="770" w:type="dxa"/>
          </w:tcPr>
          <w:p w14:paraId="3ADE9DE7" w14:textId="77777777" w:rsidR="000B68AF" w:rsidRPr="00D32E21" w:rsidRDefault="000B68AF" w:rsidP="0007760A">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ν</m:t>
                </m:r>
              </m:oMath>
            </m:oMathPara>
          </w:p>
        </w:tc>
        <w:tc>
          <w:tcPr>
            <w:tcW w:w="4720" w:type="dxa"/>
          </w:tcPr>
          <w:p w14:paraId="095C67F6"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c>
          <w:tcPr>
            <w:tcW w:w="2764" w:type="dxa"/>
          </w:tcPr>
          <w:p w14:paraId="390CEEF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[8.5, 0.27]</w:t>
            </w:r>
          </w:p>
        </w:tc>
        <w:tc>
          <w:tcPr>
            <w:tcW w:w="772" w:type="dxa"/>
          </w:tcPr>
          <w:p w14:paraId="4037F563" w14:textId="5EA4D5F9"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F729B0">
              <w:rPr>
                <w:szCs w:val="20"/>
              </w:rPr>
              <w:instrText xml:space="preserve"> ADDIN ZOTERO_ITEM CSL_CITATION {"citationID":"AGPC9Qni","properties":{"formattedCitation":"[15]","plainCitation":"[15]","noteIndex":0},"citationItems":[{"id":297,"uris":["http://zotero.org/users/9663344/items/KC9H5ARD"],"itemData":{"id":297,"type":"article-journal","abstract":"Gonorrhea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F729B0">
              <w:rPr>
                <w:rFonts w:hint="eastAsia"/>
                <w:szCs w:val="20"/>
              </w:rPr>
              <w:instrText>≥</w:instrText>
            </w:r>
            <w:r w:rsidR="00F729B0">
              <w:rPr>
                <w:szCs w:val="20"/>
              </w:rPr>
              <w:instrText xml:space="preserve"> 52% protection for </w:instrText>
            </w:r>
            <w:r w:rsidR="00F729B0">
              <w:rPr>
                <w:rFonts w:hint="eastAsia"/>
                <w:szCs w:val="20"/>
              </w:rPr>
              <w:instrText>≥</w:instrText>
            </w:r>
            <w:r w:rsidR="00F729B0">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F729B0">
              <w:rPr>
                <w:noProof/>
                <w:szCs w:val="20"/>
              </w:rPr>
              <w:t>[15]</w:t>
            </w:r>
            <w:r>
              <w:rPr>
                <w:szCs w:val="20"/>
              </w:rPr>
              <w:fldChar w:fldCharType="end"/>
            </w:r>
          </w:p>
        </w:tc>
      </w:tr>
      <w:tr w:rsidR="000B68AF" w14:paraId="1F304F5A" w14:textId="77777777" w:rsidTr="0007760A">
        <w:tc>
          <w:tcPr>
            <w:tcW w:w="770" w:type="dxa"/>
          </w:tcPr>
          <w:p w14:paraId="13F103F2" w14:textId="77777777" w:rsidR="000B68AF" w:rsidRDefault="000B68AF" w:rsidP="0007760A">
            <w:pPr>
              <w:spacing w:before="100" w:beforeAutospacing="1" w:after="100" w:afterAutospacing="1" w:line="276" w:lineRule="auto"/>
              <w:rPr>
                <w:rFonts w:ascii="Aptos" w:eastAsia="DengXian" w:hAnsi="Aptos"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ϕ</m:t>
                </m:r>
              </m:oMath>
            </m:oMathPara>
          </w:p>
        </w:tc>
        <w:tc>
          <w:tcPr>
            <w:tcW w:w="4720" w:type="dxa"/>
          </w:tcPr>
          <w:p w14:paraId="20311E94"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c>
          <w:tcPr>
            <w:tcW w:w="2764" w:type="dxa"/>
          </w:tcPr>
          <w:p w14:paraId="176EC812"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[0.001, 1000]</w:t>
            </w:r>
          </w:p>
        </w:tc>
        <w:tc>
          <w:tcPr>
            <w:tcW w:w="772" w:type="dxa"/>
          </w:tcPr>
          <w:p w14:paraId="0FFE05C7" w14:textId="74872B18"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{"citationID":"byXQfm3S","properties":{"formattedCitation":"[6]","plainCitation":"[6]","noteIndex":0},"citationItems":[{"id":420,"uris":["http://zotero.org/users/9663344/items/ZQGG9PCA"],"itemData":{"id":420,"type":"webpage","container-title":"UK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[6]</w:t>
            </w:r>
            <w:r>
              <w:rPr>
                <w:rFonts w:eastAsia="Times New Roman" w:cs="Times New Roman"/>
                <w:color w:val="000000" w:themeColor="text1"/>
                <w:kern w:val="0"/>
                <w:szCs w:val="20"/>
                <w14:ligatures w14:val="none"/>
              </w:rPr>
              <w:fldChar w:fldCharType="end"/>
            </w:r>
          </w:p>
        </w:tc>
      </w:tr>
      <w:tr w:rsidR="000B68AF" w14:paraId="3C31F584" w14:textId="77777777" w:rsidTr="0007760A">
        <w:tc>
          <w:tcPr>
            <w:tcW w:w="770" w:type="dxa"/>
          </w:tcPr>
          <w:p w14:paraId="1B61020B" w14:textId="77777777" w:rsidR="000B68AF" w:rsidRDefault="000B68AF" w:rsidP="0007760A">
            <w:pPr>
              <w:spacing w:before="100" w:beforeAutospacing="1" w:after="100" w:afterAutospacing="1" w:line="276" w:lineRule="auto"/>
              <w:rPr>
                <w:rFonts w:ascii="Aptos" w:eastAsia="DengXian" w:hAnsi="Aptos" w:cs="Times New Roman"/>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4720" w:type="dxa"/>
          </w:tcPr>
          <w:p w14:paraId="73982B5F"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c>
          <w:tcPr>
            <w:tcW w:w="2764" w:type="dxa"/>
          </w:tcPr>
          <w:p w14:paraId="2FC4D160"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logN[-0.0204, 0.02]</w:t>
            </w:r>
          </w:p>
        </w:tc>
        <w:tc>
          <w:tcPr>
            <w:tcW w:w="772" w:type="dxa"/>
          </w:tcPr>
          <w:p w14:paraId="2CA11F13" w14:textId="02C64F00"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{"citationID":"4PPeZTZN","properties":{"formattedCitation":"[14]","plainCitation":"[14]","noteIndex":0},"citationItems":[{"id":187,"uris":["http://zotero.org/users/9663344/items/HYSVKZR9"],"itemData":{"id":187,"type":"article-journal","abstract":"Background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[14]</w:t>
            </w:r>
            <w:r>
              <w:rPr>
                <w:rFonts w:eastAsia="Times New Roman" w:cs="Times New Roman"/>
                <w:color w:val="000000" w:themeColor="text1"/>
                <w:kern w:val="0"/>
                <w:szCs w:val="20"/>
                <w14:ligatures w14:val="none"/>
              </w:rPr>
              <w:fldChar w:fldCharType="end"/>
            </w:r>
          </w:p>
        </w:tc>
      </w:tr>
      <w:tr w:rsidR="000B68AF" w14:paraId="3405352F" w14:textId="77777777" w:rsidTr="0007760A">
        <w:tc>
          <w:tcPr>
            <w:tcW w:w="770" w:type="dxa"/>
          </w:tcPr>
          <w:p w14:paraId="63A4AC15"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4720" w:type="dxa"/>
          </w:tcPr>
          <w:p w14:paraId="3F6A8762"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c>
          <w:tcPr>
            <w:tcW w:w="2764" w:type="dxa"/>
          </w:tcPr>
          <w:p w14:paraId="74D887B3"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logN[-0.0204, 0.02]</w:t>
            </w:r>
          </w:p>
        </w:tc>
        <w:tc>
          <w:tcPr>
            <w:tcW w:w="772" w:type="dxa"/>
          </w:tcPr>
          <w:p w14:paraId="31DADAB6" w14:textId="18706D5B"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{"citationID":"w3hdUG4f","properties":{"formattedCitation":"[14]","plainCitation":"[14]","noteIndex":0},"citationItems":[{"id":187,"uris":["http://zotero.org/users/9663344/items/HYSVKZR9"],"itemData":{"id":187,"type":"article-journal","abstract":"Background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[14]</w:t>
            </w:r>
            <w:r>
              <w:rPr>
                <w:rFonts w:eastAsia="Times New Roman" w:cs="Times New Roman"/>
                <w:color w:val="000000" w:themeColor="text1"/>
                <w:kern w:val="0"/>
                <w:szCs w:val="20"/>
                <w14:ligatures w14:val="none"/>
              </w:rPr>
              <w:fldChar w:fldCharType="end"/>
            </w:r>
          </w:p>
        </w:tc>
      </w:tr>
      <w:tr w:rsidR="000B68AF" w14:paraId="3E9A64C0" w14:textId="77777777" w:rsidTr="0007760A">
        <w:tc>
          <w:tcPr>
            <w:tcW w:w="770" w:type="dxa"/>
          </w:tcPr>
          <w:p w14:paraId="46D62756"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4720" w:type="dxa"/>
          </w:tcPr>
          <w:p w14:paraId="20AFF13A"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c>
          <w:tcPr>
            <w:tcW w:w="2764" w:type="dxa"/>
          </w:tcPr>
          <w:p w14:paraId="18C5EF87"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logN[-0.0408, 0.02]</w:t>
            </w:r>
          </w:p>
        </w:tc>
        <w:tc>
          <w:tcPr>
            <w:tcW w:w="772" w:type="dxa"/>
          </w:tcPr>
          <w:p w14:paraId="7C82BD05" w14:textId="23D67CE1"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{"citationID":"wPKQhZXB","properties":{"formattedCitation":"[14]","plainCitation":"[14]","noteIndex":0},"citationItems":[{"id":187,"uris":["http://zotero.org/users/9663344/items/HYSVKZR9"],"itemData":{"id":187,"type":"article-journal","abstract":"Background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[14]</w:t>
            </w:r>
            <w:r>
              <w:rPr>
                <w:rFonts w:eastAsia="Times New Roman" w:cs="Times New Roman"/>
                <w:color w:val="000000" w:themeColor="text1"/>
                <w:kern w:val="0"/>
                <w:szCs w:val="20"/>
                <w14:ligatures w14:val="none"/>
              </w:rPr>
              <w:fldChar w:fldCharType="end"/>
            </w:r>
          </w:p>
        </w:tc>
      </w:tr>
      <w:tr w:rsidR="000B68AF" w14:paraId="3F0FF4F8" w14:textId="77777777" w:rsidTr="0007760A">
        <w:tc>
          <w:tcPr>
            <w:tcW w:w="770" w:type="dxa"/>
          </w:tcPr>
          <w:p w14:paraId="4417DDDC"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4720" w:type="dxa"/>
          </w:tcPr>
          <w:p w14:paraId="62A71F08"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c>
          <w:tcPr>
            <w:tcW w:w="2764" w:type="dxa"/>
          </w:tcPr>
          <w:p w14:paraId="405E5524"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logN[log10</w:t>
            </w:r>
            <w:r>
              <w:rPr>
                <w:rFonts w:eastAsia="Times New Roman" w:cs="Times New Roman"/>
                <w:color w:val="000000" w:themeColor="text1"/>
                <w:kern w:val="0"/>
                <w:szCs w:val="20"/>
                <w:vertAlign w:val="superscript"/>
                <w14:ligatures w14:val="none"/>
              </w:rPr>
              <w:t>-8</w:t>
            </w:r>
            <w:r>
              <w:rPr>
                <w:rFonts w:eastAsia="Times New Roman" w:cs="Times New Roman"/>
                <w:color w:val="000000" w:themeColor="text1"/>
                <w:kern w:val="0"/>
                <w:szCs w:val="20"/>
                <w14:ligatures w14:val="none"/>
              </w:rPr>
              <w:t>, 0.01]</w:t>
            </w:r>
          </w:p>
        </w:tc>
        <w:tc>
          <w:tcPr>
            <w:tcW w:w="772" w:type="dxa"/>
          </w:tcPr>
          <w:p w14:paraId="7DF51ABE" w14:textId="2631B39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{"citationID":"spVCCqJ8","properties":{"formattedCitation":"[14]","plainCitation":"[14]","noteIndex":0},"citationItems":[{"id":187,"uris":["http://zotero.org/users/9663344/items/HYSVKZR9"],"itemData":{"id":187,"type":"article-journal","abstract":"Background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[14]</w:t>
            </w:r>
            <w:r>
              <w:rPr>
                <w:rFonts w:eastAsia="Times New Roman" w:cs="Times New Roman"/>
                <w:color w:val="000000" w:themeColor="text1"/>
                <w:kern w:val="0"/>
                <w:szCs w:val="20"/>
                <w14:ligatures w14:val="none"/>
              </w:rPr>
              <w:fldChar w:fldCharType="end"/>
            </w:r>
          </w:p>
        </w:tc>
      </w:tr>
      <w:tr w:rsidR="000B68AF" w14:paraId="55D222E8" w14:textId="77777777" w:rsidTr="0007760A">
        <w:tc>
          <w:tcPr>
            <w:tcW w:w="770" w:type="dxa"/>
          </w:tcPr>
          <w:p w14:paraId="62359101" w14:textId="77777777" w:rsidR="000B68AF" w:rsidRDefault="000B68AF" w:rsidP="0007760A">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4720" w:type="dxa"/>
          </w:tcPr>
          <w:p w14:paraId="3C08B512" w14:textId="77777777" w:rsidR="000B68AF" w:rsidRDefault="000B68AF" w:rsidP="0007760A">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c>
          <w:tcPr>
            <w:tcW w:w="2764" w:type="dxa"/>
          </w:tcPr>
          <w:p w14:paraId="351747FC"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[0.001, 1000]</w:t>
            </w:r>
          </w:p>
        </w:tc>
        <w:tc>
          <w:tcPr>
            <w:tcW w:w="772" w:type="dxa"/>
          </w:tcPr>
          <w:p w14:paraId="59315D38" w14:textId="3F498075"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{"citationID":"ZT9FOlgN","properties":{"formattedCitation":"[14]","plainCitation":"[14]","noteIndex":0},"citationItems":[{"id":187,"uris":["http://zotero.org/users/9663344/items/HYSVKZR9"],"itemData":{"id":187,"type":"article-journal","abstract":"Background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[14]</w:t>
            </w:r>
            <w:r>
              <w:rPr>
                <w:rFonts w:eastAsia="Times New Roman" w:cs="Times New Roman"/>
                <w:color w:val="000000" w:themeColor="text1"/>
                <w:kern w:val="0"/>
                <w:szCs w:val="20"/>
                <w14:ligatures w14:val="none"/>
              </w:rPr>
              <w:fldChar w:fldCharType="end"/>
            </w:r>
          </w:p>
        </w:tc>
      </w:tr>
    </w:tbl>
    <w:p w14:paraId="0C0E4E81" w14:textId="31DD353F" w:rsidR="000B68AF" w:rsidRDefault="000B68AF" w:rsidP="009701A4">
      <w:pPr>
        <w:pStyle w:val="NormalWeb"/>
        <w:spacing w:line="276" w:lineRule="auto"/>
        <w:jc w:val="both"/>
        <w:rPr>
          <w:sz w:val="20"/>
          <w:szCs w:val="20"/>
        </w:rPr>
        <w:sectPr w:rsidR="000B68AF" w:rsidSect="001725A7">
          <w:pgSz w:w="11906" w:h="16838"/>
          <w:pgMar w:top="1440" w:right="1440" w:bottom="1440" w:left="1440" w:header="708" w:footer="708" w:gutter="0"/>
          <w:cols w:space="708"/>
          <w:docGrid w:linePitch="360"/>
        </w:sectPr>
      </w:pPr>
    </w:p>
    <w:p w14:paraId="0A66F148" w14:textId="5590B512" w:rsidR="006173E0" w:rsidRPr="001010DC" w:rsidRDefault="006173E0" w:rsidP="006173E0">
      <w:pPr>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lastRenderedPageBreak/>
        <w:t xml:space="preserve">Table </w:t>
      </w:r>
      <w:r>
        <w:rPr>
          <w:rFonts w:ascii="Times New Roman" w:hAnsi="Times New Roman" w:cs="Times New Roman"/>
          <w:color w:val="000000"/>
          <w:sz w:val="20"/>
          <w:szCs w:val="20"/>
          <w:lang w:val="en-GB"/>
        </w:rPr>
        <w:t>1</w:t>
      </w:r>
      <w:r w:rsidRPr="002D7CDC">
        <w:rPr>
          <w:rFonts w:ascii="Times New Roman" w:hAnsi="Times New Roman" w:cs="Times New Roman"/>
          <w:color w:val="000000"/>
          <w:sz w:val="20"/>
          <w:szCs w:val="20"/>
          <w:lang w:val="en-GB"/>
        </w:rPr>
        <w:t xml:space="preserve">. </w:t>
      </w:r>
      <w:r w:rsidRPr="006108A8">
        <w:rPr>
          <w:rFonts w:ascii="Times New Roman" w:hAnsi="Times New Roman" w:cs="Times New Roman"/>
          <w:color w:val="0D0D0D"/>
          <w:sz w:val="20"/>
          <w:szCs w:val="20"/>
          <w:shd w:val="clear" w:color="auto" w:fill="FFFFFF"/>
          <w:lang w:val="en-US"/>
        </w:rPr>
        <w:t xml:space="preserve">Annual </w:t>
      </w:r>
      <w:r w:rsidRPr="006108A8">
        <w:rPr>
          <w:rFonts w:ascii="Times New Roman" w:hAnsi="Times New Roman" w:cs="Times New Roman"/>
          <w:color w:val="0D0D0D"/>
          <w:sz w:val="20"/>
          <w:szCs w:val="20"/>
          <w:shd w:val="clear" w:color="auto" w:fill="FFFFFF"/>
          <w:lang w:val="en-US"/>
        </w:rPr>
        <w:t>gonorrhea</w:t>
      </w:r>
      <w:r w:rsidRPr="006108A8">
        <w:rPr>
          <w:rFonts w:ascii="Times New Roman" w:hAnsi="Times New Roman" w:cs="Times New Roman"/>
          <w:color w:val="0D0D0D"/>
          <w:sz w:val="20"/>
          <w:szCs w:val="20"/>
          <w:shd w:val="clear" w:color="auto" w:fill="FFFFFF"/>
          <w:lang w:val="en-US"/>
        </w:rPr>
        <w:t xml:space="preserve"> diagnose</w:t>
      </w:r>
      <w:r w:rsidR="006108A8" w:rsidRPr="006108A8">
        <w:rPr>
          <w:rFonts w:ascii="Times New Roman" w:hAnsi="Times New Roman" w:cs="Times New Roman"/>
          <w:color w:val="0D0D0D"/>
          <w:sz w:val="20"/>
          <w:szCs w:val="20"/>
          <w:shd w:val="clear" w:color="auto" w:fill="FFFFFF"/>
          <w:lang w:val="en-US"/>
        </w:rPr>
        <w:t xml:space="preserve">s, tests, </w:t>
      </w:r>
      <w:r w:rsidR="006108A8" w:rsidRPr="006108A8">
        <w:rPr>
          <w:rFonts w:ascii="Times New Roman" w:hAnsi="Times New Roman" w:cs="Times New Roman"/>
          <w:color w:val="0D0D0D"/>
          <w:sz w:val="20"/>
          <w:szCs w:val="20"/>
          <w:shd w:val="clear" w:color="auto" w:fill="FFFFFF"/>
          <w:lang w:val="en-US"/>
        </w:rPr>
        <w:t>symptomatic diagnoses</w:t>
      </w:r>
      <w:r w:rsidR="006108A8" w:rsidRPr="006108A8">
        <w:rPr>
          <w:rFonts w:ascii="Times New Roman" w:hAnsi="Times New Roman" w:cs="Times New Roman"/>
          <w:color w:val="0D0D0D"/>
          <w:sz w:val="20"/>
          <w:szCs w:val="20"/>
          <w:shd w:val="clear" w:color="auto" w:fill="FFFFFF"/>
          <w:lang w:val="en-US"/>
        </w:rPr>
        <w:t xml:space="preserve">, </w:t>
      </w:r>
      <w:r w:rsidR="006108A8" w:rsidRPr="006108A8">
        <w:rPr>
          <w:rFonts w:ascii="Times New Roman" w:hAnsi="Times New Roman" w:cs="Times New Roman"/>
          <w:color w:val="0D0D0D"/>
          <w:sz w:val="20"/>
          <w:szCs w:val="20"/>
          <w:shd w:val="clear" w:color="auto" w:fill="FFFFFF"/>
          <w:lang w:val="en-US"/>
        </w:rPr>
        <w:t>asymptomatic diagnoses</w:t>
      </w:r>
      <w:r w:rsidR="006108A8" w:rsidRPr="006108A8">
        <w:rPr>
          <w:rFonts w:ascii="Times New Roman" w:hAnsi="Times New Roman" w:cs="Times New Roman"/>
          <w:color w:val="0D0D0D"/>
          <w:sz w:val="20"/>
          <w:szCs w:val="20"/>
          <w:shd w:val="clear" w:color="auto" w:fill="FFFFFF"/>
          <w:lang w:val="en-US"/>
        </w:rPr>
        <w:t>, p</w:t>
      </w:r>
      <w:r w:rsidR="006108A8" w:rsidRPr="006108A8">
        <w:rPr>
          <w:rFonts w:ascii="Times New Roman" w:hAnsi="Times New Roman" w:cs="Times New Roman"/>
          <w:color w:val="0D0D0D"/>
          <w:sz w:val="20"/>
          <w:szCs w:val="20"/>
          <w:shd w:val="clear" w:color="auto" w:fill="FFFFFF"/>
          <w:lang w:val="en-US"/>
        </w:rPr>
        <w:t>ercentage ceftriaxone-resistant</w:t>
      </w:r>
      <w:r w:rsidR="006108A8" w:rsidRPr="006108A8">
        <w:rPr>
          <w:rFonts w:ascii="Times New Roman" w:hAnsi="Times New Roman" w:cs="Times New Roman"/>
          <w:color w:val="0D0D0D"/>
          <w:sz w:val="20"/>
          <w:szCs w:val="20"/>
          <w:shd w:val="clear" w:color="auto" w:fill="FFFFFF"/>
          <w:lang w:val="en-US"/>
        </w:rPr>
        <w:t>, and p</w:t>
      </w:r>
      <w:r w:rsidR="006108A8" w:rsidRPr="006108A8">
        <w:rPr>
          <w:rFonts w:ascii="Times New Roman" w:hAnsi="Times New Roman" w:cs="Times New Roman"/>
          <w:color w:val="0D0D0D"/>
          <w:sz w:val="20"/>
          <w:szCs w:val="20"/>
          <w:shd w:val="clear" w:color="auto" w:fill="FFFFFF"/>
          <w:lang w:val="en-US"/>
        </w:rPr>
        <w:t xml:space="preserve">ercentage tetracycline-resistant </w:t>
      </w:r>
      <w:r w:rsidRPr="006108A8">
        <w:rPr>
          <w:rFonts w:ascii="Times New Roman" w:hAnsi="Times New Roman" w:cs="Times New Roman"/>
          <w:color w:val="0D0D0D"/>
          <w:sz w:val="20"/>
          <w:szCs w:val="20"/>
          <w:shd w:val="clear" w:color="auto" w:fill="FFFFFF"/>
          <w:lang w:val="en-US"/>
        </w:rPr>
        <w:t>among MSM in England.</w:t>
      </w:r>
      <w:r w:rsidR="001010DC" w:rsidRPr="006108A8">
        <w:rPr>
          <w:rFonts w:ascii="Times New Roman" w:hAnsi="Times New Roman" w:cs="Times New Roman"/>
          <w:color w:val="0D0D0D"/>
          <w:sz w:val="20"/>
          <w:szCs w:val="20"/>
          <w:shd w:val="clear" w:color="auto" w:fill="FFFFFF"/>
          <w:lang w:val="en-US"/>
        </w:rPr>
        <w:t xml:space="preserve"> </w:t>
      </w:r>
      <w:r w:rsidR="00630081" w:rsidRPr="006108A8">
        <w:rPr>
          <w:rFonts w:ascii="Times New Roman" w:hAnsi="Times New Roman" w:cs="Times New Roman"/>
          <w:sz w:val="20"/>
          <w:szCs w:val="20"/>
        </w:rPr>
        <w:t xml:space="preserve">Doxycycline susceptibility cannot be directly assessed because doxycycline MICs were not routinely available. Therefore, we used tetracycline MIC </w:t>
      </w:r>
      <m:oMath>
        <m:r>
          <w:rPr>
            <w:rFonts w:ascii="Cambria Math" w:hAnsi="Cambria Math" w:cs="Times New Roman"/>
            <w:sz w:val="20"/>
            <w:szCs w:val="20"/>
          </w:rPr>
          <m:t>&gt;</m:t>
        </m:r>
      </m:oMath>
      <w:r w:rsidR="00630081" w:rsidRPr="006108A8">
        <w:rPr>
          <w:rFonts w:ascii="Times New Roman" w:hAnsi="Times New Roman" w:cs="Times New Roman"/>
          <w:sz w:val="20"/>
          <w:szCs w:val="20"/>
        </w:rPr>
        <w:t xml:space="preserve"> 1 mg/L among MSM isolates as the primary proxy for doxycycline non-susceptibility, consistent with surveillance practice. High-level plasmid-mediated resistance (tetM), typically associated with tetracycline MIC </w:t>
      </w:r>
      <m:oMath>
        <m:r>
          <w:rPr>
            <w:rFonts w:ascii="Cambria Math" w:hAnsi="Cambria Math" w:cs="Times New Roman"/>
            <w:sz w:val="20"/>
            <w:szCs w:val="20"/>
          </w:rPr>
          <m:t>≥</m:t>
        </m:r>
      </m:oMath>
      <w:r w:rsidR="00630081" w:rsidRPr="006108A8">
        <w:rPr>
          <w:rFonts w:ascii="Times New Roman" w:hAnsi="Times New Roman" w:cs="Times New Roman"/>
          <w:sz w:val="20"/>
          <w:szCs w:val="20"/>
        </w:rPr>
        <w:t xml:space="preserve"> 8 mg/L, was available only for the general population; these data were used solely for sensitivity analyses to bound the prevalence of high-level doxycycline resistance in MSM.</w:t>
      </w:r>
    </w:p>
    <w:tbl>
      <w:tblPr>
        <w:tblStyle w:val="TableGrid"/>
        <w:tblW w:w="13958" w:type="dxa"/>
        <w:jc w:val="center"/>
        <w:tblBorders>
          <w:insideV w:val="single" w:sz="4" w:space="0" w:color="auto"/>
        </w:tblBorders>
        <w:tblLook w:val="04A0" w:firstRow="1" w:lastRow="0" w:firstColumn="1" w:lastColumn="0" w:noHBand="0" w:noVBand="1"/>
      </w:tblPr>
      <w:tblGrid>
        <w:gridCol w:w="746"/>
        <w:gridCol w:w="1773"/>
        <w:gridCol w:w="1529"/>
        <w:gridCol w:w="1856"/>
        <w:gridCol w:w="1527"/>
        <w:gridCol w:w="1389"/>
        <w:gridCol w:w="1890"/>
        <w:gridCol w:w="1710"/>
        <w:gridCol w:w="1538"/>
      </w:tblGrid>
      <w:tr w:rsidR="00D95BD9" w:rsidRPr="002D7CDC" w14:paraId="6EBD6B1A" w14:textId="3F6EA2B6" w:rsidTr="007D28FF">
        <w:trPr>
          <w:jc w:val="center"/>
        </w:trPr>
        <w:tc>
          <w:tcPr>
            <w:tcW w:w="746" w:type="dxa"/>
            <w:tcBorders>
              <w:top w:val="single" w:sz="4" w:space="0" w:color="auto"/>
              <w:bottom w:val="single" w:sz="4" w:space="0" w:color="auto"/>
              <w:right w:val="nil"/>
            </w:tcBorders>
          </w:tcPr>
          <w:p w14:paraId="2A4310C7"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Year</w:t>
            </w:r>
          </w:p>
        </w:tc>
        <w:tc>
          <w:tcPr>
            <w:tcW w:w="1773" w:type="dxa"/>
            <w:tcBorders>
              <w:top w:val="single" w:sz="4" w:space="0" w:color="auto"/>
              <w:left w:val="nil"/>
              <w:bottom w:val="single" w:sz="4" w:space="0" w:color="auto"/>
              <w:right w:val="nil"/>
            </w:tcBorders>
          </w:tcPr>
          <w:p w14:paraId="69E76FEB" w14:textId="523D3CC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diagnoses</w:t>
            </w:r>
          </w:p>
        </w:tc>
        <w:tc>
          <w:tcPr>
            <w:tcW w:w="1529" w:type="dxa"/>
            <w:tcBorders>
              <w:top w:val="single" w:sz="4" w:space="0" w:color="auto"/>
              <w:left w:val="nil"/>
              <w:bottom w:val="single" w:sz="4" w:space="0" w:color="auto"/>
              <w:right w:val="nil"/>
            </w:tcBorders>
          </w:tcPr>
          <w:p w14:paraId="34A265CB" w14:textId="338889D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tests</w:t>
            </w:r>
          </w:p>
        </w:tc>
        <w:tc>
          <w:tcPr>
            <w:tcW w:w="1856" w:type="dxa"/>
            <w:tcBorders>
              <w:top w:val="single" w:sz="4" w:space="0" w:color="auto"/>
              <w:left w:val="nil"/>
              <w:bottom w:val="single" w:sz="4" w:space="0" w:color="auto"/>
              <w:right w:val="nil"/>
            </w:tcBorders>
          </w:tcPr>
          <w:p w14:paraId="20F3F035" w14:textId="6603A37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MSM in GRASP report</w:t>
            </w:r>
          </w:p>
        </w:tc>
        <w:tc>
          <w:tcPr>
            <w:tcW w:w="1527" w:type="dxa"/>
            <w:tcBorders>
              <w:top w:val="single" w:sz="4" w:space="0" w:color="auto"/>
              <w:left w:val="nil"/>
              <w:bottom w:val="single" w:sz="4" w:space="0" w:color="auto"/>
              <w:right w:val="nil"/>
            </w:tcBorders>
          </w:tcPr>
          <w:p w14:paraId="69308E99" w14:textId="261A639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symptomatic diagnoses</w:t>
            </w:r>
            <w:r>
              <w:rPr>
                <w:rFonts w:cs="Times New Roman"/>
                <w:color w:val="0D0D0D"/>
                <w:szCs w:val="20"/>
                <w:shd w:val="clear" w:color="auto" w:fill="FFFFFF"/>
                <w:lang w:val="en-US"/>
              </w:rPr>
              <w:t xml:space="preserve"> in GRASP report</w:t>
            </w:r>
          </w:p>
        </w:tc>
        <w:tc>
          <w:tcPr>
            <w:tcW w:w="1389" w:type="dxa"/>
            <w:tcBorders>
              <w:top w:val="single" w:sz="4" w:space="0" w:color="auto"/>
              <w:left w:val="nil"/>
              <w:bottom w:val="single" w:sz="4" w:space="0" w:color="auto"/>
              <w:right w:val="nil"/>
            </w:tcBorders>
          </w:tcPr>
          <w:p w14:paraId="72FD1652" w14:textId="5D6B12A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asymptomatic diagnoses</w:t>
            </w:r>
            <w:r>
              <w:rPr>
                <w:rFonts w:cs="Times New Roman"/>
                <w:color w:val="0D0D0D"/>
                <w:szCs w:val="20"/>
                <w:shd w:val="clear" w:color="auto" w:fill="FFFFFF"/>
                <w:lang w:val="en-US"/>
              </w:rPr>
              <w:t xml:space="preserve"> in GRASP report</w:t>
            </w:r>
          </w:p>
        </w:tc>
        <w:tc>
          <w:tcPr>
            <w:tcW w:w="1890" w:type="dxa"/>
            <w:tcBorders>
              <w:top w:val="single" w:sz="4" w:space="0" w:color="auto"/>
              <w:left w:val="nil"/>
              <w:bottom w:val="single" w:sz="4" w:space="0" w:color="auto"/>
              <w:right w:val="nil"/>
            </w:tcBorders>
          </w:tcPr>
          <w:p w14:paraId="5F1223B7" w14:textId="4DBC514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ceftriaxone-resistant </w:t>
            </w:r>
            <w:r w:rsidR="007D28FF">
              <w:rPr>
                <w:rFonts w:cs="Times New Roman"/>
                <w:color w:val="0D0D0D"/>
                <w:szCs w:val="20"/>
                <w:shd w:val="clear" w:color="auto" w:fill="FFFFFF"/>
                <w:lang w:val="en-US"/>
              </w:rPr>
              <w:t xml:space="preserve">in MSM         </w:t>
            </w:r>
            <w:proofErr w:type="gramStart"/>
            <w:r w:rsidR="007D28FF">
              <w:rPr>
                <w:rFonts w:cs="Times New Roman"/>
                <w:color w:val="0D0D0D"/>
                <w:szCs w:val="20"/>
                <w:shd w:val="clear" w:color="auto" w:fill="FFFFFF"/>
                <w:lang w:val="en-US"/>
              </w:rPr>
              <w:t xml:space="preserve">   </w:t>
            </w:r>
            <w:r>
              <w:rPr>
                <w:rFonts w:cs="Times New Roman"/>
                <w:color w:val="0D0D0D"/>
                <w:szCs w:val="20"/>
                <w:shd w:val="clear" w:color="auto" w:fill="FFFFFF"/>
                <w:lang w:val="en-US"/>
              </w:rPr>
              <w:t>(</w:t>
            </w:r>
            <w:proofErr w:type="gramEnd"/>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0.125mg/L)</w:t>
            </w:r>
          </w:p>
        </w:tc>
        <w:tc>
          <w:tcPr>
            <w:tcW w:w="1710" w:type="dxa"/>
            <w:tcBorders>
              <w:top w:val="single" w:sz="4" w:space="0" w:color="auto"/>
              <w:left w:val="nil"/>
              <w:bottom w:val="single" w:sz="4" w:space="0" w:color="auto"/>
            </w:tcBorders>
          </w:tcPr>
          <w:p w14:paraId="5B9ABA7C" w14:textId="1AA7528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in MSM </w:t>
            </w:r>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1mg/L)</w:t>
            </w:r>
          </w:p>
        </w:tc>
        <w:tc>
          <w:tcPr>
            <w:tcW w:w="1538" w:type="dxa"/>
            <w:tcBorders>
              <w:top w:val="single" w:sz="4" w:space="0" w:color="auto"/>
              <w:bottom w:val="single" w:sz="4" w:space="0" w:color="auto"/>
            </w:tcBorders>
          </w:tcPr>
          <w:p w14:paraId="1264EBDF" w14:textId="061962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     </w:t>
            </w:r>
            <w:proofErr w:type="gramStart"/>
            <w:r w:rsidR="007D28FF">
              <w:rPr>
                <w:rFonts w:cs="Times New Roman"/>
                <w:color w:val="0D0D0D"/>
                <w:szCs w:val="20"/>
                <w:shd w:val="clear" w:color="auto" w:fill="FFFFFF"/>
                <w:lang w:val="en-US"/>
              </w:rPr>
              <w:t xml:space="preserve">   </w:t>
            </w:r>
            <w:r>
              <w:rPr>
                <w:rFonts w:cs="Times New Roman"/>
                <w:color w:val="0D0D0D"/>
                <w:szCs w:val="20"/>
                <w:shd w:val="clear" w:color="auto" w:fill="FFFFFF"/>
                <w:lang w:val="en-US"/>
              </w:rPr>
              <w:t>(</w:t>
            </w:r>
            <w:proofErr w:type="gramEnd"/>
            <w:r>
              <w:rPr>
                <w:rFonts w:cs="Times New Roman"/>
                <w:color w:val="0D0D0D"/>
                <w:szCs w:val="20"/>
                <w:shd w:val="clear" w:color="auto" w:fill="FFFFFF"/>
                <w:lang w:val="en-US"/>
              </w:rPr>
              <w:t>MIC</w:t>
            </w:r>
            <w:r w:rsidR="003E7919">
              <w:rPr>
                <w:rFonts w:cs="Times New Roman"/>
                <w:color w:val="0D0D0D"/>
                <w:szCs w:val="20"/>
                <w:shd w:val="clear" w:color="auto" w:fill="FFFFFF"/>
                <w:lang w:val="en-US"/>
              </w:rPr>
              <w:t xml:space="preserve"> </w:t>
            </w:r>
            <m:oMath>
              <m:r>
                <w:rPr>
                  <w:rFonts w:ascii="Cambria Math" w:hAnsi="Cambria Math" w:cs="Times New Roman"/>
                  <w:sz w:val="16"/>
                  <w:szCs w:val="16"/>
                </w:rPr>
                <m:t>≥</m:t>
              </m:r>
            </m:oMath>
            <w:r>
              <w:rPr>
                <w:rFonts w:cs="Times New Roman"/>
                <w:color w:val="0D0D0D"/>
                <w:szCs w:val="20"/>
                <w:shd w:val="clear" w:color="auto" w:fill="FFFFFF"/>
                <w:lang w:val="en-US"/>
              </w:rPr>
              <w:t xml:space="preserve"> </w:t>
            </w:r>
            <w:r>
              <w:rPr>
                <w:rFonts w:cs="Times New Roman"/>
                <w:color w:val="0D0D0D"/>
                <w:szCs w:val="20"/>
                <w:shd w:val="clear" w:color="auto" w:fill="FFFFFF"/>
                <w:lang w:val="en-US"/>
              </w:rPr>
              <w:t>8</w:t>
            </w:r>
            <w:r>
              <w:rPr>
                <w:rFonts w:cs="Times New Roman"/>
                <w:color w:val="0D0D0D"/>
                <w:szCs w:val="20"/>
                <w:shd w:val="clear" w:color="auto" w:fill="FFFFFF"/>
                <w:lang w:val="en-US"/>
              </w:rPr>
              <w:t>mg/L)</w:t>
            </w:r>
          </w:p>
        </w:tc>
      </w:tr>
      <w:tr w:rsidR="00D95BD9" w:rsidRPr="002D7CDC" w14:paraId="46193362" w14:textId="44B995FD" w:rsidTr="007D28FF">
        <w:trPr>
          <w:jc w:val="center"/>
        </w:trPr>
        <w:tc>
          <w:tcPr>
            <w:tcW w:w="746" w:type="dxa"/>
            <w:tcBorders>
              <w:top w:val="single" w:sz="4" w:space="0" w:color="auto"/>
              <w:right w:val="nil"/>
            </w:tcBorders>
          </w:tcPr>
          <w:p w14:paraId="73C2B163"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2011</w:t>
            </w:r>
          </w:p>
        </w:tc>
        <w:tc>
          <w:tcPr>
            <w:tcW w:w="1773" w:type="dxa"/>
            <w:tcBorders>
              <w:top w:val="single" w:sz="4" w:space="0" w:color="auto"/>
              <w:left w:val="nil"/>
              <w:right w:val="nil"/>
            </w:tcBorders>
          </w:tcPr>
          <w:p w14:paraId="0F1C2737" w14:textId="2FA33D7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7797</w:t>
            </w:r>
          </w:p>
        </w:tc>
        <w:tc>
          <w:tcPr>
            <w:tcW w:w="1529" w:type="dxa"/>
            <w:tcBorders>
              <w:top w:val="single" w:sz="4" w:space="0" w:color="auto"/>
              <w:left w:val="nil"/>
              <w:bottom w:val="nil"/>
              <w:right w:val="nil"/>
            </w:tcBorders>
          </w:tcPr>
          <w:p w14:paraId="78205630" w14:textId="51DDBBC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86472</w:t>
            </w:r>
          </w:p>
        </w:tc>
        <w:tc>
          <w:tcPr>
            <w:tcW w:w="1856" w:type="dxa"/>
            <w:tcBorders>
              <w:top w:val="single" w:sz="4" w:space="0" w:color="auto"/>
              <w:left w:val="nil"/>
              <w:bottom w:val="nil"/>
              <w:right w:val="nil"/>
            </w:tcBorders>
          </w:tcPr>
          <w:p w14:paraId="0A72B334" w14:textId="5527EF9E"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single" w:sz="4" w:space="0" w:color="auto"/>
              <w:left w:val="nil"/>
              <w:bottom w:val="nil"/>
              <w:right w:val="nil"/>
            </w:tcBorders>
          </w:tcPr>
          <w:p w14:paraId="2D9DD03A" w14:textId="13D82206"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single" w:sz="4" w:space="0" w:color="auto"/>
              <w:left w:val="nil"/>
              <w:bottom w:val="nil"/>
              <w:right w:val="nil"/>
            </w:tcBorders>
          </w:tcPr>
          <w:p w14:paraId="4088A8E2" w14:textId="659DEFAF"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top w:val="single" w:sz="4" w:space="0" w:color="auto"/>
              <w:left w:val="nil"/>
              <w:right w:val="nil"/>
            </w:tcBorders>
          </w:tcPr>
          <w:p w14:paraId="1D3DD5E8" w14:textId="724E4A6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single" w:sz="4" w:space="0" w:color="auto"/>
              <w:left w:val="nil"/>
            </w:tcBorders>
          </w:tcPr>
          <w:p w14:paraId="0E656E83" w14:textId="45054DD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Borders>
              <w:top w:val="single" w:sz="4" w:space="0" w:color="auto"/>
            </w:tcBorders>
          </w:tcPr>
          <w:p w14:paraId="1EBBEBCB" w14:textId="0B3EC4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48D0FEF" w14:textId="2A519F44" w:rsidTr="007D28FF">
        <w:trPr>
          <w:jc w:val="center"/>
        </w:trPr>
        <w:tc>
          <w:tcPr>
            <w:tcW w:w="746" w:type="dxa"/>
            <w:tcBorders>
              <w:right w:val="nil"/>
            </w:tcBorders>
          </w:tcPr>
          <w:p w14:paraId="4FD51E9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2012</w:t>
            </w:r>
          </w:p>
        </w:tc>
        <w:tc>
          <w:tcPr>
            <w:tcW w:w="1773" w:type="dxa"/>
            <w:tcBorders>
              <w:left w:val="nil"/>
              <w:right w:val="nil"/>
            </w:tcBorders>
          </w:tcPr>
          <w:p w14:paraId="3E03D848" w14:textId="3500E6E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10690</w:t>
            </w:r>
          </w:p>
        </w:tc>
        <w:tc>
          <w:tcPr>
            <w:tcW w:w="1529" w:type="dxa"/>
            <w:tcBorders>
              <w:top w:val="nil"/>
              <w:left w:val="nil"/>
              <w:bottom w:val="nil"/>
              <w:right w:val="nil"/>
            </w:tcBorders>
          </w:tcPr>
          <w:p w14:paraId="4B8319AC" w14:textId="112AC85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99558</w:t>
            </w:r>
          </w:p>
        </w:tc>
        <w:tc>
          <w:tcPr>
            <w:tcW w:w="1856" w:type="dxa"/>
            <w:tcBorders>
              <w:top w:val="nil"/>
              <w:left w:val="nil"/>
              <w:bottom w:val="nil"/>
              <w:right w:val="nil"/>
            </w:tcBorders>
          </w:tcPr>
          <w:p w14:paraId="6B7ED86E" w14:textId="0B976ED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nil"/>
              <w:left w:val="nil"/>
              <w:bottom w:val="nil"/>
              <w:right w:val="nil"/>
            </w:tcBorders>
          </w:tcPr>
          <w:p w14:paraId="286A2925" w14:textId="3D9BF799"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nil"/>
              <w:left w:val="nil"/>
              <w:bottom w:val="nil"/>
              <w:right w:val="nil"/>
            </w:tcBorders>
          </w:tcPr>
          <w:p w14:paraId="502063CF" w14:textId="23767E4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left w:val="nil"/>
              <w:right w:val="nil"/>
            </w:tcBorders>
          </w:tcPr>
          <w:p w14:paraId="0FB10733" w14:textId="55C3B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2431400" w14:textId="01F8E8B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Pr>
          <w:p w14:paraId="1857C959" w14:textId="1CEEAB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9.5</w:t>
            </w:r>
          </w:p>
        </w:tc>
      </w:tr>
      <w:tr w:rsidR="00D95BD9" w:rsidRPr="002D7CDC" w14:paraId="0EFC8EF0" w14:textId="7AD42668" w:rsidTr="007D28FF">
        <w:trPr>
          <w:jc w:val="center"/>
        </w:trPr>
        <w:tc>
          <w:tcPr>
            <w:tcW w:w="746" w:type="dxa"/>
            <w:tcBorders>
              <w:right w:val="nil"/>
            </w:tcBorders>
          </w:tcPr>
          <w:p w14:paraId="22A90C2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2013</w:t>
            </w:r>
          </w:p>
        </w:tc>
        <w:tc>
          <w:tcPr>
            <w:tcW w:w="1773" w:type="dxa"/>
            <w:tcBorders>
              <w:left w:val="nil"/>
              <w:right w:val="nil"/>
            </w:tcBorders>
          </w:tcPr>
          <w:p w14:paraId="4A4332B1" w14:textId="2305CD3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13579</w:t>
            </w:r>
          </w:p>
        </w:tc>
        <w:tc>
          <w:tcPr>
            <w:tcW w:w="1529" w:type="dxa"/>
            <w:tcBorders>
              <w:top w:val="nil"/>
              <w:left w:val="nil"/>
              <w:bottom w:val="nil"/>
              <w:right w:val="nil"/>
            </w:tcBorders>
          </w:tcPr>
          <w:p w14:paraId="6F3F1792" w14:textId="60345B4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114282</w:t>
            </w:r>
          </w:p>
        </w:tc>
        <w:tc>
          <w:tcPr>
            <w:tcW w:w="1856" w:type="dxa"/>
            <w:tcBorders>
              <w:top w:val="nil"/>
              <w:left w:val="nil"/>
              <w:bottom w:val="nil"/>
              <w:right w:val="nil"/>
            </w:tcBorders>
          </w:tcPr>
          <w:p w14:paraId="075816FE" w14:textId="7F7CBB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1090</w:t>
            </w:r>
          </w:p>
        </w:tc>
        <w:tc>
          <w:tcPr>
            <w:tcW w:w="1527" w:type="dxa"/>
            <w:tcBorders>
              <w:top w:val="nil"/>
              <w:left w:val="nil"/>
              <w:bottom w:val="nil"/>
              <w:right w:val="nil"/>
            </w:tcBorders>
          </w:tcPr>
          <w:p w14:paraId="5C9D5243" w14:textId="432DD0C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402</w:t>
            </w:r>
          </w:p>
        </w:tc>
        <w:tc>
          <w:tcPr>
            <w:tcW w:w="1389" w:type="dxa"/>
            <w:tcBorders>
              <w:top w:val="nil"/>
              <w:left w:val="nil"/>
              <w:bottom w:val="nil"/>
              <w:right w:val="nil"/>
            </w:tcBorders>
          </w:tcPr>
          <w:p w14:paraId="300CA7BB" w14:textId="1802C7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191</w:t>
            </w:r>
          </w:p>
        </w:tc>
        <w:tc>
          <w:tcPr>
            <w:tcW w:w="1890" w:type="dxa"/>
            <w:tcBorders>
              <w:left w:val="nil"/>
              <w:right w:val="nil"/>
            </w:tcBorders>
          </w:tcPr>
          <w:p w14:paraId="3708C83D" w14:textId="05A1ECF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AFBE6A5" w14:textId="6079A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92.5</w:t>
            </w:r>
            <w:r>
              <w:rPr>
                <w:rStyle w:val="FootnoteReference"/>
                <w:rFonts w:cs="Times New Roman"/>
                <w:color w:val="0D0D0D"/>
                <w:szCs w:val="20"/>
                <w:shd w:val="clear" w:color="auto" w:fill="FFFFFF"/>
                <w:lang w:val="en-US"/>
              </w:rPr>
              <w:footnoteReference w:id="2"/>
            </w:r>
          </w:p>
        </w:tc>
        <w:tc>
          <w:tcPr>
            <w:tcW w:w="1538" w:type="dxa"/>
          </w:tcPr>
          <w:p w14:paraId="37D26422" w14:textId="6498C11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11.2</w:t>
            </w:r>
          </w:p>
        </w:tc>
      </w:tr>
      <w:tr w:rsidR="00D95BD9" w:rsidRPr="002D7CDC" w14:paraId="4BC81B48" w14:textId="1D584C0A" w:rsidTr="007D28FF">
        <w:trPr>
          <w:jc w:val="center"/>
        </w:trPr>
        <w:tc>
          <w:tcPr>
            <w:tcW w:w="746" w:type="dxa"/>
            <w:tcBorders>
              <w:right w:val="nil"/>
            </w:tcBorders>
          </w:tcPr>
          <w:p w14:paraId="0A04507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2014</w:t>
            </w:r>
          </w:p>
        </w:tc>
        <w:tc>
          <w:tcPr>
            <w:tcW w:w="1773" w:type="dxa"/>
            <w:tcBorders>
              <w:left w:val="nil"/>
              <w:right w:val="nil"/>
            </w:tcBorders>
          </w:tcPr>
          <w:p w14:paraId="62901024" w14:textId="13AD81B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18017</w:t>
            </w:r>
          </w:p>
        </w:tc>
        <w:tc>
          <w:tcPr>
            <w:tcW w:w="1529" w:type="dxa"/>
            <w:tcBorders>
              <w:top w:val="nil"/>
              <w:left w:val="nil"/>
              <w:bottom w:val="nil"/>
              <w:right w:val="nil"/>
            </w:tcBorders>
          </w:tcPr>
          <w:p w14:paraId="37A0BFCF" w14:textId="65968C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146991</w:t>
            </w:r>
          </w:p>
        </w:tc>
        <w:tc>
          <w:tcPr>
            <w:tcW w:w="1856" w:type="dxa"/>
            <w:tcBorders>
              <w:top w:val="nil"/>
              <w:left w:val="nil"/>
              <w:bottom w:val="nil"/>
              <w:right w:val="nil"/>
            </w:tcBorders>
          </w:tcPr>
          <w:p w14:paraId="3E71D7B6" w14:textId="62782E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1073</w:t>
            </w:r>
          </w:p>
        </w:tc>
        <w:tc>
          <w:tcPr>
            <w:tcW w:w="1527" w:type="dxa"/>
            <w:tcBorders>
              <w:top w:val="nil"/>
              <w:left w:val="nil"/>
              <w:bottom w:val="nil"/>
              <w:right w:val="nil"/>
            </w:tcBorders>
          </w:tcPr>
          <w:p w14:paraId="63126EF8" w14:textId="5542D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573</w:t>
            </w:r>
          </w:p>
        </w:tc>
        <w:tc>
          <w:tcPr>
            <w:tcW w:w="1389" w:type="dxa"/>
            <w:tcBorders>
              <w:top w:val="nil"/>
              <w:left w:val="nil"/>
              <w:bottom w:val="nil"/>
              <w:right w:val="nil"/>
            </w:tcBorders>
          </w:tcPr>
          <w:p w14:paraId="350417D8" w14:textId="3943765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890" w:type="dxa"/>
            <w:tcBorders>
              <w:left w:val="nil"/>
              <w:right w:val="nil"/>
            </w:tcBorders>
          </w:tcPr>
          <w:p w14:paraId="1DEC6F74" w14:textId="708B8F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368A9FCA" w14:textId="3C077C4D"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91.5</w:t>
            </w:r>
            <w:r>
              <w:rPr>
                <w:rFonts w:cs="Times New Roman"/>
                <w:color w:val="0D0D0D"/>
                <w:szCs w:val="20"/>
                <w:shd w:val="clear" w:color="auto" w:fill="FFFFFF"/>
                <w:vertAlign w:val="superscript"/>
                <w:lang w:val="en-US"/>
              </w:rPr>
              <w:t>*</w:t>
            </w:r>
          </w:p>
        </w:tc>
        <w:tc>
          <w:tcPr>
            <w:tcW w:w="1538" w:type="dxa"/>
          </w:tcPr>
          <w:p w14:paraId="5F69CD62" w14:textId="057EE1E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0C9DCFA6" w14:textId="78F919D1" w:rsidTr="007D28FF">
        <w:trPr>
          <w:jc w:val="center"/>
        </w:trPr>
        <w:tc>
          <w:tcPr>
            <w:tcW w:w="746" w:type="dxa"/>
            <w:tcBorders>
              <w:right w:val="nil"/>
            </w:tcBorders>
          </w:tcPr>
          <w:p w14:paraId="56CB69B4"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2015</w:t>
            </w:r>
          </w:p>
        </w:tc>
        <w:tc>
          <w:tcPr>
            <w:tcW w:w="1773" w:type="dxa"/>
            <w:tcBorders>
              <w:left w:val="nil"/>
              <w:right w:val="nil"/>
            </w:tcBorders>
          </w:tcPr>
          <w:p w14:paraId="54A30258" w14:textId="02D00AB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22042</w:t>
            </w:r>
          </w:p>
        </w:tc>
        <w:tc>
          <w:tcPr>
            <w:tcW w:w="1529" w:type="dxa"/>
            <w:tcBorders>
              <w:top w:val="nil"/>
              <w:left w:val="nil"/>
              <w:bottom w:val="nil"/>
              <w:right w:val="nil"/>
            </w:tcBorders>
          </w:tcPr>
          <w:p w14:paraId="56B63DCC" w14:textId="3F298E7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162071</w:t>
            </w:r>
          </w:p>
        </w:tc>
        <w:tc>
          <w:tcPr>
            <w:tcW w:w="1856" w:type="dxa"/>
            <w:tcBorders>
              <w:top w:val="nil"/>
              <w:left w:val="nil"/>
              <w:bottom w:val="nil"/>
              <w:right w:val="nil"/>
            </w:tcBorders>
          </w:tcPr>
          <w:p w14:paraId="6A4A915D" w14:textId="2CEB375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1226</w:t>
            </w:r>
          </w:p>
        </w:tc>
        <w:tc>
          <w:tcPr>
            <w:tcW w:w="1527" w:type="dxa"/>
            <w:tcBorders>
              <w:top w:val="nil"/>
              <w:left w:val="nil"/>
              <w:bottom w:val="nil"/>
              <w:right w:val="nil"/>
            </w:tcBorders>
          </w:tcPr>
          <w:p w14:paraId="60454E71" w14:textId="15FA159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454</w:t>
            </w:r>
          </w:p>
        </w:tc>
        <w:tc>
          <w:tcPr>
            <w:tcW w:w="1389" w:type="dxa"/>
            <w:tcBorders>
              <w:top w:val="nil"/>
              <w:left w:val="nil"/>
              <w:bottom w:val="nil"/>
              <w:right w:val="nil"/>
            </w:tcBorders>
          </w:tcPr>
          <w:p w14:paraId="7C666DA1" w14:textId="2447E9B0"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358</w:t>
            </w:r>
          </w:p>
        </w:tc>
        <w:tc>
          <w:tcPr>
            <w:tcW w:w="1890" w:type="dxa"/>
            <w:tcBorders>
              <w:left w:val="nil"/>
              <w:right w:val="nil"/>
            </w:tcBorders>
          </w:tcPr>
          <w:p w14:paraId="4A5040DD" w14:textId="791381C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87FD9D1" w14:textId="57F7E5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41.6</w:t>
            </w:r>
          </w:p>
        </w:tc>
        <w:tc>
          <w:tcPr>
            <w:tcW w:w="1538" w:type="dxa"/>
          </w:tcPr>
          <w:p w14:paraId="07605260" w14:textId="0E84141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76F246AD" w14:textId="1544F27C" w:rsidTr="007D28FF">
        <w:trPr>
          <w:trHeight w:val="58"/>
          <w:jc w:val="center"/>
        </w:trPr>
        <w:tc>
          <w:tcPr>
            <w:tcW w:w="746" w:type="dxa"/>
            <w:tcBorders>
              <w:right w:val="nil"/>
            </w:tcBorders>
          </w:tcPr>
          <w:p w14:paraId="1D33D971"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2016</w:t>
            </w:r>
          </w:p>
        </w:tc>
        <w:tc>
          <w:tcPr>
            <w:tcW w:w="1773" w:type="dxa"/>
            <w:tcBorders>
              <w:left w:val="nil"/>
              <w:right w:val="nil"/>
            </w:tcBorders>
          </w:tcPr>
          <w:p w14:paraId="69297820" w14:textId="524B399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17297</w:t>
            </w:r>
          </w:p>
        </w:tc>
        <w:tc>
          <w:tcPr>
            <w:tcW w:w="1529" w:type="dxa"/>
            <w:tcBorders>
              <w:top w:val="nil"/>
              <w:left w:val="nil"/>
              <w:bottom w:val="nil"/>
              <w:right w:val="nil"/>
            </w:tcBorders>
          </w:tcPr>
          <w:p w14:paraId="10FA88CE" w14:textId="7980DD4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170936</w:t>
            </w:r>
          </w:p>
        </w:tc>
        <w:tc>
          <w:tcPr>
            <w:tcW w:w="1856" w:type="dxa"/>
            <w:tcBorders>
              <w:top w:val="nil"/>
              <w:left w:val="nil"/>
              <w:bottom w:val="nil"/>
              <w:right w:val="nil"/>
            </w:tcBorders>
          </w:tcPr>
          <w:p w14:paraId="1FC458FD" w14:textId="286DA25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821</w:t>
            </w:r>
          </w:p>
        </w:tc>
        <w:tc>
          <w:tcPr>
            <w:tcW w:w="1527" w:type="dxa"/>
            <w:tcBorders>
              <w:top w:val="nil"/>
              <w:left w:val="nil"/>
              <w:bottom w:val="nil"/>
              <w:right w:val="nil"/>
            </w:tcBorders>
          </w:tcPr>
          <w:p w14:paraId="5662C376" w14:textId="28C714FA"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366</w:t>
            </w:r>
          </w:p>
        </w:tc>
        <w:tc>
          <w:tcPr>
            <w:tcW w:w="1389" w:type="dxa"/>
            <w:tcBorders>
              <w:top w:val="nil"/>
              <w:left w:val="nil"/>
              <w:bottom w:val="nil"/>
              <w:right w:val="nil"/>
            </w:tcBorders>
          </w:tcPr>
          <w:p w14:paraId="190084C6" w14:textId="48B6E7C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325</w:t>
            </w:r>
          </w:p>
        </w:tc>
        <w:tc>
          <w:tcPr>
            <w:tcW w:w="1890" w:type="dxa"/>
            <w:tcBorders>
              <w:left w:val="nil"/>
              <w:right w:val="nil"/>
            </w:tcBorders>
          </w:tcPr>
          <w:p w14:paraId="24DFC06C" w14:textId="0088BE7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1BDB5728" w14:textId="7112132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45.1</w:t>
            </w:r>
          </w:p>
        </w:tc>
        <w:tc>
          <w:tcPr>
            <w:tcW w:w="1538" w:type="dxa"/>
          </w:tcPr>
          <w:p w14:paraId="11174F13" w14:textId="460A26E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BAFCFBC" w14:textId="46413F14" w:rsidTr="007D28FF">
        <w:trPr>
          <w:jc w:val="center"/>
        </w:trPr>
        <w:tc>
          <w:tcPr>
            <w:tcW w:w="746" w:type="dxa"/>
            <w:tcBorders>
              <w:right w:val="nil"/>
            </w:tcBorders>
          </w:tcPr>
          <w:p w14:paraId="478E5FF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2017</w:t>
            </w:r>
          </w:p>
        </w:tc>
        <w:tc>
          <w:tcPr>
            <w:tcW w:w="1773" w:type="dxa"/>
            <w:tcBorders>
              <w:left w:val="nil"/>
              <w:right w:val="nil"/>
            </w:tcBorders>
          </w:tcPr>
          <w:p w14:paraId="3C058AEF" w14:textId="13288D6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21209</w:t>
            </w:r>
          </w:p>
        </w:tc>
        <w:tc>
          <w:tcPr>
            <w:tcW w:w="1529" w:type="dxa"/>
            <w:tcBorders>
              <w:top w:val="nil"/>
              <w:left w:val="nil"/>
              <w:bottom w:val="nil"/>
              <w:right w:val="nil"/>
            </w:tcBorders>
          </w:tcPr>
          <w:p w14:paraId="335410A4" w14:textId="10EFAD7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190941</w:t>
            </w:r>
          </w:p>
        </w:tc>
        <w:tc>
          <w:tcPr>
            <w:tcW w:w="1856" w:type="dxa"/>
            <w:tcBorders>
              <w:top w:val="nil"/>
              <w:left w:val="nil"/>
              <w:bottom w:val="nil"/>
              <w:right w:val="nil"/>
            </w:tcBorders>
          </w:tcPr>
          <w:p w14:paraId="0E104717" w14:textId="765EF11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839</w:t>
            </w:r>
          </w:p>
        </w:tc>
        <w:tc>
          <w:tcPr>
            <w:tcW w:w="1527" w:type="dxa"/>
            <w:tcBorders>
              <w:top w:val="nil"/>
              <w:left w:val="nil"/>
              <w:bottom w:val="nil"/>
              <w:right w:val="nil"/>
            </w:tcBorders>
          </w:tcPr>
          <w:p w14:paraId="392226B8" w14:textId="4A3B603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355</w:t>
            </w:r>
          </w:p>
        </w:tc>
        <w:tc>
          <w:tcPr>
            <w:tcW w:w="1389" w:type="dxa"/>
            <w:tcBorders>
              <w:top w:val="nil"/>
              <w:left w:val="nil"/>
              <w:bottom w:val="nil"/>
              <w:right w:val="nil"/>
            </w:tcBorders>
          </w:tcPr>
          <w:p w14:paraId="4428A66D" w14:textId="3F4AEA2B"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327</w:t>
            </w:r>
          </w:p>
        </w:tc>
        <w:tc>
          <w:tcPr>
            <w:tcW w:w="1890" w:type="dxa"/>
            <w:tcBorders>
              <w:left w:val="nil"/>
              <w:right w:val="nil"/>
            </w:tcBorders>
          </w:tcPr>
          <w:p w14:paraId="23ED62CA" w14:textId="43F25EB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7339A368" w14:textId="6DF3CB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54.4</w:t>
            </w:r>
          </w:p>
        </w:tc>
        <w:tc>
          <w:tcPr>
            <w:tcW w:w="1538" w:type="dxa"/>
          </w:tcPr>
          <w:p w14:paraId="501DBE6D" w14:textId="7D0F10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r>
      <w:tr w:rsidR="00D95BD9" w:rsidRPr="002D7CDC" w14:paraId="07D7E33D" w14:textId="201F4579" w:rsidTr="007D28FF">
        <w:trPr>
          <w:jc w:val="center"/>
        </w:trPr>
        <w:tc>
          <w:tcPr>
            <w:tcW w:w="746" w:type="dxa"/>
            <w:tcBorders>
              <w:right w:val="nil"/>
            </w:tcBorders>
          </w:tcPr>
          <w:p w14:paraId="62C14220"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2018</w:t>
            </w:r>
          </w:p>
        </w:tc>
        <w:tc>
          <w:tcPr>
            <w:tcW w:w="1773" w:type="dxa"/>
            <w:tcBorders>
              <w:left w:val="nil"/>
              <w:right w:val="nil"/>
            </w:tcBorders>
          </w:tcPr>
          <w:p w14:paraId="2B12B5DF" w14:textId="3B94A24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26748</w:t>
            </w:r>
          </w:p>
        </w:tc>
        <w:tc>
          <w:tcPr>
            <w:tcW w:w="1529" w:type="dxa"/>
            <w:tcBorders>
              <w:top w:val="nil"/>
              <w:left w:val="nil"/>
              <w:bottom w:val="nil"/>
              <w:right w:val="nil"/>
            </w:tcBorders>
          </w:tcPr>
          <w:p w14:paraId="53DEF618" w14:textId="4C9BD39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228103</w:t>
            </w:r>
          </w:p>
        </w:tc>
        <w:tc>
          <w:tcPr>
            <w:tcW w:w="1856" w:type="dxa"/>
            <w:tcBorders>
              <w:top w:val="nil"/>
              <w:left w:val="nil"/>
              <w:bottom w:val="nil"/>
              <w:right w:val="nil"/>
            </w:tcBorders>
          </w:tcPr>
          <w:p w14:paraId="5C0040F7" w14:textId="3B0F45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799</w:t>
            </w:r>
          </w:p>
        </w:tc>
        <w:tc>
          <w:tcPr>
            <w:tcW w:w="1527" w:type="dxa"/>
            <w:tcBorders>
              <w:top w:val="nil"/>
              <w:left w:val="nil"/>
              <w:bottom w:val="nil"/>
              <w:right w:val="nil"/>
            </w:tcBorders>
          </w:tcPr>
          <w:p w14:paraId="6271B7A0" w14:textId="592C9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389" w:type="dxa"/>
            <w:tcBorders>
              <w:top w:val="nil"/>
              <w:left w:val="nil"/>
              <w:bottom w:val="nil"/>
              <w:right w:val="nil"/>
            </w:tcBorders>
          </w:tcPr>
          <w:p w14:paraId="2B075967" w14:textId="21F168A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328</w:t>
            </w:r>
          </w:p>
        </w:tc>
        <w:tc>
          <w:tcPr>
            <w:tcW w:w="1890" w:type="dxa"/>
            <w:tcBorders>
              <w:left w:val="nil"/>
              <w:right w:val="nil"/>
            </w:tcBorders>
          </w:tcPr>
          <w:p w14:paraId="725DF0AC" w14:textId="6685833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542B3E3A" w14:textId="26ABECB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63.6</w:t>
            </w:r>
          </w:p>
        </w:tc>
        <w:tc>
          <w:tcPr>
            <w:tcW w:w="1538" w:type="dxa"/>
          </w:tcPr>
          <w:p w14:paraId="6AB8FFAE" w14:textId="28D241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43.2</w:t>
            </w:r>
          </w:p>
        </w:tc>
      </w:tr>
      <w:tr w:rsidR="00D95BD9" w:rsidRPr="002D7CDC" w14:paraId="58ECEB2E" w14:textId="5635B66A" w:rsidTr="00932C73">
        <w:trPr>
          <w:jc w:val="center"/>
        </w:trPr>
        <w:tc>
          <w:tcPr>
            <w:tcW w:w="746" w:type="dxa"/>
            <w:tcBorders>
              <w:bottom w:val="nil"/>
              <w:right w:val="nil"/>
            </w:tcBorders>
          </w:tcPr>
          <w:p w14:paraId="0035499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2019</w:t>
            </w:r>
          </w:p>
        </w:tc>
        <w:tc>
          <w:tcPr>
            <w:tcW w:w="1773" w:type="dxa"/>
            <w:tcBorders>
              <w:left w:val="nil"/>
              <w:bottom w:val="nil"/>
              <w:right w:val="nil"/>
            </w:tcBorders>
          </w:tcPr>
          <w:p w14:paraId="1755FD8E" w14:textId="4E81EEA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33634</w:t>
            </w:r>
          </w:p>
        </w:tc>
        <w:tc>
          <w:tcPr>
            <w:tcW w:w="1529" w:type="dxa"/>
            <w:tcBorders>
              <w:top w:val="nil"/>
              <w:left w:val="nil"/>
              <w:bottom w:val="nil"/>
              <w:right w:val="nil"/>
            </w:tcBorders>
          </w:tcPr>
          <w:p w14:paraId="5FA69BC7" w14:textId="694EE94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268605</w:t>
            </w:r>
          </w:p>
        </w:tc>
        <w:tc>
          <w:tcPr>
            <w:tcW w:w="1856" w:type="dxa"/>
            <w:tcBorders>
              <w:top w:val="nil"/>
              <w:left w:val="nil"/>
              <w:bottom w:val="nil"/>
              <w:right w:val="nil"/>
            </w:tcBorders>
          </w:tcPr>
          <w:p w14:paraId="118E188A" w14:textId="2B93C98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nil"/>
              <w:right w:val="nil"/>
            </w:tcBorders>
          </w:tcPr>
          <w:p w14:paraId="3C782FA8" w14:textId="6C9C3A46"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408</w:t>
            </w:r>
          </w:p>
        </w:tc>
        <w:tc>
          <w:tcPr>
            <w:tcW w:w="1389" w:type="dxa"/>
            <w:tcBorders>
              <w:top w:val="nil"/>
              <w:left w:val="nil"/>
              <w:bottom w:val="nil"/>
              <w:right w:val="nil"/>
            </w:tcBorders>
          </w:tcPr>
          <w:p w14:paraId="420C4E67" w14:textId="4C25B11D"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419</w:t>
            </w:r>
          </w:p>
        </w:tc>
        <w:tc>
          <w:tcPr>
            <w:tcW w:w="1890" w:type="dxa"/>
            <w:tcBorders>
              <w:left w:val="nil"/>
              <w:bottom w:val="nil"/>
              <w:right w:val="nil"/>
            </w:tcBorders>
          </w:tcPr>
          <w:p w14:paraId="6F7B90B7" w14:textId="53FD93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bottom w:val="nil"/>
            </w:tcBorders>
          </w:tcPr>
          <w:p w14:paraId="68B73222" w14:textId="6A2BC7D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75.0</w:t>
            </w:r>
          </w:p>
        </w:tc>
        <w:tc>
          <w:tcPr>
            <w:tcW w:w="1538" w:type="dxa"/>
            <w:tcBorders>
              <w:bottom w:val="nil"/>
            </w:tcBorders>
          </w:tcPr>
          <w:p w14:paraId="65A3D22D" w14:textId="62D80A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45.2</w:t>
            </w:r>
          </w:p>
        </w:tc>
      </w:tr>
      <w:tr w:rsidR="00393D45" w:rsidRPr="00813523" w14:paraId="02936333" w14:textId="77777777" w:rsidTr="00932C73">
        <w:trPr>
          <w:jc w:val="center"/>
        </w:trPr>
        <w:tc>
          <w:tcPr>
            <w:tcW w:w="746" w:type="dxa"/>
            <w:tcBorders>
              <w:top w:val="nil"/>
              <w:bottom w:val="nil"/>
              <w:right w:val="nil"/>
            </w:tcBorders>
          </w:tcPr>
          <w:p w14:paraId="77C8A8D0" w14:textId="4CEC4A23"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2020</w:t>
            </w:r>
            <w:r w:rsidRPr="00813523">
              <w:rPr>
                <w:rStyle w:val="FootnoteReference"/>
                <w:rFonts w:cs="Times New Roman"/>
                <w:color w:val="0D0D0D"/>
                <w:szCs w:val="20"/>
                <w:shd w:val="clear" w:color="auto" w:fill="FFFFFF"/>
                <w:lang w:val="en-US"/>
              </w:rPr>
              <w:footnoteReference w:customMarkFollows="1" w:id="3"/>
              <w:t>**</w:t>
            </w:r>
          </w:p>
        </w:tc>
        <w:tc>
          <w:tcPr>
            <w:tcW w:w="1773" w:type="dxa"/>
            <w:tcBorders>
              <w:top w:val="nil"/>
              <w:left w:val="nil"/>
              <w:bottom w:val="nil"/>
              <w:right w:val="nil"/>
            </w:tcBorders>
          </w:tcPr>
          <w:p w14:paraId="68011A70" w14:textId="75790F92"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24936</w:t>
            </w:r>
          </w:p>
        </w:tc>
        <w:tc>
          <w:tcPr>
            <w:tcW w:w="1529" w:type="dxa"/>
            <w:tcBorders>
              <w:top w:val="nil"/>
              <w:left w:val="nil"/>
              <w:bottom w:val="nil"/>
              <w:right w:val="nil"/>
            </w:tcBorders>
          </w:tcPr>
          <w:p w14:paraId="0ED79356" w14:textId="1465D0F3"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219721</w:t>
            </w:r>
          </w:p>
        </w:tc>
        <w:tc>
          <w:tcPr>
            <w:tcW w:w="1856" w:type="dxa"/>
            <w:tcBorders>
              <w:top w:val="nil"/>
              <w:left w:val="nil"/>
              <w:bottom w:val="nil"/>
              <w:right w:val="nil"/>
            </w:tcBorders>
          </w:tcPr>
          <w:p w14:paraId="01A0169C" w14:textId="15B2FE6F"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785</w:t>
            </w:r>
          </w:p>
        </w:tc>
        <w:tc>
          <w:tcPr>
            <w:tcW w:w="1527" w:type="dxa"/>
            <w:tcBorders>
              <w:top w:val="nil"/>
              <w:left w:val="nil"/>
              <w:bottom w:val="nil"/>
              <w:right w:val="nil"/>
            </w:tcBorders>
          </w:tcPr>
          <w:p w14:paraId="5F437C1A" w14:textId="7DA0F0A0"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410</w:t>
            </w:r>
          </w:p>
        </w:tc>
        <w:tc>
          <w:tcPr>
            <w:tcW w:w="1389" w:type="dxa"/>
            <w:tcBorders>
              <w:top w:val="nil"/>
              <w:left w:val="nil"/>
              <w:bottom w:val="nil"/>
              <w:right w:val="nil"/>
            </w:tcBorders>
          </w:tcPr>
          <w:p w14:paraId="47F1757D" w14:textId="5D640530"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265</w:t>
            </w:r>
          </w:p>
        </w:tc>
        <w:tc>
          <w:tcPr>
            <w:tcW w:w="1890" w:type="dxa"/>
            <w:tcBorders>
              <w:top w:val="nil"/>
              <w:left w:val="nil"/>
              <w:bottom w:val="nil"/>
              <w:right w:val="nil"/>
            </w:tcBorders>
          </w:tcPr>
          <w:p w14:paraId="0D6023AA" w14:textId="6D288E8C"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0.0</w:t>
            </w:r>
          </w:p>
        </w:tc>
        <w:tc>
          <w:tcPr>
            <w:tcW w:w="1710" w:type="dxa"/>
            <w:tcBorders>
              <w:top w:val="nil"/>
              <w:left w:val="nil"/>
              <w:bottom w:val="nil"/>
              <w:right w:val="single" w:sz="4" w:space="0" w:color="auto"/>
            </w:tcBorders>
          </w:tcPr>
          <w:p w14:paraId="3C44F697" w14:textId="07E7A13B"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79.2</w:t>
            </w:r>
          </w:p>
        </w:tc>
        <w:tc>
          <w:tcPr>
            <w:tcW w:w="1538" w:type="dxa"/>
            <w:tcBorders>
              <w:top w:val="nil"/>
              <w:left w:val="single" w:sz="4" w:space="0" w:color="auto"/>
              <w:bottom w:val="nil"/>
            </w:tcBorders>
          </w:tcPr>
          <w:p w14:paraId="3CB4E3C9" w14:textId="3080CEB6"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30.7</w:t>
            </w:r>
          </w:p>
        </w:tc>
      </w:tr>
      <w:tr w:rsidR="00393D45" w:rsidRPr="002D7CDC" w14:paraId="58DA3189" w14:textId="77777777" w:rsidTr="00932C73">
        <w:trPr>
          <w:jc w:val="center"/>
        </w:trPr>
        <w:tc>
          <w:tcPr>
            <w:tcW w:w="746" w:type="dxa"/>
            <w:tcBorders>
              <w:top w:val="nil"/>
              <w:bottom w:val="nil"/>
              <w:right w:val="nil"/>
            </w:tcBorders>
          </w:tcPr>
          <w:p w14:paraId="54ECB8AC" w14:textId="32C3FFFD"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sidRPr="00813523">
              <w:rPr>
                <w:rFonts w:cs="Times New Roman"/>
                <w:color w:val="0D0D0D"/>
                <w:szCs w:val="20"/>
                <w:shd w:val="clear" w:color="auto" w:fill="FFFFFF"/>
                <w:lang w:val="en-US"/>
              </w:rPr>
              <w:t>2021</w:t>
            </w:r>
            <w:r w:rsidRPr="00813523">
              <w:rPr>
                <w:rFonts w:cs="Times New Roman"/>
                <w:color w:val="0D0D0D"/>
                <w:szCs w:val="20"/>
                <w:shd w:val="clear" w:color="auto" w:fill="FFFFFF"/>
                <w:vertAlign w:val="superscript"/>
                <w:lang w:val="en-US"/>
              </w:rPr>
              <w:t>**</w:t>
            </w:r>
          </w:p>
        </w:tc>
        <w:tc>
          <w:tcPr>
            <w:tcW w:w="1773" w:type="dxa"/>
            <w:tcBorders>
              <w:top w:val="nil"/>
              <w:left w:val="nil"/>
              <w:bottom w:val="nil"/>
              <w:right w:val="nil"/>
            </w:tcBorders>
          </w:tcPr>
          <w:p w14:paraId="1875855D" w14:textId="1ECE7044"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24830</w:t>
            </w:r>
          </w:p>
        </w:tc>
        <w:tc>
          <w:tcPr>
            <w:tcW w:w="1529" w:type="dxa"/>
            <w:tcBorders>
              <w:top w:val="nil"/>
              <w:left w:val="nil"/>
              <w:bottom w:val="nil"/>
              <w:right w:val="nil"/>
            </w:tcBorders>
          </w:tcPr>
          <w:p w14:paraId="3D027C30" w14:textId="2CDE2FE9"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260778</w:t>
            </w:r>
          </w:p>
        </w:tc>
        <w:tc>
          <w:tcPr>
            <w:tcW w:w="1856" w:type="dxa"/>
            <w:tcBorders>
              <w:top w:val="nil"/>
              <w:left w:val="nil"/>
              <w:bottom w:val="nil"/>
              <w:right w:val="nil"/>
            </w:tcBorders>
          </w:tcPr>
          <w:p w14:paraId="3126A3B9" w14:textId="7F3C07C1"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894</w:t>
            </w:r>
          </w:p>
        </w:tc>
        <w:tc>
          <w:tcPr>
            <w:tcW w:w="1527" w:type="dxa"/>
            <w:tcBorders>
              <w:top w:val="nil"/>
              <w:left w:val="nil"/>
              <w:bottom w:val="nil"/>
              <w:right w:val="nil"/>
            </w:tcBorders>
          </w:tcPr>
          <w:p w14:paraId="10573274" w14:textId="211643D0"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411</w:t>
            </w:r>
          </w:p>
        </w:tc>
        <w:tc>
          <w:tcPr>
            <w:tcW w:w="1389" w:type="dxa"/>
            <w:tcBorders>
              <w:top w:val="nil"/>
              <w:left w:val="nil"/>
              <w:bottom w:val="nil"/>
              <w:right w:val="nil"/>
            </w:tcBorders>
          </w:tcPr>
          <w:p w14:paraId="3052EA8B" w14:textId="738BB2C4" w:rsidR="00E5498B" w:rsidRPr="0081352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483</w:t>
            </w:r>
          </w:p>
        </w:tc>
        <w:tc>
          <w:tcPr>
            <w:tcW w:w="1890" w:type="dxa"/>
            <w:tcBorders>
              <w:top w:val="nil"/>
              <w:left w:val="nil"/>
              <w:bottom w:val="nil"/>
              <w:right w:val="nil"/>
            </w:tcBorders>
          </w:tcPr>
          <w:p w14:paraId="6F8A0352" w14:textId="15351427"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0.0</w:t>
            </w:r>
          </w:p>
        </w:tc>
        <w:tc>
          <w:tcPr>
            <w:tcW w:w="1710" w:type="dxa"/>
            <w:tcBorders>
              <w:top w:val="nil"/>
              <w:left w:val="nil"/>
              <w:bottom w:val="nil"/>
              <w:right w:val="single" w:sz="4" w:space="0" w:color="auto"/>
            </w:tcBorders>
          </w:tcPr>
          <w:p w14:paraId="1CAE4605" w14:textId="508F3415"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86.0</w:t>
            </w:r>
          </w:p>
        </w:tc>
        <w:tc>
          <w:tcPr>
            <w:tcW w:w="1538" w:type="dxa"/>
            <w:tcBorders>
              <w:top w:val="nil"/>
              <w:left w:val="single" w:sz="4" w:space="0" w:color="auto"/>
              <w:bottom w:val="nil"/>
            </w:tcBorders>
          </w:tcPr>
          <w:p w14:paraId="64C0F093" w14:textId="2596E237" w:rsidR="00E5498B" w:rsidRPr="0081352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813523">
              <w:rPr>
                <w:rFonts w:cs="Times New Roman"/>
                <w:color w:val="0D0D0D"/>
                <w:szCs w:val="20"/>
                <w:shd w:val="clear" w:color="auto" w:fill="FFFFFF"/>
                <w:lang w:val="en-US"/>
              </w:rPr>
              <w:t>33.6</w:t>
            </w:r>
          </w:p>
        </w:tc>
      </w:tr>
      <w:tr w:rsidR="00D95BD9" w:rsidRPr="002D7CDC" w14:paraId="30BA7BAE" w14:textId="58C30819" w:rsidTr="007D28FF">
        <w:trPr>
          <w:jc w:val="center"/>
        </w:trPr>
        <w:tc>
          <w:tcPr>
            <w:tcW w:w="746" w:type="dxa"/>
            <w:tcBorders>
              <w:top w:val="nil"/>
              <w:right w:val="nil"/>
            </w:tcBorders>
          </w:tcPr>
          <w:p w14:paraId="14072D9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2022</w:t>
            </w:r>
          </w:p>
        </w:tc>
        <w:tc>
          <w:tcPr>
            <w:tcW w:w="1773" w:type="dxa"/>
            <w:tcBorders>
              <w:top w:val="nil"/>
              <w:left w:val="nil"/>
              <w:right w:val="nil"/>
            </w:tcBorders>
          </w:tcPr>
          <w:p w14:paraId="726BE844" w14:textId="122BD8C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36933</w:t>
            </w:r>
          </w:p>
        </w:tc>
        <w:tc>
          <w:tcPr>
            <w:tcW w:w="1529" w:type="dxa"/>
            <w:tcBorders>
              <w:top w:val="nil"/>
              <w:left w:val="nil"/>
              <w:bottom w:val="nil"/>
              <w:right w:val="nil"/>
            </w:tcBorders>
          </w:tcPr>
          <w:p w14:paraId="292AEB5E" w14:textId="1DD4152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323012</w:t>
            </w:r>
          </w:p>
        </w:tc>
        <w:tc>
          <w:tcPr>
            <w:tcW w:w="1856" w:type="dxa"/>
            <w:tcBorders>
              <w:top w:val="nil"/>
              <w:left w:val="nil"/>
              <w:bottom w:val="nil"/>
              <w:right w:val="nil"/>
            </w:tcBorders>
          </w:tcPr>
          <w:p w14:paraId="37F20F8D" w14:textId="236307B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852</w:t>
            </w:r>
          </w:p>
        </w:tc>
        <w:tc>
          <w:tcPr>
            <w:tcW w:w="1527" w:type="dxa"/>
            <w:tcBorders>
              <w:top w:val="nil"/>
              <w:left w:val="nil"/>
              <w:bottom w:val="nil"/>
              <w:right w:val="nil"/>
            </w:tcBorders>
          </w:tcPr>
          <w:p w14:paraId="6D14F324" w14:textId="5CC0B759"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367</w:t>
            </w:r>
          </w:p>
        </w:tc>
        <w:tc>
          <w:tcPr>
            <w:tcW w:w="1389" w:type="dxa"/>
            <w:tcBorders>
              <w:top w:val="nil"/>
              <w:left w:val="nil"/>
              <w:bottom w:val="nil"/>
              <w:right w:val="nil"/>
            </w:tcBorders>
          </w:tcPr>
          <w:p w14:paraId="33FFE52C" w14:textId="4E2A5E23"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481</w:t>
            </w:r>
          </w:p>
        </w:tc>
        <w:tc>
          <w:tcPr>
            <w:tcW w:w="1890" w:type="dxa"/>
            <w:tcBorders>
              <w:top w:val="nil"/>
              <w:left w:val="nil"/>
              <w:right w:val="nil"/>
            </w:tcBorders>
          </w:tcPr>
          <w:p w14:paraId="2A5D754F" w14:textId="77FCB0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nil"/>
              <w:left w:val="nil"/>
            </w:tcBorders>
          </w:tcPr>
          <w:p w14:paraId="64FF7F06" w14:textId="435CD0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68.5</w:t>
            </w:r>
          </w:p>
        </w:tc>
        <w:tc>
          <w:tcPr>
            <w:tcW w:w="1538" w:type="dxa"/>
            <w:tcBorders>
              <w:top w:val="nil"/>
            </w:tcBorders>
          </w:tcPr>
          <w:p w14:paraId="4D1A9BAC" w14:textId="7E97DEE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18.3</w:t>
            </w:r>
          </w:p>
        </w:tc>
      </w:tr>
      <w:tr w:rsidR="00D95BD9" w:rsidRPr="002D7CDC" w14:paraId="79866FA1" w14:textId="10D2E13D" w:rsidTr="007D28FF">
        <w:trPr>
          <w:jc w:val="center"/>
        </w:trPr>
        <w:tc>
          <w:tcPr>
            <w:tcW w:w="746" w:type="dxa"/>
            <w:tcBorders>
              <w:right w:val="nil"/>
            </w:tcBorders>
          </w:tcPr>
          <w:p w14:paraId="7D27892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2023</w:t>
            </w:r>
          </w:p>
        </w:tc>
        <w:tc>
          <w:tcPr>
            <w:tcW w:w="1773" w:type="dxa"/>
            <w:tcBorders>
              <w:left w:val="nil"/>
              <w:bottom w:val="nil"/>
              <w:right w:val="nil"/>
            </w:tcBorders>
          </w:tcPr>
          <w:p w14:paraId="70C610FB" w14:textId="35C55316"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40344</w:t>
            </w:r>
          </w:p>
        </w:tc>
        <w:tc>
          <w:tcPr>
            <w:tcW w:w="1529" w:type="dxa"/>
            <w:tcBorders>
              <w:top w:val="nil"/>
              <w:left w:val="nil"/>
              <w:bottom w:val="nil"/>
              <w:right w:val="nil"/>
            </w:tcBorders>
          </w:tcPr>
          <w:p w14:paraId="46CFFDD0" w14:textId="13886E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364015</w:t>
            </w:r>
          </w:p>
        </w:tc>
        <w:tc>
          <w:tcPr>
            <w:tcW w:w="1856" w:type="dxa"/>
            <w:tcBorders>
              <w:top w:val="nil"/>
              <w:left w:val="nil"/>
              <w:bottom w:val="nil"/>
              <w:right w:val="nil"/>
            </w:tcBorders>
          </w:tcPr>
          <w:p w14:paraId="5417F580" w14:textId="6E94355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1052</w:t>
            </w:r>
          </w:p>
        </w:tc>
        <w:tc>
          <w:tcPr>
            <w:tcW w:w="1527" w:type="dxa"/>
            <w:tcBorders>
              <w:top w:val="nil"/>
              <w:left w:val="nil"/>
              <w:bottom w:val="nil"/>
              <w:right w:val="nil"/>
            </w:tcBorders>
          </w:tcPr>
          <w:p w14:paraId="10D58F00" w14:textId="2D1BDF8B"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406</w:t>
            </w:r>
          </w:p>
        </w:tc>
        <w:tc>
          <w:tcPr>
            <w:tcW w:w="1389" w:type="dxa"/>
            <w:tcBorders>
              <w:top w:val="nil"/>
              <w:left w:val="nil"/>
              <w:bottom w:val="nil"/>
              <w:right w:val="nil"/>
            </w:tcBorders>
          </w:tcPr>
          <w:p w14:paraId="70293CDF" w14:textId="7CDBE650"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646</w:t>
            </w:r>
          </w:p>
        </w:tc>
        <w:tc>
          <w:tcPr>
            <w:tcW w:w="1890" w:type="dxa"/>
            <w:tcBorders>
              <w:left w:val="nil"/>
              <w:right w:val="nil"/>
            </w:tcBorders>
          </w:tcPr>
          <w:p w14:paraId="276935EF" w14:textId="7B07AA9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C4DF5EC" w14:textId="5FA8373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85.9</w:t>
            </w:r>
            <w:r>
              <w:rPr>
                <w:rStyle w:val="FootnoteReference"/>
                <w:rFonts w:cs="Times New Roman"/>
                <w:color w:val="0D0D0D"/>
                <w:szCs w:val="20"/>
                <w:shd w:val="clear" w:color="auto" w:fill="FFFFFF"/>
                <w:lang w:val="en-US"/>
              </w:rPr>
              <w:footnoteReference w:customMarkFollows="1" w:id="4"/>
              <w:t>***</w:t>
            </w:r>
          </w:p>
        </w:tc>
        <w:tc>
          <w:tcPr>
            <w:tcW w:w="1538" w:type="dxa"/>
          </w:tcPr>
          <w:p w14:paraId="0517AD24" w14:textId="4087043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16.8</w:t>
            </w:r>
          </w:p>
        </w:tc>
      </w:tr>
      <w:tr w:rsidR="00D95BD9" w:rsidRPr="002D7CDC" w14:paraId="59166660" w14:textId="7859F898" w:rsidTr="007D28FF">
        <w:trPr>
          <w:jc w:val="center"/>
        </w:trPr>
        <w:tc>
          <w:tcPr>
            <w:tcW w:w="746" w:type="dxa"/>
            <w:tcBorders>
              <w:bottom w:val="single" w:sz="4" w:space="0" w:color="auto"/>
              <w:right w:val="nil"/>
            </w:tcBorders>
          </w:tcPr>
          <w:p w14:paraId="35757CD5"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2024</w:t>
            </w:r>
          </w:p>
        </w:tc>
        <w:tc>
          <w:tcPr>
            <w:tcW w:w="1773" w:type="dxa"/>
            <w:tcBorders>
              <w:top w:val="nil"/>
              <w:left w:val="nil"/>
              <w:bottom w:val="single" w:sz="4" w:space="0" w:color="auto"/>
              <w:right w:val="nil"/>
            </w:tcBorders>
          </w:tcPr>
          <w:p w14:paraId="7742CF44" w14:textId="43FE69CA"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38647</w:t>
            </w:r>
          </w:p>
        </w:tc>
        <w:tc>
          <w:tcPr>
            <w:tcW w:w="1529" w:type="dxa"/>
            <w:tcBorders>
              <w:top w:val="nil"/>
              <w:left w:val="nil"/>
              <w:bottom w:val="single" w:sz="4" w:space="0" w:color="auto"/>
              <w:right w:val="nil"/>
            </w:tcBorders>
          </w:tcPr>
          <w:p w14:paraId="6B5C4931" w14:textId="1518309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372371</w:t>
            </w:r>
          </w:p>
        </w:tc>
        <w:tc>
          <w:tcPr>
            <w:tcW w:w="1856" w:type="dxa"/>
            <w:tcBorders>
              <w:top w:val="nil"/>
              <w:left w:val="nil"/>
              <w:bottom w:val="single" w:sz="4" w:space="0" w:color="auto"/>
              <w:right w:val="nil"/>
            </w:tcBorders>
          </w:tcPr>
          <w:p w14:paraId="3C577557" w14:textId="3448E3E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single" w:sz="4" w:space="0" w:color="auto"/>
              <w:right w:val="nil"/>
            </w:tcBorders>
          </w:tcPr>
          <w:p w14:paraId="6429CC84" w14:textId="7F971C24"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c>
          <w:tcPr>
            <w:tcW w:w="1389" w:type="dxa"/>
            <w:tcBorders>
              <w:top w:val="nil"/>
              <w:left w:val="nil"/>
              <w:bottom w:val="single" w:sz="4" w:space="0" w:color="auto"/>
              <w:right w:val="nil"/>
            </w:tcBorders>
          </w:tcPr>
          <w:p w14:paraId="2371D6E3" w14:textId="3200A165"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530</w:t>
            </w:r>
          </w:p>
        </w:tc>
        <w:tc>
          <w:tcPr>
            <w:tcW w:w="1890" w:type="dxa"/>
            <w:tcBorders>
              <w:left w:val="nil"/>
              <w:bottom w:val="single" w:sz="4" w:space="0" w:color="auto"/>
              <w:right w:val="nil"/>
            </w:tcBorders>
          </w:tcPr>
          <w:p w14:paraId="58E662D1" w14:textId="7911302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45D311FB" w14:textId="4476A86A"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w:t>
            </w:r>
          </w:p>
        </w:tc>
        <w:tc>
          <w:tcPr>
            <w:tcW w:w="1538" w:type="dxa"/>
          </w:tcPr>
          <w:p w14:paraId="2EA2DA1A" w14:textId="4548146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30.1</w:t>
            </w:r>
          </w:p>
        </w:tc>
      </w:tr>
    </w:tbl>
    <w:p w14:paraId="3058A82B" w14:textId="4B6268AF" w:rsidR="007864C5" w:rsidRDefault="007864C5" w:rsidP="009701A4">
      <w:pPr>
        <w:pStyle w:val="NormalWeb"/>
        <w:spacing w:line="276" w:lineRule="auto"/>
        <w:jc w:val="both"/>
        <w:rPr>
          <w:sz w:val="20"/>
          <w:szCs w:val="20"/>
        </w:rPr>
        <w:sectPr w:rsidR="007864C5" w:rsidSect="00263500">
          <w:footnotePr>
            <w:numFmt w:val="chicago"/>
          </w:footnotePr>
          <w:pgSz w:w="16838" w:h="11906" w:orient="landscape"/>
          <w:pgMar w:top="1440" w:right="1440" w:bottom="1440" w:left="1440" w:header="708" w:footer="708" w:gutter="0"/>
          <w:cols w:space="708"/>
          <w:docGrid w:linePitch="360"/>
        </w:sectPr>
      </w:pPr>
    </w:p>
    <w:p w14:paraId="2499838E" w14:textId="77777777" w:rsidR="007864C5" w:rsidRDefault="007864C5" w:rsidP="009701A4">
      <w:pPr>
        <w:pStyle w:val="NormalWeb"/>
        <w:spacing w:line="276" w:lineRule="auto"/>
        <w:jc w:val="both"/>
        <w:rPr>
          <w:sz w:val="20"/>
          <w:szCs w:val="20"/>
        </w:rPr>
      </w:pPr>
    </w:p>
    <w:p w14:paraId="7C5425F1" w14:textId="43ACF5E0" w:rsidR="00276DCE" w:rsidRPr="00276DCE" w:rsidRDefault="00316933" w:rsidP="00276DCE">
      <w:pPr>
        <w:pStyle w:val="NormalWeb"/>
        <w:spacing w:line="276" w:lineRule="auto"/>
        <w:jc w:val="both"/>
        <w:rPr>
          <w:sz w:val="20"/>
          <w:szCs w:val="20"/>
        </w:rPr>
      </w:pPr>
      <w:r>
        <w:rPr>
          <w:noProof/>
          <w:sz w:val="20"/>
          <w:szCs w:val="20"/>
          <w14:ligatures w14:val="standardContextual"/>
        </w:rPr>
        <w:drawing>
          <wp:inline distT="0" distB="0" distL="0" distR="0" wp14:anchorId="5D6162EC" wp14:editId="23E256CB">
            <wp:extent cx="8863330" cy="3553460"/>
            <wp:effectExtent l="0" t="0" r="1270" b="0"/>
            <wp:docPr id="23093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799" name="Picture 23093799"/>
                    <pic:cNvPicPr/>
                  </pic:nvPicPr>
                  <pic:blipFill>
                    <a:blip r:embed="rId9"/>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1CC09B59" w14:textId="6916FFF4"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 xml:space="preserve">Table 2: </w:t>
      </w:r>
      <w:r w:rsidR="008576F9">
        <w:rPr>
          <w:rFonts w:ascii="Times New Roman" w:eastAsia="Times New Roman" w:hAnsi="Times New Roman" w:cs="Times New Roman"/>
          <w:color w:val="000000" w:themeColor="text1"/>
          <w:kern w:val="0"/>
          <w:sz w:val="20"/>
          <w:szCs w:val="20"/>
          <w14:ligatures w14:val="none"/>
        </w:rPr>
        <w:t>Model parameters.</w:t>
      </w:r>
    </w:p>
    <w:tbl>
      <w:tblPr>
        <w:tblStyle w:val="TableGrid"/>
        <w:tblW w:w="0" w:type="auto"/>
        <w:tblLook w:val="04A0" w:firstRow="1" w:lastRow="0" w:firstColumn="1" w:lastColumn="0" w:noHBand="0" w:noVBand="1"/>
      </w:tblPr>
      <w:tblGrid>
        <w:gridCol w:w="491"/>
        <w:gridCol w:w="6799"/>
        <w:gridCol w:w="964"/>
        <w:gridCol w:w="772"/>
      </w:tblGrid>
      <w:tr w:rsidR="00804703" w14:paraId="54AB8378" w14:textId="61E0946F" w:rsidTr="00287C10">
        <w:tc>
          <w:tcPr>
            <w:tcW w:w="491" w:type="dxa"/>
            <w:tcBorders>
              <w:top w:val="single" w:sz="4" w:space="0" w:color="auto"/>
              <w:bottom w:val="single" w:sz="4" w:space="0" w:color="auto"/>
            </w:tcBorders>
          </w:tcPr>
          <w:p w14:paraId="7BDE15F9" w14:textId="31174748" w:rsidR="0090359A" w:rsidRDefault="0090359A"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99" w:type="dxa"/>
            <w:tcBorders>
              <w:top w:val="single" w:sz="4" w:space="0" w:color="auto"/>
              <w:bottom w:val="single" w:sz="4" w:space="0" w:color="auto"/>
            </w:tcBorders>
          </w:tcPr>
          <w:p w14:paraId="11FDE79F" w14:textId="77777777" w:rsidR="0090359A" w:rsidRDefault="0090359A"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964" w:type="dxa"/>
            <w:tcBorders>
              <w:top w:val="single" w:sz="4" w:space="0" w:color="auto"/>
              <w:bottom w:val="single" w:sz="4" w:space="0" w:color="auto"/>
            </w:tcBorders>
          </w:tcPr>
          <w:p w14:paraId="52B5383E" w14:textId="0267F846" w:rsidR="0090359A" w:rsidRDefault="0090359A"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772" w:type="dxa"/>
            <w:tcBorders>
              <w:top w:val="single" w:sz="4" w:space="0" w:color="auto"/>
              <w:bottom w:val="single" w:sz="4" w:space="0" w:color="auto"/>
            </w:tcBorders>
          </w:tcPr>
          <w:p w14:paraId="7FAB5165" w14:textId="66703C65" w:rsidR="0090359A" w:rsidRDefault="0090359A" w:rsidP="00166618">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804703" w14:paraId="49F709FF" w14:textId="3D415617" w:rsidTr="00287C10">
        <w:tc>
          <w:tcPr>
            <w:tcW w:w="491" w:type="dxa"/>
          </w:tcPr>
          <w:p w14:paraId="5F2F52CC" w14:textId="3CFA2D9E"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799" w:type="dxa"/>
          </w:tcPr>
          <w:p w14:paraId="35885379" w14:textId="7181D9B1"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c>
          <w:tcPr>
            <w:tcW w:w="964" w:type="dxa"/>
          </w:tcPr>
          <w:p w14:paraId="22B150B8" w14:textId="013CE13B"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22%</w:t>
            </w:r>
          </w:p>
        </w:tc>
        <w:tc>
          <w:tcPr>
            <w:tcW w:w="772" w:type="dxa"/>
          </w:tcPr>
          <w:p w14:paraId="0E908268" w14:textId="0700D88D"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{"citationID":"704TjXv2","properties":{"formattedCitation":"[22]","plainCitation":"[22]","noteIndex":0},"citationItems":[{"id":57,"uris":["http://zotero.org/users/9663344/items/ZTD6HKJR"],"itemData":{"id":57,"type":"article-journal","abstract":"Background Increased rates of sexually transmitted infections (STIs) are reported among men who have sex with men (MSM) and new interventions are needed. We aimed to assess whether post-exposure prophylaxis (PEP) with doxycycline could reduce the incidence of chlamydia or syphilis (or both) and whether the meningococcal group B vaccine (4CMenB) could reduce the incidence of gonorrhoea in this population.","container-title":"The Lancet Infectious Diseases","DOI":"10.1016/S1473-3099(24)00236-6","ISSN":"14733099","issue":"10","journalAbbreviation":"The Lancet Infectious Diseases","language":"en","page":"1093-1104","source":"DOI.org (Crossref)","title":"Doxycycline prophylaxis and meningococcal group B vaccine to prevent bacterial sexually transmitted infections in France (ANRS 174 DOXYVAC): a multicentre, open-label, randomised trial with a 2 × 2 factorial design","title-short":"Doxycycline prophylaxis and meningococcal group B vaccine to prevent bacterial sexually transmitted infections in France (ANRS 174 DOXYVAC)","volume":"24","author":[{"family":"Molina","given":"Jean-Michel"},{"family":"Bercot","given":"Beatrice"},{"family":"Assoumou","given":"Lambert"},{"family":"Rubenstein","given":"Emma"},{"family":"Algarte-Genin","given":"Michele"},{"family":"Pialoux","given":"Gilles"},{"family":"Katlama","given":"Christine"},{"family":"Surgers","given":"Laure"},{"family":"Bébéar","given":"Cécile"},{"family":"Dupin","given":"Nicolas"},{"family":"Ouattara","given":"Moussa"},{"family":"Slama","given":"Laurence"},{"family":"Pavie","given":"Juliette"},{"family":"Duvivier","given":"Claudine"},{"family":"Loze","given":"Benedicte"},{"family":"Goldwirt","given":"Lauriane"},{"family":"Gibowski","given":"Severine"},{"family":"Ollivier","given":"Manon"},{"family":"Ghosn","given":"Jade"},{"family":"Costagliola","given":"Dominique"},{"family":"Aslan","given":"Alexandre"},{"family":"Pintado","given":"Claire"},{"family":"Delaugerre","given":"Constance"},{"family":"Ponscarme","given":"Diane"},{"family":"Dalle","given":"Eve"},{"family":"Chas","given":"Julie"},{"family":"Siguier","given":"Martin"},{"family":"Palich","given":"Romain"},{"family":"Valentin","given":"Marc-Antoine"},{"family":"Yazdanpanah","given":"Yazdan"},{"family":"Lacombe","given":"Karine"},{"family":"Viard","given":"Jean-Paul"},{"family":"Lourenco","given":"Jeremy"},{"family":"Rachline","given":"Anne"},{"family":"Detruchis","given":"Pierre"},{"family":"Diemer","given":"Myriam"},{"family":"Azemar","given":"Laurene"},{"family":"Landowski","given":"Stephanie"},{"family":"Ometsguine","given":"Philippe"},{"family":"Buisson","given":"Martin"},{"family":"Feliho","given":"Philip"},{"family":"Bachelard","given":"Antoine"},{"family":"Phung","given":"Bao"},{"family":"Rioux","given":"Christophe"},{"family":"Proux","given":"Caroline"},{"family":"Le Gac","given":"Sylvie"},{"family":"Schneider","given":"Luminita"},{"family":"Charmak","given":"Aziza"},{"family":"Ktorza","given":"Nadine"},{"family":"Seang","given":"Sophie"},{"family":"Orriere","given":"Thibaut"},{"family":"Sellem","given":"Baptiste"},{"family":"Palacios","given":"Christia"},{"family":"Mebarki","given":"Soraya"}],"issued":{"date-parts":[["2024",10]]}}}],"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[22]</w:t>
            </w:r>
            <w:r>
              <w:rPr>
                <w:rFonts w:eastAsia="Times New Roman" w:cs="Times New Roman"/>
                <w:color w:val="000000" w:themeColor="text1"/>
                <w:kern w:val="0"/>
                <w:szCs w:val="20"/>
                <w14:ligatures w14:val="none"/>
              </w:rPr>
              <w:fldChar w:fldCharType="end"/>
            </w:r>
          </w:p>
        </w:tc>
      </w:tr>
      <w:tr w:rsidR="00804703" w14:paraId="46C6533E" w14:textId="58E77F49" w:rsidTr="00287C10">
        <w:tc>
          <w:tcPr>
            <w:tcW w:w="491" w:type="dxa"/>
          </w:tcPr>
          <w:p w14:paraId="16E99D95" w14:textId="4BCC7CB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799" w:type="dxa"/>
          </w:tcPr>
          <w:p w14:paraId="1B4F2836" w14:textId="357A9B27"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1" w:name="_Hlk212667815"/>
            <w:r>
              <w:rPr>
                <w:rFonts w:eastAsia="Times New Roman" w:cs="Times New Roman"/>
                <w:color w:val="000000" w:themeColor="text1"/>
                <w:kern w:val="0"/>
                <w:szCs w:val="20"/>
                <w14:ligatures w14:val="none"/>
              </w:rPr>
              <w:t>4CMenB efficacy against gonorrhoea infection</w:t>
            </w:r>
            <w:bookmarkEnd w:id="1"/>
          </w:p>
        </w:tc>
        <w:tc>
          <w:tcPr>
            <w:tcW w:w="964" w:type="dxa"/>
          </w:tcPr>
          <w:p w14:paraId="4857FA1B" w14:textId="28DD64D4"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40%</w:t>
            </w:r>
          </w:p>
        </w:tc>
        <w:tc>
          <w:tcPr>
            <w:tcW w:w="772" w:type="dxa"/>
          </w:tcPr>
          <w:p w14:paraId="440AF381" w14:textId="2CFA4FB6" w:rsidR="0090359A" w:rsidRDefault="008576F9"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{"citationID":"5t9v32uY","properties":{"formattedCitation":"[11]","plainCitation":"[11]","noteIndex":0},"citationItems":[{"id":409,"uris":["http://zotero.org/users/9663344/items/S8TLUVMP"],"itemData":{"id":409,"type":"article-journal","container-title":"The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[11]</w:t>
            </w:r>
            <w:r>
              <w:rPr>
                <w:rFonts w:eastAsia="Times New Roman" w:cs="Times New Roman"/>
                <w:color w:val="000000" w:themeColor="text1"/>
                <w:kern w:val="0"/>
                <w:szCs w:val="20"/>
                <w14:ligatures w14:val="none"/>
              </w:rPr>
              <w:fldChar w:fldCharType="end"/>
            </w:r>
          </w:p>
        </w:tc>
      </w:tr>
      <w:tr w:rsidR="00BA2AB7" w14:paraId="4BCA9D03" w14:textId="77777777" w:rsidTr="00287C10">
        <w:tc>
          <w:tcPr>
            <w:tcW w:w="491" w:type="dxa"/>
          </w:tcPr>
          <w:p w14:paraId="505376B2" w14:textId="406A08A4" w:rsidR="00BA2AB7" w:rsidRPr="00D32E21" w:rsidRDefault="00000000" w:rsidP="00C052D4">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DengXian" w:hAnsi="Cambria Math" w:cs="Times New Roman"/>
                        <w:i/>
                        <w:iCs/>
                        <w:color w:val="000000" w:themeColor="text1"/>
                        <w:kern w:val="0"/>
                        <w:szCs w:val="20"/>
                        <w14:ligatures w14:val="none"/>
                      </w:rPr>
                    </m:ctrlPr>
                  </m:sSubPr>
                  <m:e>
                    <m:r>
                      <w:rPr>
                        <w:rFonts w:ascii="Cambria Math" w:eastAsia="DengXian" w:hAnsi="Cambria Math" w:cs="Times New Roman"/>
                        <w:color w:val="000000" w:themeColor="text1"/>
                        <w:kern w:val="0"/>
                        <w:szCs w:val="20"/>
                        <w14:ligatures w14:val="none"/>
                      </w:rPr>
                      <m:t>e</m:t>
                    </m:r>
                  </m:e>
                  <m:sub>
                    <m:r>
                      <w:rPr>
                        <w:rFonts w:ascii="Cambria Math" w:eastAsia="DengXian" w:hAnsi="Cambria Math" w:cs="Times New Roman"/>
                        <w:color w:val="000000" w:themeColor="text1"/>
                        <w:kern w:val="0"/>
                        <w:szCs w:val="20"/>
                        <w14:ligatures w14:val="none"/>
                      </w:rPr>
                      <m:t>vd</m:t>
                    </m:r>
                  </m:sub>
                </m:sSub>
              </m:oMath>
            </m:oMathPara>
          </w:p>
        </w:tc>
        <w:tc>
          <w:tcPr>
            <w:tcW w:w="6799" w:type="dxa"/>
          </w:tcPr>
          <w:p w14:paraId="2CFD7750" w14:textId="25040467" w:rsidR="00BA2AB7" w:rsidRDefault="00BA2AB7"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Combined efficacy of doxy-PEP and 4CMenB against gonorrhoea infection</w:t>
            </w:r>
          </w:p>
        </w:tc>
        <w:tc>
          <w:tcPr>
            <w:tcW w:w="964" w:type="dxa"/>
          </w:tcPr>
          <w:p w14:paraId="12D6FA14" w14:textId="007C2C79" w:rsidR="00BA2AB7" w:rsidRDefault="00BA2AB7"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53.2%</w:t>
            </w:r>
            <w:r>
              <w:rPr>
                <w:rStyle w:val="FootnoteReference"/>
                <w:rFonts w:eastAsia="Times New Roman" w:cs="Times New Roman"/>
                <w:color w:val="000000" w:themeColor="text1"/>
                <w:kern w:val="0"/>
                <w:szCs w:val="20"/>
                <w14:ligatures w14:val="none"/>
              </w:rPr>
              <w:footnoteReference w:id="5"/>
            </w:r>
          </w:p>
        </w:tc>
        <w:tc>
          <w:tcPr>
            <w:tcW w:w="772" w:type="dxa"/>
          </w:tcPr>
          <w:p w14:paraId="5C4485B7" w14:textId="29F877A9" w:rsidR="00BA2AB7" w:rsidRDefault="00BA2AB7"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7DACFBA3" w14:textId="732C697C" w:rsidTr="00287C10">
        <w:tc>
          <w:tcPr>
            <w:tcW w:w="491" w:type="dxa"/>
          </w:tcPr>
          <w:p w14:paraId="355ED9D7" w14:textId="40DF9D48"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799" w:type="dxa"/>
          </w:tcPr>
          <w:p w14:paraId="12D7D903" w14:textId="5A39467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c>
          <w:tcPr>
            <w:tcW w:w="964" w:type="dxa"/>
          </w:tcPr>
          <w:p w14:paraId="3BF16A30" w14:textId="6DBD8389"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2" w:type="dxa"/>
          </w:tcPr>
          <w:p w14:paraId="09D7C125" w14:textId="7FE3FA5C"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2B2479D5" w14:textId="35196F1A" w:rsidTr="00287C10">
        <w:tc>
          <w:tcPr>
            <w:tcW w:w="491" w:type="dxa"/>
          </w:tcPr>
          <w:p w14:paraId="55A89678" w14:textId="52D15972"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799" w:type="dxa"/>
          </w:tcPr>
          <w:p w14:paraId="3FA1541C" w14:textId="5B737D1E"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c>
          <w:tcPr>
            <w:tcW w:w="964" w:type="dxa"/>
          </w:tcPr>
          <w:p w14:paraId="4D59A842" w14:textId="54CD4944"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2" w:type="dxa"/>
          </w:tcPr>
          <w:p w14:paraId="2BC7F6F0" w14:textId="68088CA3"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03E90163" w14:textId="31591B66" w:rsidTr="00287C10">
        <w:tc>
          <w:tcPr>
            <w:tcW w:w="491" w:type="dxa"/>
          </w:tcPr>
          <w:p w14:paraId="337ED82A" w14:textId="4C8E457A"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n</m:t>
                    </m:r>
                  </m:sub>
                </m:sSub>
              </m:oMath>
            </m:oMathPara>
          </w:p>
        </w:tc>
        <w:tc>
          <w:tcPr>
            <w:tcW w:w="6799" w:type="dxa"/>
          </w:tcPr>
          <w:p w14:paraId="243798AE" w14:textId="58A45403"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c>
          <w:tcPr>
            <w:tcW w:w="964" w:type="dxa"/>
          </w:tcPr>
          <w:p w14:paraId="15F27FB9" w14:textId="1B903BE7"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0.362</w:t>
            </w:r>
          </w:p>
        </w:tc>
        <w:tc>
          <w:tcPr>
            <w:tcW w:w="772" w:type="dxa"/>
          </w:tcPr>
          <w:p w14:paraId="427CD319" w14:textId="4FAB3C69"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F729B0">
              <w:rPr>
                <w:rFonts w:eastAsia="Times New Roman" w:cs="Times New Roman"/>
                <w:color w:val="000000" w:themeColor="text1"/>
                <w:kern w:val="0"/>
                <w:szCs w:val="20"/>
                <w14:ligatures w14:val="none"/>
              </w:rPr>
              <w:instrText xml:space="preserve"> ADDIN ZOTERO_ITEM CSL_CITATION {"citationID":"vZC2KeRk","properties":{"formattedCitation":"[23]","plainCitation":"[23]","noteIndex":0},"citationItems":[{"id":151,"uris":["http://zotero.org/users/9663344/items/MXEW8URU"],"itemData":{"id":151,"type":"article-journal","abstract":"Background Poor adherence to oral HIV pre-exposure prophylaxis (PrEP) diminishes its clinical and public health benefits. This study synthesises evidence regarding discontinuation, adherence, and reinitiation of PrEP among geographically diverse PrEP users.","container-title":"The Lancet HIV","DOI":"10.1016/S2352-3018(22)00030-3","ISSN":"23523018","issue":"4","journalAbbreviation":"The Lancet HIV","language":"en","page":"e254-e268","source":"DOI.org (Crossref)","title":"Discontinuation, suboptimal adherence, and reinitiation of oral HIV pre-exposure prophylaxis: a global systematic review and meta-analysis","title-short":"Discontinuation, suboptimal adherence, and reinitiation of oral HIV pre-exposure prophylaxis","volume":"9","author":[{"family":"Zhang","given":"Jing"},{"family":"Li","given":"Chunyan"},{"family":"Xu","given":"Junjie"},{"family":"Hu","given":"Zhili"},{"family":"Rutstein","given":"Sarah E"},{"family":"Tucker","given":"Joseph D"},{"family":"Ong","given":"Jason J"},{"family":"Jiang","given":"Yongjun"},{"family":"Geng","given":"Wenqing"},{"family":"Wright","given":"Sarah T"},{"family":"Cohen","given":"Myron S"},{"family":"Shang","given":"Hong"},{"family":"Tang","given":"Weiming"}],"issued":{"date-parts":[["2022",4]]}}}],"schema":"https://github.com/citation-style-language/schema/raw/master/csl-citation.json"} </w:instrText>
            </w:r>
            <w:r>
              <w:rPr>
                <w:rFonts w:eastAsia="Times New Roman" w:cs="Times New Roman"/>
                <w:color w:val="000000" w:themeColor="text1"/>
                <w:kern w:val="0"/>
                <w:szCs w:val="20"/>
                <w14:ligatures w14:val="none"/>
              </w:rPr>
              <w:fldChar w:fldCharType="separate"/>
            </w:r>
            <w:r w:rsidR="00F729B0">
              <w:rPr>
                <w:rFonts w:eastAsia="Times New Roman" w:cs="Times New Roman"/>
                <w:noProof/>
                <w:color w:val="000000" w:themeColor="text1"/>
                <w:kern w:val="0"/>
                <w:szCs w:val="20"/>
                <w14:ligatures w14:val="none"/>
              </w:rPr>
              <w:t>[23]</w:t>
            </w:r>
            <w:r>
              <w:rPr>
                <w:rFonts w:eastAsia="Times New Roman" w:cs="Times New Roman"/>
                <w:color w:val="000000" w:themeColor="text1"/>
                <w:kern w:val="0"/>
                <w:szCs w:val="20"/>
                <w14:ligatures w14:val="none"/>
              </w:rPr>
              <w:fldChar w:fldCharType="end"/>
            </w:r>
          </w:p>
        </w:tc>
      </w:tr>
      <w:tr w:rsidR="00804703" w14:paraId="111A6694" w14:textId="49BB4504" w:rsidTr="00287C10">
        <w:tc>
          <w:tcPr>
            <w:tcW w:w="491" w:type="dxa"/>
          </w:tcPr>
          <w:p w14:paraId="127EFC57" w14:textId="04F370D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d</m:t>
                    </m:r>
                  </m:sub>
                </m:sSub>
              </m:oMath>
            </m:oMathPara>
          </w:p>
        </w:tc>
        <w:tc>
          <w:tcPr>
            <w:tcW w:w="6799" w:type="dxa"/>
          </w:tcPr>
          <w:p w14:paraId="2CA355AC" w14:textId="7EE9D10B"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2" w:name="_Hlk212668069"/>
            <w:r>
              <w:rPr>
                <w:rFonts w:eastAsia="Times New Roman" w:cs="Times New Roman"/>
                <w:color w:val="000000" w:themeColor="text1"/>
                <w:kern w:val="0"/>
                <w:szCs w:val="20"/>
                <w14:ligatures w14:val="none"/>
              </w:rPr>
              <w:t>Duration of protection of 4CMenB</w:t>
            </w:r>
            <w:bookmarkEnd w:id="2"/>
          </w:p>
        </w:tc>
        <w:tc>
          <w:tcPr>
            <w:tcW w:w="964" w:type="dxa"/>
          </w:tcPr>
          <w:p w14:paraId="7E546F3E" w14:textId="5647D9AB" w:rsidR="0090359A" w:rsidRDefault="009324AB"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w:t>
            </w:r>
          </w:p>
        </w:tc>
        <w:tc>
          <w:tcPr>
            <w:tcW w:w="772" w:type="dxa"/>
          </w:tcPr>
          <w:p w14:paraId="3053899D" w14:textId="1DAD7477" w:rsidR="0090359A" w:rsidRDefault="00CE782C"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bl>
    <w:p w14:paraId="61060628" w14:textId="0CCB5AC6" w:rsidR="00DB3DC4" w:rsidRDefault="00DB3DC4" w:rsidP="00276DCE">
      <w:pPr>
        <w:spacing w:before="100" w:beforeAutospacing="1" w:after="100" w:afterAutospacing="1" w:line="276" w:lineRule="auto"/>
        <w:jc w:val="both"/>
        <w:rPr>
          <w:rFonts w:ascii="Times New Roman" w:hAnsi="Times New Roman" w:cs="Times New Roman"/>
          <w:color w:val="000000" w:themeColor="text1"/>
          <w:sz w:val="20"/>
          <w:szCs w:val="20"/>
          <w:lang w:val="en-US"/>
        </w:rPr>
      </w:pPr>
      <w:r w:rsidRPr="00DB3DC4">
        <w:rPr>
          <w:rFonts w:ascii="Times New Roman" w:hAnsi="Times New Roman" w:cs="Times New Roman"/>
          <w:color w:val="000000" w:themeColor="text1"/>
          <w:kern w:val="0"/>
          <w:sz w:val="20"/>
          <w:szCs w:val="20"/>
          <w14:ligatures w14:val="none"/>
        </w:rPr>
        <w:t>Compartmental model equations</w:t>
      </w:r>
      <w:r w:rsidR="00D06293">
        <w:rPr>
          <w:rFonts w:ascii="Times New Roman" w:hAnsi="Times New Roman" w:cs="Times New Roman"/>
          <w:color w:val="000000" w:themeColor="text1"/>
          <w:kern w:val="0"/>
          <w:sz w:val="20"/>
          <w:szCs w:val="20"/>
          <w14:ligatures w14:val="none"/>
        </w:rPr>
        <w:t xml:space="preserve"> (subscript denotes strat</w:t>
      </w:r>
      <w:r w:rsidR="00914662">
        <w:rPr>
          <w:rFonts w:ascii="Times New Roman" w:hAnsi="Times New Roman" w:cs="Times New Roman"/>
          <w:color w:val="000000" w:themeColor="text1"/>
          <w:kern w:val="0"/>
          <w:sz w:val="20"/>
          <w:szCs w:val="20"/>
          <w14:ligatures w14:val="none"/>
        </w:rPr>
        <w:t>um</w:t>
      </w:r>
      <w:r w:rsidR="00D06293">
        <w:rPr>
          <w:rFonts w:ascii="Times New Roman" w:hAnsi="Times New Roman" w:cs="Times New Roman"/>
          <w:color w:val="000000" w:themeColor="text1"/>
          <w:kern w:val="0"/>
          <w:sz w:val="20"/>
          <w:szCs w:val="20"/>
          <w14:ligatures w14:val="none"/>
        </w:rPr>
        <w:t xml:space="preserve">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00D06293">
        <w:rPr>
          <w:rFonts w:ascii="Times New Roman" w:hAnsi="Times New Roman" w:cs="Times New Roman"/>
          <w:color w:val="000000" w:themeColor="text1"/>
          <w:sz w:val="20"/>
          <w:szCs w:val="20"/>
          <w:lang w:val="en-US"/>
        </w:rPr>
        <w:t xml:space="preserve"> and risk group </w:t>
      </w:r>
      <m:oMath>
        <m:r>
          <w:rPr>
            <w:rFonts w:ascii="Cambria Math" w:hAnsi="Cambria Math" w:cs="Times New Roman"/>
            <w:color w:val="000000" w:themeColor="text1"/>
            <w:sz w:val="20"/>
            <w:szCs w:val="20"/>
            <w:lang w:val="en-US"/>
          </w:rPr>
          <m:t>j∈</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H,L</m:t>
            </m:r>
          </m:e>
        </m:d>
      </m:oMath>
      <w:r w:rsidR="00D06293">
        <w:rPr>
          <w:rFonts w:ascii="Times New Roman" w:hAnsi="Times New Roman" w:cs="Times New Roman"/>
          <w:color w:val="000000" w:themeColor="text1"/>
          <w:sz w:val="20"/>
          <w:szCs w:val="20"/>
          <w:lang w:val="en-US"/>
        </w:rPr>
        <w:t>,</w:t>
      </w:r>
      <w:r w:rsidR="00A21F6D">
        <w:rPr>
          <w:rFonts w:ascii="Times New Roman" w:hAnsi="Times New Roman" w:cs="Times New Roman"/>
          <w:color w:val="000000" w:themeColor="text1"/>
          <w:sz w:val="20"/>
          <w:szCs w:val="20"/>
          <w:lang w:val="en-US"/>
        </w:rPr>
        <w:t xml:space="preserve"> separated by comma, </w:t>
      </w:r>
      <w:r w:rsidR="00D06293">
        <w:rPr>
          <w:rFonts w:ascii="Times New Roman" w:hAnsi="Times New Roman" w:cs="Times New Roman"/>
          <w:color w:val="000000" w:themeColor="text1"/>
          <w:sz w:val="20"/>
          <w:szCs w:val="20"/>
          <w:lang w:val="en-US"/>
        </w:rPr>
        <w:t xml:space="preserve">superscript denotes strain </w:t>
      </w:r>
      <m:oMath>
        <m:r>
          <w:rPr>
            <w:rFonts w:ascii="Cambria Math" w:hAnsi="Cambria Math" w:cs="Times New Roman"/>
            <w:color w:val="000000" w:themeColor="text1"/>
            <w:sz w:val="20"/>
            <w:szCs w:val="20"/>
            <w:lang w:val="en-US"/>
          </w:rPr>
          <m:t>k∈</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0, c, t, d2</m:t>
            </m:r>
          </m:e>
        </m:d>
      </m:oMath>
      <w:r w:rsidR="00D06293">
        <w:rPr>
          <w:rFonts w:ascii="Times New Roman" w:hAnsi="Times New Roman" w:cs="Times New Roman"/>
          <w:color w:val="000000" w:themeColor="text1"/>
          <w:sz w:val="20"/>
          <w:szCs w:val="20"/>
          <w:lang w:val="en-US"/>
        </w:rPr>
        <w:t>):</w:t>
      </w:r>
    </w:p>
    <w:p w14:paraId="222CBCA0" w14:textId="5A4C520A" w:rsidR="007C39C6" w:rsidRPr="002D7CDC" w:rsidRDefault="007C39C6" w:rsidP="007C39C6">
      <w:pPr>
        <w:pStyle w:val="NormalWeb"/>
        <w:spacing w:line="276" w:lineRule="auto"/>
        <w:jc w:val="both"/>
        <w:rPr>
          <w:sz w:val="20"/>
          <w:szCs w:val="20"/>
        </w:rPr>
      </w:pPr>
      <w:r w:rsidRPr="002D7CDC">
        <w:rPr>
          <w:sz w:val="20"/>
          <w:szCs w:val="20"/>
        </w:rPr>
        <w:t xml:space="preserve">The force of infection, defined as the rate at which susceptible individuals </w:t>
      </w:r>
      <w:r w:rsidR="00223F73">
        <w:rPr>
          <w:iCs/>
          <w:sz w:val="20"/>
          <w:szCs w:val="20"/>
          <w:lang w:val="en-US"/>
        </w:rPr>
        <w:t xml:space="preserve">with strain </w:t>
      </w:r>
      <m:oMath>
        <m:r>
          <w:rPr>
            <w:rFonts w:ascii="Cambria Math" w:hAnsi="Cambria Math"/>
            <w:sz w:val="20"/>
            <w:szCs w:val="20"/>
            <w:lang w:val="en-US"/>
          </w:rPr>
          <m:t>k</m:t>
        </m:r>
      </m:oMath>
      <w:r w:rsidR="00223F73">
        <w:rPr>
          <w:iCs/>
          <w:sz w:val="20"/>
          <w:szCs w:val="20"/>
          <w:lang w:val="en-US"/>
        </w:rPr>
        <w:t xml:space="preserve"> </w:t>
      </w:r>
      <w:r w:rsidRPr="002D7CDC">
        <w:rPr>
          <w:sz w:val="20"/>
          <w:szCs w:val="20"/>
        </w:rPr>
        <w:t xml:space="preserve">in sexual activity group </w:t>
      </w:r>
      <m:oMath>
        <m:r>
          <w:rPr>
            <w:rFonts w:ascii="Cambria Math" w:hAnsi="Cambria Math"/>
            <w:sz w:val="20"/>
            <w:szCs w:val="20"/>
          </w:rPr>
          <m:t>j</m:t>
        </m:r>
      </m:oMath>
      <w:r w:rsidRPr="002D7CDC">
        <w:rPr>
          <w:sz w:val="20"/>
          <w:szCs w:val="20"/>
        </w:rPr>
        <w:t xml:space="preserve"> acquire infection, </w:t>
      </w:r>
      <m:oMath>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 xml:space="preserve">, </w:t>
      </w:r>
      <w:r w:rsidRPr="002D7CDC">
        <w:rPr>
          <w:sz w:val="20"/>
          <w:szCs w:val="20"/>
        </w:rPr>
        <w:t>is determined by several factors: the annual rate of partner change within each group (</w:t>
      </w:r>
      <m:oMath>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oMath>
      <w:r w:rsidRPr="002D7CDC">
        <w:rPr>
          <w:sz w:val="20"/>
          <w:szCs w:val="20"/>
        </w:rPr>
        <w:t>); the level of assortativity in sexual mixing between groups (</w:t>
      </w:r>
      <m:oMath>
        <m:r>
          <w:rPr>
            <w:rFonts w:ascii="Cambria Math" w:hAnsi="Cambria Math"/>
            <w:sz w:val="20"/>
            <w:szCs w:val="20"/>
            <w:lang w:val="en-US"/>
          </w:rPr>
          <m:t>ϵ</m:t>
        </m:r>
      </m:oMath>
      <w:r w:rsidRPr="002D7CDC">
        <w:rPr>
          <w:sz w:val="20"/>
          <w:szCs w:val="20"/>
        </w:rPr>
        <w:t xml:space="preserve">, where </w:t>
      </w:r>
      <m:oMath>
        <m:r>
          <w:rPr>
            <w:rFonts w:ascii="Cambria Math" w:hAnsi="Cambria Math"/>
            <w:sz w:val="20"/>
            <w:szCs w:val="20"/>
            <w:lang w:val="en-US"/>
          </w:rPr>
          <m:t>ϵ</m:t>
        </m:r>
      </m:oMath>
      <w:r w:rsidRPr="002D7CDC">
        <w:rPr>
          <w:sz w:val="20"/>
          <w:szCs w:val="20"/>
        </w:rPr>
        <w:t xml:space="preserve"> = 0 represents proportionate mixing and </w:t>
      </w:r>
      <m:oMath>
        <m:r>
          <w:rPr>
            <w:rFonts w:ascii="Cambria Math" w:hAnsi="Cambria Math"/>
            <w:sz w:val="20"/>
            <w:szCs w:val="20"/>
            <w:lang w:val="en-US"/>
          </w:rPr>
          <m:t>ϵ</m:t>
        </m:r>
      </m:oMath>
      <w:r w:rsidRPr="002D7CDC">
        <w:rPr>
          <w:sz w:val="20"/>
          <w:szCs w:val="20"/>
        </w:rPr>
        <w:t xml:space="preserve"> = 1 represents fully assortative mixing); </w:t>
      </w:r>
      <w:r w:rsidRPr="002D7CDC">
        <w:rPr>
          <w:iCs/>
          <w:sz w:val="20"/>
          <w:szCs w:val="20"/>
          <w:lang w:val="en-US"/>
        </w:rPr>
        <w:t xml:space="preserve">the total number of contagious individuals </w:t>
      </w:r>
      <w:r w:rsidR="00091063">
        <w:rPr>
          <w:iCs/>
          <w:sz w:val="20"/>
          <w:szCs w:val="20"/>
          <w:lang w:val="en-US"/>
        </w:rPr>
        <w:t xml:space="preserve">with strain </w:t>
      </w:r>
      <m:oMath>
        <m:r>
          <w:rPr>
            <w:rFonts w:ascii="Cambria Math" w:hAnsi="Cambria Math"/>
            <w:sz w:val="20"/>
            <w:szCs w:val="20"/>
            <w:lang w:val="en-US"/>
          </w:rPr>
          <m:t>k</m:t>
        </m:r>
      </m:oMath>
      <w:r w:rsidR="00091063">
        <w:rPr>
          <w:iCs/>
          <w:sz w:val="20"/>
          <w:szCs w:val="20"/>
          <w:lang w:val="en-US"/>
        </w:rPr>
        <w:t xml:space="preserve"> </w:t>
      </w:r>
      <w:r w:rsidRPr="002D7CDC">
        <w:rPr>
          <w:iCs/>
          <w:sz w:val="20"/>
          <w:szCs w:val="20"/>
          <w:lang w:val="en-US"/>
        </w:rPr>
        <w:t xml:space="preserve">in group </w:t>
      </w:r>
      <m:oMath>
        <m:r>
          <w:rPr>
            <w:rFonts w:ascii="Cambria Math" w:hAnsi="Cambria Math"/>
            <w:sz w:val="20"/>
            <w:szCs w:val="20"/>
          </w:rPr>
          <m:t>j</m:t>
        </m:r>
      </m:oMath>
      <w:r w:rsidRPr="002D7CDC">
        <w:rPr>
          <w:sz w:val="20"/>
          <w:szCs w:val="20"/>
        </w:rPr>
        <w:t xml:space="preserve"> (</w:t>
      </w:r>
      <m:oMath>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 xml:space="preserve">); the total population in group </w:t>
      </w:r>
      <m:oMath>
        <m:r>
          <w:rPr>
            <w:rFonts w:ascii="Cambria Math" w:hAnsi="Cambria Math"/>
            <w:sz w:val="20"/>
            <w:szCs w:val="20"/>
          </w:rPr>
          <m:t>j</m:t>
        </m:r>
      </m:oMath>
      <w:r w:rsidRPr="002D7CDC">
        <w:rPr>
          <w:sz w:val="20"/>
          <w:szCs w:val="20"/>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oMath>
      <w:r w:rsidRPr="002D7CDC">
        <w:rPr>
          <w:iCs/>
          <w:sz w:val="20"/>
          <w:szCs w:val="20"/>
          <w:lang w:val="en-US"/>
        </w:rPr>
        <w:t xml:space="preserve">; </w:t>
      </w:r>
      <w:r w:rsidRPr="002D7CDC">
        <w:rPr>
          <w:sz w:val="20"/>
          <w:szCs w:val="20"/>
        </w:rPr>
        <w:t xml:space="preserve">the prevalence of infectious individuals </w:t>
      </w:r>
      <w:r w:rsidR="00727618">
        <w:rPr>
          <w:iCs/>
          <w:sz w:val="20"/>
          <w:szCs w:val="20"/>
          <w:lang w:val="en-US"/>
        </w:rPr>
        <w:t xml:space="preserve">with strain </w:t>
      </w:r>
      <m:oMath>
        <m:r>
          <w:rPr>
            <w:rFonts w:ascii="Cambria Math" w:hAnsi="Cambria Math"/>
            <w:sz w:val="20"/>
            <w:szCs w:val="20"/>
            <w:lang w:val="en-US"/>
          </w:rPr>
          <m:t>k</m:t>
        </m:r>
      </m:oMath>
      <w:r w:rsidR="00727618">
        <w:rPr>
          <w:iCs/>
          <w:sz w:val="20"/>
          <w:szCs w:val="20"/>
          <w:lang w:val="en-US"/>
        </w:rPr>
        <w:t xml:space="preserve"> </w:t>
      </w:r>
      <w:r w:rsidRPr="002D7CDC">
        <w:rPr>
          <w:sz w:val="20"/>
          <w:szCs w:val="20"/>
        </w:rPr>
        <w:t>in each group (</w:t>
      </w:r>
      <m:oMath>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oMath>
      <w:r w:rsidRPr="002D7CDC">
        <w:rPr>
          <w:sz w:val="20"/>
          <w:szCs w:val="20"/>
        </w:rPr>
        <w:t xml:space="preserve">); the proportion of all partnerships in the population that include an individual from group </w:t>
      </w:r>
      <m:oMath>
        <m:r>
          <w:rPr>
            <w:rFonts w:ascii="Cambria Math" w:hAnsi="Cambria Math"/>
            <w:sz w:val="20"/>
            <w:szCs w:val="20"/>
          </w:rPr>
          <m:t>j</m:t>
        </m:r>
      </m:oMath>
      <w:r w:rsidRPr="002D7CDC">
        <w:rPr>
          <w:sz w:val="20"/>
          <w:szCs w:val="20"/>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w:t>
      </w:r>
      <w:r w:rsidRPr="002D7CDC">
        <w:rPr>
          <w:sz w:val="20"/>
          <w:szCs w:val="20"/>
        </w:rPr>
        <w:t>; and the transmission probability. The latter is modelled as time-varying, increasing linearly from the baseline transmission rate (</w:t>
      </w:r>
      <m:oMath>
        <m:r>
          <w:rPr>
            <w:rFonts w:ascii="Cambria Math" w:hAnsi="Cambria Math"/>
            <w:sz w:val="20"/>
            <w:szCs w:val="20"/>
            <w:lang w:val="en-US"/>
          </w:rPr>
          <m:t>β</m:t>
        </m:r>
      </m:oMath>
      <w:r w:rsidRPr="002D7CDC">
        <w:rPr>
          <w:sz w:val="20"/>
          <w:szCs w:val="20"/>
        </w:rPr>
        <w:t xml:space="preserve">) at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oMath>
      <w:r w:rsidRPr="002D7CDC">
        <w:rPr>
          <w:sz w:val="20"/>
          <w:szCs w:val="20"/>
        </w:rPr>
        <w:t xml:space="preserv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=2004</m:t>
        </m:r>
      </m:oMath>
      <w:r w:rsidRPr="002D7CDC">
        <w:rPr>
          <w:sz w:val="20"/>
          <w:szCs w:val="20"/>
        </w:rPr>
        <w:t xml:space="preserve"> for Singapore and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=2011</m:t>
        </m:r>
      </m:oMath>
      <w:r w:rsidRPr="002D7CDC">
        <w:rPr>
          <w:sz w:val="20"/>
          <w:szCs w:val="20"/>
        </w:rPr>
        <w:t xml:space="preserve"> for England), with an annual increment of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sidRPr="002D7CDC">
        <w:rPr>
          <w:sz w:val="20"/>
          <w:szCs w:val="20"/>
        </w:rPr>
        <w:t>. The resulting force of infection is expressed as:</w:t>
      </w:r>
    </w:p>
    <w:p w14:paraId="294D1A6C" w14:textId="7078FDEC" w:rsidR="007C39C6" w:rsidRPr="002D7CDC"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r>
                <w:rPr>
                  <w:rFonts w:ascii="Cambria Math" w:hAnsi="Cambria Math"/>
                  <w:sz w:val="20"/>
                  <w:szCs w:val="20"/>
                  <w:lang w:val="en-US"/>
                </w:rPr>
                <m:t>β</m:t>
              </m:r>
              <m:d>
                <m:dPr>
                  <m:ctrlPr>
                    <w:rPr>
                      <w:rFonts w:ascii="Cambria Math" w:hAnsi="Cambria Math"/>
                      <w:i/>
                      <w:iCs/>
                      <w:sz w:val="20"/>
                      <w:szCs w:val="20"/>
                      <w:lang w:val="en-US"/>
                    </w:rPr>
                  </m:ctrlPr>
                </m:dPr>
                <m:e>
                  <m:r>
                    <w:rPr>
                      <w:rFonts w:ascii="Cambria Math" w:hAnsi="Cambria Math"/>
                      <w:sz w:val="20"/>
                      <w:szCs w:val="20"/>
                      <w:lang w:val="en-US"/>
                    </w:rPr>
                    <m:t>1+</m:t>
                  </m:r>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d>
                    <m:dPr>
                      <m:ctrlPr>
                        <w:rPr>
                          <w:rFonts w:ascii="Cambria Math" w:hAnsi="Cambria Math"/>
                          <w:i/>
                          <w:iCs/>
                          <w:sz w:val="20"/>
                          <w:szCs w:val="20"/>
                          <w:lang w:val="en-US"/>
                        </w:rPr>
                      </m:ctrlPr>
                    </m:dPr>
                    <m:e>
                      <m:r>
                        <w:rPr>
                          <w:rFonts w:ascii="Cambria Math" w:hAnsi="Cambria Math"/>
                          <w:sz w:val="20"/>
                          <w:szCs w:val="20"/>
                          <w:lang w:val="en-US"/>
                        </w:rPr>
                        <m:t>t-</m:t>
                      </m:r>
                      <m:sSub>
                        <m:sSubPr>
                          <m:ctrlPr>
                            <w:rPr>
                              <w:rFonts w:ascii="Cambria Math" w:hAnsi="Cambria Math"/>
                              <w:i/>
                              <w:iCs/>
                              <w:sz w:val="20"/>
                              <w:szCs w:val="20"/>
                              <w:lang w:val="en-US"/>
                            </w:rPr>
                          </m:ctrlPr>
                        </m:sSubPr>
                        <m:e>
                          <m:r>
                            <w:rPr>
                              <w:rFonts w:ascii="Cambria Math" w:hAnsi="Cambria Math"/>
                              <w:sz w:val="20"/>
                              <w:szCs w:val="20"/>
                              <w:lang w:val="en-US"/>
                            </w:rPr>
                            <m:t>t</m:t>
                          </m:r>
                        </m:e>
                        <m:sub>
                          <m:r>
                            <w:rPr>
                              <w:rFonts w:ascii="Cambria Math" w:hAnsi="Cambria Math"/>
                              <w:sz w:val="20"/>
                              <w:szCs w:val="20"/>
                              <w:lang w:val="en-US"/>
                            </w:rPr>
                            <m:t>0</m:t>
                          </m:r>
                        </m:sub>
                      </m:sSub>
                    </m:e>
                  </m:d>
                </m:e>
              </m:d>
              <m:d>
                <m:dPr>
                  <m:ctrlPr>
                    <w:rPr>
                      <w:rFonts w:ascii="Cambria Math" w:hAnsi="Cambria Math"/>
                      <w:i/>
                      <w:iCs/>
                      <w:sz w:val="20"/>
                      <w:szCs w:val="20"/>
                      <w:lang w:val="en-US"/>
                    </w:rPr>
                  </m:ctrlPr>
                </m:dPr>
                <m:e>
                  <m:r>
                    <w:rPr>
                      <w:rFonts w:ascii="Cambria Math" w:hAnsi="Cambria Math"/>
                      <w:sz w:val="20"/>
                      <w:szCs w:val="20"/>
                      <w:lang w:val="en-US"/>
                    </w:rPr>
                    <m:t>ϵ</m:t>
                  </m:r>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1-ϵ</m:t>
                      </m:r>
                    </m:e>
                  </m:d>
                  <m:d>
                    <m:dPr>
                      <m:ctrlPr>
                        <w:rPr>
                          <w:rFonts w:ascii="Cambria Math" w:hAnsi="Cambria Math"/>
                          <w:i/>
                          <w:iCs/>
                          <w:sz w:val="20"/>
                          <w:szCs w:val="20"/>
                          <w:lang w:val="en-US"/>
                        </w:rPr>
                      </m:ctrlPr>
                    </m:dPr>
                    <m:e>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e>
                      </m:nary>
                    </m:e>
                  </m:d>
                </m:e>
              </m:d>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m:t>
                  </m:r>
                </m:e>
              </m:d>
            </m:e>
          </m:eqArr>
          <m:r>
            <m:rPr>
              <m:sty m:val="p"/>
            </m:rPr>
            <w:rPr>
              <w:rFonts w:ascii="Cambria Math" w:hAnsi="Cambria Math"/>
              <w:sz w:val="20"/>
              <w:szCs w:val="20"/>
              <w:lang w:val="en-US"/>
            </w:rPr>
            <w:br/>
          </m:r>
        </m:oMath>
      </m:oMathPara>
      <w:proofErr w:type="gramStart"/>
      <w:r w:rsidR="007C39C6" w:rsidRPr="002D7CDC">
        <w:rPr>
          <w:iCs/>
          <w:sz w:val="20"/>
          <w:szCs w:val="20"/>
          <w:lang w:val="en-US"/>
        </w:rPr>
        <w:t>where</w:t>
      </w:r>
      <w:proofErr w:type="gramEnd"/>
    </w:p>
    <w:p w14:paraId="0DFB61FA" w14:textId="5CA29B44" w:rsidR="007C39C6" w:rsidRPr="00092D96"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r>
                <w:rPr>
                  <w:rFonts w:ascii="Cambria Math" w:hAnsi="Cambria Math"/>
                  <w:sz w:val="20"/>
                  <w:szCs w:val="20"/>
                  <w:lang w:val="en-US"/>
                </w:rPr>
                <m:t xml:space="preserve"> </m:t>
              </m:r>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f>
                <m:fPr>
                  <m:ctrlPr>
                    <w:rPr>
                      <w:rFonts w:ascii="Cambria Math" w:hAnsi="Cambria Math"/>
                      <w:i/>
                      <w:iCs/>
                      <w:sz w:val="20"/>
                      <w:szCs w:val="20"/>
                      <w:lang w:val="en-US"/>
                    </w:rPr>
                  </m:ctrlPr>
                </m:fPr>
                <m:num>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num>
                <m:den>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nary>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2</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3</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U</m:t>
                          </m:r>
                        </m:e>
                        <m:sub>
                          <m:r>
                            <w:rPr>
                              <w:rFonts w:ascii="Cambria Math" w:hAnsi="Cambria Math"/>
                              <w:sz w:val="20"/>
                              <w:szCs w:val="20"/>
                              <w:lang w:val="en-US"/>
                            </w:rPr>
                            <m:t>i,j</m:t>
                          </m:r>
                        </m:sub>
                        <m:sup>
                          <m:r>
                            <w:rPr>
                              <w:rFonts w:ascii="Cambria Math" w:hAnsi="Cambria Math"/>
                              <w:sz w:val="20"/>
                              <w:szCs w:val="20"/>
                              <w:lang w:val="en-US"/>
                            </w:rPr>
                            <m:t xml:space="preserve"> </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limLoc m:val="undOvr"/>
                          <m:supHide m:val="1"/>
                          <m:ctrlPr>
                            <w:rPr>
                              <w:rFonts w:ascii="Cambria Math" w:hAnsi="Cambria Math"/>
                              <w:i/>
                              <w:iCs/>
                              <w:sz w:val="20"/>
                              <w:szCs w:val="20"/>
                              <w:lang w:val="en-US"/>
                            </w:rPr>
                          </m:ctrlPr>
                        </m:naryPr>
                        <m:sub>
                          <m:r>
                            <w:rPr>
                              <w:rFonts w:ascii="Cambria Math" w:hAnsi="Cambria Math"/>
                              <w:sz w:val="20"/>
                              <w:szCs w:val="20"/>
                              <w:lang w:val="en-US"/>
                            </w:rPr>
                            <m:t>k∈</m:t>
                          </m:r>
                          <m:r>
                            <m:rPr>
                              <m:lit/>
                            </m:rPr>
                            <w:rPr>
                              <w:rFonts w:ascii="Cambria Math" w:hAnsi="Cambria Math"/>
                              <w:sz w:val="20"/>
                              <w:szCs w:val="20"/>
                              <w:lang w:val="en-US"/>
                            </w:rPr>
                            <m:t>{</m:t>
                          </m:r>
                          <m:r>
                            <w:rPr>
                              <w:rFonts w:ascii="Cambria Math" w:hAnsi="Cambria Math"/>
                              <w:color w:val="000000" w:themeColor="text1"/>
                              <w:sz w:val="20"/>
                              <w:szCs w:val="20"/>
                              <w:lang w:val="en-US"/>
                            </w:rPr>
                            <m:t>0, c, t, d2</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T</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4</m:t>
                  </m:r>
                </m:e>
              </m:d>
            </m:e>
          </m:eqArr>
        </m:oMath>
      </m:oMathPara>
    </w:p>
    <w:p w14:paraId="7FEA64E5" w14:textId="77777777" w:rsidR="007C39C6" w:rsidRPr="002D7CDC"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screening rate,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η</m:t>
            </m:r>
            <m:ctrlPr>
              <w:rPr>
                <w:rFonts w:ascii="Cambria Math" w:hAnsi="Cambria Math" w:cs="Times New Roman"/>
                <w:color w:val="000000"/>
                <w:sz w:val="20"/>
                <w:szCs w:val="20"/>
                <w:lang w:val="en-GB"/>
              </w:rPr>
            </m:ctrlP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2D7CDC">
        <w:rPr>
          <w:rFonts w:ascii="Times New Roman" w:hAnsi="Times New Roman" w:cs="Times New Roman"/>
          <w:color w:val="000000"/>
          <w:sz w:val="20"/>
          <w:szCs w:val="20"/>
          <w:lang w:val="en-GB"/>
        </w:rPr>
        <w:t xml:space="preserve">, </w:t>
      </w:r>
      <w:r w:rsidRPr="002D7CDC">
        <w:rPr>
          <w:rFonts w:ascii="Times New Roman" w:hAnsi="Times New Roman" w:cs="Times New Roman"/>
          <w:sz w:val="20"/>
          <w:szCs w:val="20"/>
        </w:rPr>
        <w:t xml:space="preserve">defined as testing in the absence of symptoms and thus applicable to asymptomatic or uninfected individuals, varies by sexual activity group. For both groups, the screening rate increases linearly over time, rising by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oMath>
      <w:r w:rsidRPr="002D7CDC">
        <w:rPr>
          <w:rFonts w:ascii="Times New Roman" w:hAnsi="Times New Roman" w:cs="Times New Roman"/>
          <w:sz w:val="20"/>
          <w:szCs w:val="20"/>
        </w:rPr>
        <w:t xml:space="preserve"> each year from the initial rate at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oMath>
      <w:r w:rsidRPr="002D7CDC">
        <w:rPr>
          <w:rFonts w:ascii="Times New Roman" w:hAnsi="Times New Roman" w:cs="Times New Roman"/>
          <w:sz w:val="20"/>
          <w:szCs w:val="20"/>
        </w:rPr>
        <w:t>, as follows:</w:t>
      </w:r>
    </w:p>
    <w:p w14:paraId="5E2DA46B" w14:textId="77777777" w:rsidR="007C39C6" w:rsidRPr="002D7CDC" w:rsidRDefault="00000000" w:rsidP="007C39C6">
      <w:pPr>
        <w:spacing w:before="100" w:beforeAutospacing="1" w:after="100" w:afterAutospacing="1" w:line="276" w:lineRule="auto"/>
        <w:jc w:val="both"/>
        <w:rPr>
          <w:rFonts w:ascii="Times New Roman" w:hAnsi="Times New Roman" w:cs="Times New Roman"/>
          <w:iCs/>
          <w:sz w:val="20"/>
          <w:szCs w:val="20"/>
          <w:lang w:val="en-US"/>
        </w:rPr>
      </w:pPr>
      <m:oMathPara>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d>
                <m:dPr>
                  <m:ctrlPr>
                    <w:rPr>
                      <w:rFonts w:ascii="Cambria Math" w:hAnsi="Cambria Math" w:cs="Times New Roman"/>
                      <w:i/>
                      <w:iCs/>
                      <w:sz w:val="20"/>
                      <w:szCs w:val="20"/>
                      <w:lang w:val="en-US"/>
                    </w:rPr>
                  </m:ctrlPr>
                </m:dPr>
                <m:e>
                  <m:r>
                    <w:rPr>
                      <w:rFonts w:ascii="Cambria Math" w:hAnsi="Cambria Math" w:cs="Times New Roman"/>
                      <w:sz w:val="20"/>
                      <w:szCs w:val="20"/>
                      <w:lang w:val="en-US"/>
                    </w:rPr>
                    <m:t>1+</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5</m:t>
                  </m:r>
                </m:e>
              </m:d>
            </m:e>
          </m:eqArr>
          <m:r>
            <m:rPr>
              <m:sty m:val="p"/>
            </m:rPr>
            <w:rPr>
              <w:rFonts w:ascii="Cambria Math" w:hAnsi="Cambria Math" w:cs="Times New Roman"/>
              <w:sz w:val="20"/>
              <w:szCs w:val="20"/>
              <w:lang w:val="en-US"/>
            </w:rPr>
            <w:br/>
          </m:r>
        </m:oMath>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L</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=ω</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6</m:t>
                  </m:r>
                </m:e>
              </m:d>
            </m:e>
          </m:eqArr>
        </m:oMath>
      </m:oMathPara>
    </w:p>
    <w:p w14:paraId="24B0800A" w14:textId="799AF018" w:rsidR="007C39C6"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lastRenderedPageBreak/>
        <w:t xml:space="preserve">To account for differences in behaviour, a factor </w:t>
      </w:r>
      <m:oMath>
        <m:r>
          <w:rPr>
            <w:rFonts w:ascii="Cambria Math" w:hAnsi="Cambria Math" w:cs="Times New Roman"/>
            <w:sz w:val="20"/>
            <w:szCs w:val="20"/>
          </w:rPr>
          <m:t>0&lt;ω&lt;1</m:t>
        </m:r>
      </m:oMath>
      <w:r w:rsidRPr="002D7CDC">
        <w:rPr>
          <w:rFonts w:ascii="Times New Roman" w:hAnsi="Times New Roman" w:cs="Times New Roman"/>
          <w:sz w:val="20"/>
          <w:szCs w:val="20"/>
        </w:rPr>
        <w:t xml:space="preserve"> is applied, reflecting that individuals in the low-activity group undergo screening less frequently than those in the high-activity group</w:t>
      </w:r>
      <w:r>
        <w:rPr>
          <w:rFonts w:ascii="Times New Roman" w:hAnsi="Times New Roman" w:cs="Times New Roman"/>
          <w:sz w:val="20"/>
          <w:szCs w:val="20"/>
        </w:rPr>
        <w:t>.</w:t>
      </w:r>
    </w:p>
    <w:p w14:paraId="24FB753C" w14:textId="66B40542" w:rsidR="008C079B" w:rsidRPr="008C079B" w:rsidRDefault="008C079B" w:rsidP="008C079B">
      <w:p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Pr>
          <w:rFonts w:ascii="Times New Roman" w:hAnsi="Times New Roman" w:cs="Times New Roman"/>
          <w:color w:val="000000" w:themeColor="text1"/>
          <w:kern w:val="0"/>
          <w:sz w:val="20"/>
          <w:szCs w:val="20"/>
          <w14:ligatures w14:val="none"/>
        </w:rPr>
        <w:t>Compartmental model equations</w:t>
      </w:r>
    </w:p>
    <w:p w14:paraId="7358F8A1" w14:textId="076ABDAE" w:rsidR="00DB3DC4" w:rsidRPr="00DB3DC4" w:rsidRDefault="00DB3DC4" w:rsidP="00DB3DC4">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t>For “No Intervention” (N):</w:t>
      </w:r>
    </w:p>
    <w:p w14:paraId="69E2D4A7" w14:textId="4224B140" w:rsidR="00F14CE2" w:rsidRPr="004F4B9C" w:rsidRDefault="00000000" w:rsidP="00F14CE2">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w:rPr>
              <w:rFonts w:ascii="Cambria Math" w:hAnsi="Cambria Math"/>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430E62D5" w14:textId="4620CFEF" w:rsidR="00D337FB" w:rsidRPr="004033EF" w:rsidRDefault="00D337FB" w:rsidP="00D337FB">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 (D):</w:t>
      </w:r>
    </w:p>
    <w:p w14:paraId="2A03ACF1" w14:textId="66A4BC21" w:rsidR="00620092" w:rsidRPr="002C3F2C"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18</m:t>
                  </m:r>
                </m:e>
              </m:d>
            </m:e>
          </m:eqArr>
          <m:r>
            <m:rPr>
              <m:sty m:val="p"/>
            </m:rP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34</m:t>
                  </m:r>
                </m:e>
              </m:d>
            </m:e>
          </m:eqArr>
        </m:oMath>
      </m:oMathPara>
    </w:p>
    <w:p w14:paraId="602E1DFB" w14:textId="39BA81EA" w:rsidR="002C3F2C" w:rsidRPr="002C3F2C" w:rsidRDefault="002C3F2C" w:rsidP="002C3F2C">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“Doxy-PEP+4CMenB” (V):</w:t>
      </w:r>
    </w:p>
    <w:p w14:paraId="00B3CD2A" w14:textId="096001EB" w:rsidR="00870795" w:rsidRPr="00535D63"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iCs/>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51</m:t>
                  </m:r>
                </m:e>
              </m:d>
            </m:e>
          </m:eqArr>
        </m:oMath>
      </m:oMathPara>
    </w:p>
    <w:p w14:paraId="21B8B8FF" w14:textId="649570B1" w:rsidR="00535D63" w:rsidRPr="00D817F5" w:rsidRDefault="00535D63" w:rsidP="00276DCE">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“4CMenB” (M):</w:t>
      </w:r>
    </w:p>
    <w:p w14:paraId="2B59E6CA" w14:textId="52B20A2A" w:rsidR="00577E90" w:rsidRPr="00577E90" w:rsidRDefault="00000000" w:rsidP="00276DCE">
      <w:pPr>
        <w:spacing w:before="100" w:beforeAutospacing="1" w:after="100" w:afterAutospacing="1" w:line="276" w:lineRule="auto"/>
        <w:jc w:val="both"/>
        <w:rPr>
          <w:rFonts w:ascii="Times New Roman" w:eastAsia="Times New Roman" w:hAnsi="Times New Roman" w:cs="Times New Roman"/>
          <w:b/>
          <w:bCs/>
          <w:i/>
          <w:color w:val="000000" w:themeColor="text1"/>
          <w:kern w:val="0"/>
          <w:sz w:val="20"/>
          <w:szCs w:val="20"/>
          <w14:ligatures w14:val="none"/>
        </w:rPr>
        <w:sectPr w:rsidR="00577E90" w:rsidRPr="00577E90">
          <w:pgSz w:w="11906" w:h="16838"/>
          <w:pgMar w:top="1440" w:right="1440" w:bottom="1440" w:left="1440" w:header="708" w:footer="708" w:gutter="0"/>
          <w:cols w:space="708"/>
          <w:docGrid w:linePitch="360"/>
        </w:sect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68</m:t>
                  </m:r>
                </m:e>
              </m:d>
            </m:e>
          </m:eqArr>
        </m:oMath>
      </m:oMathPara>
    </w:p>
    <w:p w14:paraId="7848A7C5" w14:textId="5094848F" w:rsidR="00E168B3" w:rsidRPr="00A37609"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36BCAE91" w14:textId="77777777" w:rsidR="00F729B0" w:rsidRPr="00F729B0" w:rsidRDefault="00802477" w:rsidP="00F729B0">
      <w:pPr>
        <w:pStyle w:val="Bibliography"/>
        <w:rPr>
          <w:rFonts w:ascii="Times New Roman" w:hAnsi="Times New Roman" w:cs="Times New Roman"/>
          <w:color w:val="000000"/>
          <w:sz w:val="20"/>
          <w:lang w:val="en-US"/>
        </w:rPr>
      </w:pPr>
      <w:r w:rsidRPr="00E5154E">
        <w:rPr>
          <w:rFonts w:eastAsia="Times New Roman"/>
          <w:color w:val="000000" w:themeColor="text1"/>
          <w:sz w:val="20"/>
          <w:szCs w:val="20"/>
          <w14:ligatures w14:val="none"/>
        </w:rPr>
        <w:fldChar w:fldCharType="begin"/>
      </w:r>
      <w:r w:rsidR="00E96FBA">
        <w:rPr>
          <w:rFonts w:eastAsia="Times New Roman"/>
          <w:color w:val="000000" w:themeColor="text1"/>
          <w:sz w:val="20"/>
          <w:szCs w:val="20"/>
          <w14:ligatures w14:val="none"/>
        </w:rPr>
        <w:instrText xml:space="preserve"> ADDIN ZOTERO_BIBL {"uncited":[],"omitted":[],"custom":[]} CSL_BIBLIOGRAPHY </w:instrText>
      </w:r>
      <w:r w:rsidRPr="00E5154E">
        <w:rPr>
          <w:rFonts w:eastAsia="Times New Roman"/>
          <w:color w:val="000000" w:themeColor="text1"/>
          <w:sz w:val="20"/>
          <w:szCs w:val="20"/>
          <w14:ligatures w14:val="none"/>
        </w:rPr>
        <w:fldChar w:fldCharType="separate"/>
      </w:r>
      <w:r w:rsidR="00F729B0" w:rsidRPr="00F729B0">
        <w:rPr>
          <w:rFonts w:ascii="Times New Roman" w:hAnsi="Times New Roman" w:cs="Times New Roman"/>
          <w:color w:val="000000"/>
          <w:sz w:val="20"/>
          <w:lang w:val="en-US"/>
        </w:rPr>
        <w:t>[1]</w:t>
      </w:r>
      <w:r w:rsidR="00F729B0" w:rsidRPr="00F729B0">
        <w:rPr>
          <w:rFonts w:ascii="Times New Roman" w:hAnsi="Times New Roman" w:cs="Times New Roman"/>
          <w:color w:val="000000"/>
          <w:sz w:val="20"/>
          <w:lang w:val="en-US"/>
        </w:rPr>
        <w:tab/>
        <w:t>J. Saunders, J. Deering, C. Dewsnap, R. Drayton, and J. Gilmore, “UK National Guideline for the Use of Doxycycline Post-Exposure Prophylaxis (</w:t>
      </w:r>
      <w:proofErr w:type="spellStart"/>
      <w:r w:rsidR="00F729B0" w:rsidRPr="00F729B0">
        <w:rPr>
          <w:rFonts w:ascii="Times New Roman" w:hAnsi="Times New Roman" w:cs="Times New Roman"/>
          <w:color w:val="000000"/>
          <w:sz w:val="20"/>
          <w:lang w:val="en-US"/>
        </w:rPr>
        <w:t>DoxyPEP</w:t>
      </w:r>
      <w:proofErr w:type="spellEnd"/>
      <w:r w:rsidR="00F729B0" w:rsidRPr="00F729B0">
        <w:rPr>
          <w:rFonts w:ascii="Times New Roman" w:hAnsi="Times New Roman" w:cs="Times New Roman"/>
          <w:color w:val="000000"/>
          <w:sz w:val="20"/>
          <w:lang w:val="en-US"/>
        </w:rPr>
        <w:t>) for the Prevention of Syphilis”.</w:t>
      </w:r>
    </w:p>
    <w:p w14:paraId="7F81CAD0"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[2]</w:t>
      </w:r>
      <w:r w:rsidRPr="00F729B0">
        <w:rPr>
          <w:rFonts w:ascii="Times New Roman" w:hAnsi="Times New Roman" w:cs="Times New Roman"/>
          <w:color w:val="000000"/>
          <w:sz w:val="20"/>
          <w:lang w:val="en-US"/>
        </w:rPr>
        <w:tab/>
        <w:t xml:space="preserve">D. M. Whiley, J. A. Tickner, R. L. Kundu, T. R. Hogan, S. J. van Hal, and M. M. </w:t>
      </w:r>
      <w:proofErr w:type="spellStart"/>
      <w:r w:rsidRPr="00F729B0">
        <w:rPr>
          <w:rFonts w:ascii="Times New Roman" w:hAnsi="Times New Roman" w:cs="Times New Roman"/>
          <w:color w:val="000000"/>
          <w:sz w:val="20"/>
          <w:lang w:val="en-US"/>
        </w:rPr>
        <w:t>Lahra</w:t>
      </w:r>
      <w:proofErr w:type="spellEnd"/>
      <w:r w:rsidRPr="00F729B0">
        <w:rPr>
          <w:rFonts w:ascii="Times New Roman" w:hAnsi="Times New Roman" w:cs="Times New Roman"/>
          <w:color w:val="000000"/>
          <w:sz w:val="20"/>
          <w:lang w:val="en-US"/>
        </w:rPr>
        <w:t xml:space="preserve">, “Selection of Neisseria gonorrhoeae ceftriaxone resistance using doxycycline post-exposure prophylaxis,” </w:t>
      </w:r>
      <w:r w:rsidRPr="00F729B0">
        <w:rPr>
          <w:rFonts w:ascii="Times New Roman" w:hAnsi="Times New Roman" w:cs="Times New Roman"/>
          <w:i/>
          <w:iCs/>
          <w:color w:val="000000"/>
          <w:sz w:val="20"/>
          <w:lang w:val="en-US"/>
        </w:rPr>
        <w:t>Lancet Infect. Dis.</w:t>
      </w:r>
      <w:r w:rsidRPr="00F729B0">
        <w:rPr>
          <w:rFonts w:ascii="Times New Roman" w:hAnsi="Times New Roman" w:cs="Times New Roman"/>
          <w:color w:val="000000"/>
          <w:sz w:val="20"/>
          <w:lang w:val="en-US"/>
        </w:rPr>
        <w:t xml:space="preserve">, vol. 23, no. 8, pp. e268–e269, Aug. 2023,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10.1016/S1473-3099(23)00359-6.</w:t>
      </w:r>
    </w:p>
    <w:p w14:paraId="314E7B1C"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[3]</w:t>
      </w:r>
      <w:r w:rsidRPr="00F729B0">
        <w:rPr>
          <w:rFonts w:ascii="Times New Roman" w:hAnsi="Times New Roman" w:cs="Times New Roman"/>
          <w:color w:val="000000"/>
          <w:sz w:val="20"/>
          <w:lang w:val="en-US"/>
        </w:rPr>
        <w:tab/>
        <w:t xml:space="preserve">M. E. DeWitt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“Promise and peril: doxycycline prophylaxis and the spread of resistance among diverse populations,” </w:t>
      </w:r>
      <w:r w:rsidRPr="00F729B0">
        <w:rPr>
          <w:rFonts w:ascii="Times New Roman" w:hAnsi="Times New Roman" w:cs="Times New Roman"/>
          <w:i/>
          <w:iCs/>
          <w:color w:val="000000"/>
          <w:sz w:val="20"/>
          <w:lang w:val="en-US"/>
        </w:rPr>
        <w:t>Lancet Microbe</w:t>
      </w:r>
      <w:r w:rsidRPr="00F729B0">
        <w:rPr>
          <w:rFonts w:ascii="Times New Roman" w:hAnsi="Times New Roman" w:cs="Times New Roman"/>
          <w:color w:val="000000"/>
          <w:sz w:val="20"/>
          <w:lang w:val="en-US"/>
        </w:rPr>
        <w:t xml:space="preserve">, vol. 0, no. 0, Aug. 2025,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10.1016/j.lanmic.2025.101222.</w:t>
      </w:r>
    </w:p>
    <w:p w14:paraId="2AD5AA14"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[4]</w:t>
      </w:r>
      <w:r w:rsidRPr="00F729B0">
        <w:rPr>
          <w:rFonts w:ascii="Times New Roman" w:hAnsi="Times New Roman" w:cs="Times New Roman"/>
          <w:color w:val="000000"/>
          <w:sz w:val="20"/>
          <w:lang w:val="en-US"/>
        </w:rPr>
        <w:tab/>
        <w:t xml:space="preserve">“US FDA accepts New Drug Application for </w:t>
      </w:r>
      <w:proofErr w:type="spellStart"/>
      <w:r w:rsidRPr="00F729B0">
        <w:rPr>
          <w:rFonts w:ascii="Times New Roman" w:hAnsi="Times New Roman" w:cs="Times New Roman"/>
          <w:color w:val="000000"/>
          <w:sz w:val="20"/>
          <w:lang w:val="en-US"/>
        </w:rPr>
        <w:t>zoliflodacin</w:t>
      </w:r>
      <w:proofErr w:type="spellEnd"/>
      <w:r w:rsidRPr="00F729B0">
        <w:rPr>
          <w:rFonts w:ascii="Times New Roman" w:hAnsi="Times New Roman" w:cs="Times New Roman"/>
          <w:color w:val="000000"/>
          <w:sz w:val="20"/>
          <w:lang w:val="en-US"/>
        </w:rPr>
        <w:t>,” Global Antibiotic Research and Development Partnership. Accessed: Nov. 21, 2025. [Online]. Available: https://gardp.org/innoviva-specialty-therapeutics-receives-fda-new-drug-application-acceptance-for-zoliflodacin-a-first-in-class-oral-antibiotic-for-uncomplicated-gonorrhoea-in-adults/</w:t>
      </w:r>
    </w:p>
    <w:p w14:paraId="61EA90FD"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[5]</w:t>
      </w:r>
      <w:r w:rsidRPr="00F729B0">
        <w:rPr>
          <w:rFonts w:ascii="Times New Roman" w:hAnsi="Times New Roman" w:cs="Times New Roman"/>
          <w:color w:val="000000"/>
          <w:sz w:val="20"/>
          <w:lang w:val="en-US"/>
        </w:rPr>
        <w:tab/>
        <w:t xml:space="preserve">S. N. Taylor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“Single-Dose </w:t>
      </w:r>
      <w:proofErr w:type="spellStart"/>
      <w:r w:rsidRPr="00F729B0">
        <w:rPr>
          <w:rFonts w:ascii="Times New Roman" w:hAnsi="Times New Roman" w:cs="Times New Roman"/>
          <w:color w:val="000000"/>
          <w:sz w:val="20"/>
          <w:lang w:val="en-US"/>
        </w:rPr>
        <w:t>Zoliflodacin</w:t>
      </w:r>
      <w:proofErr w:type="spellEnd"/>
      <w:r w:rsidRPr="00F729B0">
        <w:rPr>
          <w:rFonts w:ascii="Times New Roman" w:hAnsi="Times New Roman" w:cs="Times New Roman"/>
          <w:color w:val="000000"/>
          <w:sz w:val="20"/>
          <w:lang w:val="en-US"/>
        </w:rPr>
        <w:t xml:space="preserve"> (ETX0914) for Treatment of Urogenital Gonorrhea,” </w:t>
      </w:r>
      <w:r w:rsidRPr="00F729B0">
        <w:rPr>
          <w:rFonts w:ascii="Times New Roman" w:hAnsi="Times New Roman" w:cs="Times New Roman"/>
          <w:i/>
          <w:iCs/>
          <w:color w:val="000000"/>
          <w:sz w:val="20"/>
          <w:lang w:val="en-US"/>
        </w:rPr>
        <w:t>N. Engl. J. Med.</w:t>
      </w:r>
      <w:r w:rsidRPr="00F729B0">
        <w:rPr>
          <w:rFonts w:ascii="Times New Roman" w:hAnsi="Times New Roman" w:cs="Times New Roman"/>
          <w:color w:val="000000"/>
          <w:sz w:val="20"/>
          <w:lang w:val="en-US"/>
        </w:rPr>
        <w:t xml:space="preserve">, vol. 379, no. 19, pp. 1835–1845, Nov. 2018,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10.1056/NEJMoa1706988.</w:t>
      </w:r>
    </w:p>
    <w:p w14:paraId="7EC91DF0"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[6]</w:t>
      </w:r>
      <w:r w:rsidRPr="00F729B0">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048E6CD6"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[7]</w:t>
      </w:r>
      <w:r w:rsidRPr="00F729B0">
        <w:rPr>
          <w:rFonts w:ascii="Times New Roman" w:hAnsi="Times New Roman" w:cs="Times New Roman"/>
          <w:color w:val="000000"/>
          <w:sz w:val="20"/>
          <w:lang w:val="en-US"/>
        </w:rPr>
        <w:tab/>
        <w:t xml:space="preserve">K. K. K. Ko, M. T. W. Chio, S. S. Goh, A. L. Tan, T. H. Koh, and N. B. Abdul Rahman, “First Case of Ceftriaxone-Resistant Multidrug-Resistant Neisseria gonorrhoeae in Singapore,” </w:t>
      </w:r>
      <w:proofErr w:type="spellStart"/>
      <w:r w:rsidRPr="00F729B0">
        <w:rPr>
          <w:rFonts w:ascii="Times New Roman" w:hAnsi="Times New Roman" w:cs="Times New Roman"/>
          <w:i/>
          <w:iCs/>
          <w:color w:val="000000"/>
          <w:sz w:val="20"/>
          <w:lang w:val="en-US"/>
        </w:rPr>
        <w:t>Antimicrob</w:t>
      </w:r>
      <w:proofErr w:type="spellEnd"/>
      <w:r w:rsidRPr="00F729B0">
        <w:rPr>
          <w:rFonts w:ascii="Times New Roman" w:hAnsi="Times New Roman" w:cs="Times New Roman"/>
          <w:i/>
          <w:iCs/>
          <w:color w:val="000000"/>
          <w:sz w:val="20"/>
          <w:lang w:val="en-US"/>
        </w:rPr>
        <w:t xml:space="preserve">. Agents </w:t>
      </w:r>
      <w:proofErr w:type="spellStart"/>
      <w:r w:rsidRPr="00F729B0">
        <w:rPr>
          <w:rFonts w:ascii="Times New Roman" w:hAnsi="Times New Roman" w:cs="Times New Roman"/>
          <w:i/>
          <w:iCs/>
          <w:color w:val="000000"/>
          <w:sz w:val="20"/>
          <w:lang w:val="en-US"/>
        </w:rPr>
        <w:t>Chemother</w:t>
      </w:r>
      <w:proofErr w:type="spellEnd"/>
      <w:r w:rsidRPr="00F729B0">
        <w:rPr>
          <w:rFonts w:ascii="Times New Roman" w:hAnsi="Times New Roman" w:cs="Times New Roman"/>
          <w:i/>
          <w:iCs/>
          <w:color w:val="000000"/>
          <w:sz w:val="20"/>
          <w:lang w:val="en-US"/>
        </w:rPr>
        <w:t>.</w:t>
      </w:r>
      <w:r w:rsidRPr="00F729B0">
        <w:rPr>
          <w:rFonts w:ascii="Times New Roman" w:hAnsi="Times New Roman" w:cs="Times New Roman"/>
          <w:color w:val="000000"/>
          <w:sz w:val="20"/>
          <w:lang w:val="en-US"/>
        </w:rPr>
        <w:t xml:space="preserve">, vol. 63, no. 5, pp. e02624-18, Apr. 2019,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10.1128/AAC.02624-18.</w:t>
      </w:r>
    </w:p>
    <w:p w14:paraId="66F20FC1"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[8]</w:t>
      </w:r>
      <w:r w:rsidRPr="00F729B0">
        <w:rPr>
          <w:rFonts w:ascii="Times New Roman" w:hAnsi="Times New Roman" w:cs="Times New Roman"/>
          <w:color w:val="000000"/>
          <w:sz w:val="20"/>
          <w:lang w:val="en-US"/>
        </w:rPr>
        <w:tab/>
        <w:t xml:space="preserve">C. Kenyon, “Doxycycline Postexposure Prophylaxis Could Accelerate the Emergence of Gonococcal Ceftriaxone Resistance,” </w:t>
      </w:r>
      <w:r w:rsidRPr="00F729B0">
        <w:rPr>
          <w:rFonts w:ascii="Times New Roman" w:hAnsi="Times New Roman" w:cs="Times New Roman"/>
          <w:i/>
          <w:iCs/>
          <w:color w:val="000000"/>
          <w:sz w:val="20"/>
          <w:lang w:val="en-US"/>
        </w:rPr>
        <w:t>JAMA Intern. Med.</w:t>
      </w:r>
      <w:r w:rsidRPr="00F729B0">
        <w:rPr>
          <w:rFonts w:ascii="Times New Roman" w:hAnsi="Times New Roman" w:cs="Times New Roman"/>
          <w:color w:val="000000"/>
          <w:sz w:val="20"/>
          <w:lang w:val="en-US"/>
        </w:rPr>
        <w:t xml:space="preserve">, vol. 185, no. 8, p. 1051, Aug. 2025,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10.1001/jamainternmed.2025.0984.</w:t>
      </w:r>
    </w:p>
    <w:p w14:paraId="6F5339EC"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[9]</w:t>
      </w:r>
      <w:r w:rsidRPr="00F729B0">
        <w:rPr>
          <w:rFonts w:ascii="Times New Roman" w:hAnsi="Times New Roman" w:cs="Times New Roman"/>
          <w:color w:val="000000"/>
          <w:sz w:val="20"/>
          <w:lang w:val="en-US"/>
        </w:rPr>
        <w:tab/>
        <w:t xml:space="preserve">L. Geng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“Potential public health impacts of gonorrhea vaccination </w:t>
      </w:r>
      <w:proofErr w:type="spellStart"/>
      <w:r w:rsidRPr="00F729B0">
        <w:rPr>
          <w:rFonts w:ascii="Times New Roman" w:hAnsi="Times New Roman" w:cs="Times New Roman"/>
          <w:color w:val="000000"/>
          <w:sz w:val="20"/>
          <w:lang w:val="en-US"/>
        </w:rPr>
        <w:t>programmes</w:t>
      </w:r>
      <w:proofErr w:type="spellEnd"/>
      <w:r w:rsidRPr="00F729B0">
        <w:rPr>
          <w:rFonts w:ascii="Times New Roman" w:hAnsi="Times New Roman" w:cs="Times New Roman"/>
          <w:color w:val="000000"/>
          <w:sz w:val="20"/>
          <w:lang w:val="en-US"/>
        </w:rPr>
        <w:t xml:space="preserve"> under declining incidences: A modeling study,” </w:t>
      </w:r>
      <w:proofErr w:type="spellStart"/>
      <w:r w:rsidRPr="00F729B0">
        <w:rPr>
          <w:rFonts w:ascii="Times New Roman" w:hAnsi="Times New Roman" w:cs="Times New Roman"/>
          <w:i/>
          <w:iCs/>
          <w:color w:val="000000"/>
          <w:sz w:val="20"/>
          <w:lang w:val="en-US"/>
        </w:rPr>
        <w:t>PLoS</w:t>
      </w:r>
      <w:proofErr w:type="spellEnd"/>
      <w:r w:rsidRPr="00F729B0">
        <w:rPr>
          <w:rFonts w:ascii="Times New Roman" w:hAnsi="Times New Roman" w:cs="Times New Roman"/>
          <w:i/>
          <w:iCs/>
          <w:color w:val="000000"/>
          <w:sz w:val="20"/>
          <w:lang w:val="en-US"/>
        </w:rPr>
        <w:t xml:space="preserve"> Med.</w:t>
      </w:r>
      <w:r w:rsidRPr="00F729B0">
        <w:rPr>
          <w:rFonts w:ascii="Times New Roman" w:hAnsi="Times New Roman" w:cs="Times New Roman"/>
          <w:color w:val="000000"/>
          <w:sz w:val="20"/>
          <w:lang w:val="en-US"/>
        </w:rPr>
        <w:t xml:space="preserve">, vol. 22, no. 2, p. e1004521, Feb. 2025,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10.1371/journal.pmed.1004521.</w:t>
      </w:r>
    </w:p>
    <w:p w14:paraId="66E218A1"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[10]</w:t>
      </w:r>
      <w:r w:rsidRPr="00F729B0">
        <w:rPr>
          <w:rFonts w:ascii="Times New Roman" w:hAnsi="Times New Roman" w:cs="Times New Roman"/>
          <w:color w:val="000000"/>
          <w:sz w:val="20"/>
          <w:lang w:val="en-US"/>
        </w:rPr>
        <w:tab/>
        <w:t xml:space="preserve">L. K. Whittles, X. Didelot, and P. J. White, “Public health impact and cost-effectiveness of </w:t>
      </w:r>
      <w:proofErr w:type="spellStart"/>
      <w:r w:rsidRPr="00F729B0">
        <w:rPr>
          <w:rFonts w:ascii="Times New Roman" w:hAnsi="Times New Roman" w:cs="Times New Roman"/>
          <w:color w:val="000000"/>
          <w:sz w:val="20"/>
          <w:lang w:val="en-US"/>
        </w:rPr>
        <w:t>gonorrhoea</w:t>
      </w:r>
      <w:proofErr w:type="spellEnd"/>
      <w:r w:rsidRPr="00F729B0">
        <w:rPr>
          <w:rFonts w:ascii="Times New Roman" w:hAnsi="Times New Roman" w:cs="Times New Roman"/>
          <w:color w:val="000000"/>
          <w:sz w:val="20"/>
          <w:lang w:val="en-US"/>
        </w:rPr>
        <w:t xml:space="preserve"> vaccination: an integrated transmission-dynamic health-economic modelling analysis,” </w:t>
      </w:r>
      <w:r w:rsidRPr="00F729B0">
        <w:rPr>
          <w:rFonts w:ascii="Times New Roman" w:hAnsi="Times New Roman" w:cs="Times New Roman"/>
          <w:i/>
          <w:iCs/>
          <w:color w:val="000000"/>
          <w:sz w:val="20"/>
          <w:lang w:val="en-US"/>
        </w:rPr>
        <w:t>Lancet Infect. Dis.</w:t>
      </w:r>
      <w:r w:rsidRPr="00F729B0">
        <w:rPr>
          <w:rFonts w:ascii="Times New Roman" w:hAnsi="Times New Roman" w:cs="Times New Roman"/>
          <w:color w:val="000000"/>
          <w:sz w:val="20"/>
          <w:lang w:val="en-US"/>
        </w:rPr>
        <w:t xml:space="preserve">, vol. 22, no. 7, pp. 1030–1041, July 2022,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10.1016/S1473-3099(21)00744-1.</w:t>
      </w:r>
    </w:p>
    <w:p w14:paraId="0AD7C91C"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[11]</w:t>
      </w:r>
      <w:r w:rsidRPr="00F729B0">
        <w:rPr>
          <w:rFonts w:ascii="Times New Roman" w:hAnsi="Times New Roman" w:cs="Times New Roman"/>
          <w:color w:val="000000"/>
          <w:sz w:val="20"/>
          <w:lang w:val="en-US"/>
        </w:rPr>
        <w:tab/>
        <w:t xml:space="preserve">S. N. Ladhani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“Use of a meningococcal group B vaccine (4CMenB) in populations at high risk of </w:t>
      </w:r>
      <w:proofErr w:type="spellStart"/>
      <w:r w:rsidRPr="00F729B0">
        <w:rPr>
          <w:rFonts w:ascii="Times New Roman" w:hAnsi="Times New Roman" w:cs="Times New Roman"/>
          <w:color w:val="000000"/>
          <w:sz w:val="20"/>
          <w:lang w:val="en-US"/>
        </w:rPr>
        <w:t>gonorrhoea</w:t>
      </w:r>
      <w:proofErr w:type="spellEnd"/>
      <w:r w:rsidRPr="00F729B0">
        <w:rPr>
          <w:rFonts w:ascii="Times New Roman" w:hAnsi="Times New Roman" w:cs="Times New Roman"/>
          <w:color w:val="000000"/>
          <w:sz w:val="20"/>
          <w:lang w:val="en-US"/>
        </w:rPr>
        <w:t xml:space="preserve"> in the UK,” </w:t>
      </w:r>
      <w:r w:rsidRPr="00F729B0">
        <w:rPr>
          <w:rFonts w:ascii="Times New Roman" w:hAnsi="Times New Roman" w:cs="Times New Roman"/>
          <w:i/>
          <w:iCs/>
          <w:color w:val="000000"/>
          <w:sz w:val="20"/>
          <w:lang w:val="en-US"/>
        </w:rPr>
        <w:t>Lancet Infect. Dis.</w:t>
      </w:r>
      <w:r w:rsidRPr="00F729B0">
        <w:rPr>
          <w:rFonts w:ascii="Times New Roman" w:hAnsi="Times New Roman" w:cs="Times New Roman"/>
          <w:color w:val="000000"/>
          <w:sz w:val="20"/>
          <w:lang w:val="en-US"/>
        </w:rPr>
        <w:t xml:space="preserve">, vol. 24, no. 9, pp. e576–e583, Sept. 2024,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10.1016/S1473-3099(24)00031-8.</w:t>
      </w:r>
    </w:p>
    <w:p w14:paraId="134AEAE0"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[12]</w:t>
      </w:r>
      <w:r w:rsidRPr="00F729B0">
        <w:rPr>
          <w:rFonts w:ascii="Times New Roman" w:hAnsi="Times New Roman" w:cs="Times New Roman"/>
          <w:color w:val="000000"/>
          <w:sz w:val="20"/>
          <w:lang w:val="en-US"/>
        </w:rPr>
        <w:tab/>
        <w:t xml:space="preserve">A. R. Tuite, T. L. Gift, H. W. Chesson, K. Hsu, J. A. Salomon, and Y. H. Grad, “Impact of Rapid Susceptibility Testing and Antibiotic Selection Strategy on the Emergence and Spread of Antibiotic Resistance in Gonorrhea,” </w:t>
      </w:r>
      <w:r w:rsidRPr="00F729B0">
        <w:rPr>
          <w:rFonts w:ascii="Times New Roman" w:hAnsi="Times New Roman" w:cs="Times New Roman"/>
          <w:i/>
          <w:iCs/>
          <w:color w:val="000000"/>
          <w:sz w:val="20"/>
          <w:lang w:val="en-US"/>
        </w:rPr>
        <w:t>J. Infect. Dis.</w:t>
      </w:r>
      <w:r w:rsidRPr="00F729B0">
        <w:rPr>
          <w:rFonts w:ascii="Times New Roman" w:hAnsi="Times New Roman" w:cs="Times New Roman"/>
          <w:color w:val="000000"/>
          <w:sz w:val="20"/>
          <w:lang w:val="en-US"/>
        </w:rPr>
        <w:t xml:space="preserve">, vol. 216, no. 9, pp. 1141–1149, Nov. 2017,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10.1093/</w:t>
      </w:r>
      <w:proofErr w:type="spellStart"/>
      <w:r w:rsidRPr="00F729B0">
        <w:rPr>
          <w:rFonts w:ascii="Times New Roman" w:hAnsi="Times New Roman" w:cs="Times New Roman"/>
          <w:color w:val="000000"/>
          <w:sz w:val="20"/>
          <w:lang w:val="en-US"/>
        </w:rPr>
        <w:t>infdis</w:t>
      </w:r>
      <w:proofErr w:type="spellEnd"/>
      <w:r w:rsidRPr="00F729B0">
        <w:rPr>
          <w:rFonts w:ascii="Times New Roman" w:hAnsi="Times New Roman" w:cs="Times New Roman"/>
          <w:color w:val="000000"/>
          <w:sz w:val="20"/>
          <w:lang w:val="en-US"/>
        </w:rPr>
        <w:t>/jix450.</w:t>
      </w:r>
    </w:p>
    <w:p w14:paraId="3C215397"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[13]</w:t>
      </w:r>
      <w:r w:rsidRPr="00F729B0">
        <w:rPr>
          <w:rFonts w:ascii="Times New Roman" w:hAnsi="Times New Roman" w:cs="Times New Roman"/>
          <w:color w:val="000000"/>
          <w:sz w:val="20"/>
          <w:lang w:val="en-US"/>
        </w:rPr>
        <w:tab/>
        <w:t xml:space="preserve">E. Reichert, R. Yaesoubi, M. M. </w:t>
      </w:r>
      <w:proofErr w:type="spellStart"/>
      <w:r w:rsidRPr="00F729B0">
        <w:rPr>
          <w:rFonts w:ascii="Times New Roman" w:hAnsi="Times New Roman" w:cs="Times New Roman"/>
          <w:color w:val="000000"/>
          <w:sz w:val="20"/>
          <w:lang w:val="en-US"/>
        </w:rPr>
        <w:t>Rönn</w:t>
      </w:r>
      <w:proofErr w:type="spellEnd"/>
      <w:r w:rsidRPr="00F729B0">
        <w:rPr>
          <w:rFonts w:ascii="Times New Roman" w:hAnsi="Times New Roman" w:cs="Times New Roman"/>
          <w:color w:val="000000"/>
          <w:sz w:val="20"/>
          <w:lang w:val="en-US"/>
        </w:rPr>
        <w:t>, T. L. Gift, J. A. Salomon, and Y. H. Grad, “Resistance-</w:t>
      </w:r>
      <w:proofErr w:type="spellStart"/>
      <w:r w:rsidRPr="00F729B0">
        <w:rPr>
          <w:rFonts w:ascii="Times New Roman" w:hAnsi="Times New Roman" w:cs="Times New Roman"/>
          <w:color w:val="000000"/>
          <w:sz w:val="20"/>
          <w:lang w:val="en-US"/>
        </w:rPr>
        <w:t>minimising</w:t>
      </w:r>
      <w:proofErr w:type="spellEnd"/>
      <w:r w:rsidRPr="00F729B0">
        <w:rPr>
          <w:rFonts w:ascii="Times New Roman" w:hAnsi="Times New Roman" w:cs="Times New Roman"/>
          <w:color w:val="000000"/>
          <w:sz w:val="20"/>
          <w:lang w:val="en-US"/>
        </w:rPr>
        <w:t xml:space="preserve"> strategies for introducing a novel antibiotic for </w:t>
      </w:r>
      <w:proofErr w:type="spellStart"/>
      <w:r w:rsidRPr="00F729B0">
        <w:rPr>
          <w:rFonts w:ascii="Times New Roman" w:hAnsi="Times New Roman" w:cs="Times New Roman"/>
          <w:color w:val="000000"/>
          <w:sz w:val="20"/>
          <w:lang w:val="en-US"/>
        </w:rPr>
        <w:t>gonorrhoea</w:t>
      </w:r>
      <w:proofErr w:type="spellEnd"/>
      <w:r w:rsidRPr="00F729B0">
        <w:rPr>
          <w:rFonts w:ascii="Times New Roman" w:hAnsi="Times New Roman" w:cs="Times New Roman"/>
          <w:color w:val="000000"/>
          <w:sz w:val="20"/>
          <w:lang w:val="en-US"/>
        </w:rPr>
        <w:t xml:space="preserve"> treatment: a mathematical modelling study,” </w:t>
      </w:r>
      <w:r w:rsidRPr="00F729B0">
        <w:rPr>
          <w:rFonts w:ascii="Times New Roman" w:hAnsi="Times New Roman" w:cs="Times New Roman"/>
          <w:i/>
          <w:iCs/>
          <w:color w:val="000000"/>
          <w:sz w:val="20"/>
          <w:lang w:val="en-US"/>
        </w:rPr>
        <w:t>Lancet Microbe</w:t>
      </w:r>
      <w:r w:rsidRPr="00F729B0">
        <w:rPr>
          <w:rFonts w:ascii="Times New Roman" w:hAnsi="Times New Roman" w:cs="Times New Roman"/>
          <w:color w:val="000000"/>
          <w:sz w:val="20"/>
          <w:lang w:val="en-US"/>
        </w:rPr>
        <w:t xml:space="preserve">, vol. 4, no. 10, pp. e781–e789, Oct. 2023,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10.1016/S2666-5247(23)00145-3.</w:t>
      </w:r>
    </w:p>
    <w:p w14:paraId="659094E1"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[14]</w:t>
      </w:r>
      <w:r w:rsidRPr="00F729B0">
        <w:rPr>
          <w:rFonts w:ascii="Times New Roman" w:hAnsi="Times New Roman" w:cs="Times New Roman"/>
          <w:color w:val="000000"/>
          <w:sz w:val="20"/>
          <w:lang w:val="en-US"/>
        </w:rPr>
        <w:tab/>
        <w:t xml:space="preserve">E. Reichert and Y. H. Grad, “Effects of doxycycline post-exposure prophylaxis for prevention of sexually transmitted infections on </w:t>
      </w:r>
      <w:proofErr w:type="spellStart"/>
      <w:r w:rsidRPr="00F729B0">
        <w:rPr>
          <w:rFonts w:ascii="Times New Roman" w:hAnsi="Times New Roman" w:cs="Times New Roman"/>
          <w:color w:val="000000"/>
          <w:sz w:val="20"/>
          <w:lang w:val="en-US"/>
        </w:rPr>
        <w:t>gonorrhoea</w:t>
      </w:r>
      <w:proofErr w:type="spellEnd"/>
      <w:r w:rsidRPr="00F729B0">
        <w:rPr>
          <w:rFonts w:ascii="Times New Roman" w:hAnsi="Times New Roman" w:cs="Times New Roman"/>
          <w:color w:val="000000"/>
          <w:sz w:val="20"/>
          <w:lang w:val="en-US"/>
        </w:rPr>
        <w:t xml:space="preserve"> prevalence and antimicrobial resistance among men who have sex with men in the USA: a modelling study,” </w:t>
      </w:r>
      <w:r w:rsidRPr="00F729B0">
        <w:rPr>
          <w:rFonts w:ascii="Times New Roman" w:hAnsi="Times New Roman" w:cs="Times New Roman"/>
          <w:i/>
          <w:iCs/>
          <w:color w:val="000000"/>
          <w:sz w:val="20"/>
          <w:lang w:val="en-US"/>
        </w:rPr>
        <w:t>Lancet Microbe</w:t>
      </w:r>
      <w:r w:rsidRPr="00F729B0">
        <w:rPr>
          <w:rFonts w:ascii="Times New Roman" w:hAnsi="Times New Roman" w:cs="Times New Roman"/>
          <w:color w:val="000000"/>
          <w:sz w:val="20"/>
          <w:lang w:val="en-US"/>
        </w:rPr>
        <w:t xml:space="preserve">, vol. 5, no. 11, p. 100926, Nov. 2024,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10.1016/s2666-5247(24)00168-x.</w:t>
      </w:r>
    </w:p>
    <w:p w14:paraId="76AC7173"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[15]</w:t>
      </w:r>
      <w:r w:rsidRPr="00F729B0">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F729B0">
        <w:rPr>
          <w:rFonts w:ascii="Times New Roman" w:hAnsi="Times New Roman" w:cs="Times New Roman"/>
          <w:i/>
          <w:iCs/>
          <w:color w:val="000000"/>
          <w:sz w:val="20"/>
          <w:lang w:val="en-US"/>
        </w:rPr>
        <w:t>Clin. Infect. Dis.</w:t>
      </w:r>
      <w:r w:rsidRPr="00F729B0">
        <w:rPr>
          <w:rFonts w:ascii="Times New Roman" w:hAnsi="Times New Roman" w:cs="Times New Roman"/>
          <w:color w:val="000000"/>
          <w:sz w:val="20"/>
          <w:lang w:val="en-US"/>
        </w:rPr>
        <w:t xml:space="preserve">, vol. 71, no. 8, pp. 1912–1919, Nov. 2020,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10.1093/</w:t>
      </w:r>
      <w:proofErr w:type="spellStart"/>
      <w:r w:rsidRPr="00F729B0">
        <w:rPr>
          <w:rFonts w:ascii="Times New Roman" w:hAnsi="Times New Roman" w:cs="Times New Roman"/>
          <w:color w:val="000000"/>
          <w:sz w:val="20"/>
          <w:lang w:val="en-US"/>
        </w:rPr>
        <w:t>cid</w:t>
      </w:r>
      <w:proofErr w:type="spellEnd"/>
      <w:r w:rsidRPr="00F729B0">
        <w:rPr>
          <w:rFonts w:ascii="Times New Roman" w:hAnsi="Times New Roman" w:cs="Times New Roman"/>
          <w:color w:val="000000"/>
          <w:sz w:val="20"/>
          <w:lang w:val="en-US"/>
        </w:rPr>
        <w:t>/ciz1241.</w:t>
      </w:r>
    </w:p>
    <w:p w14:paraId="50893054"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[16]</w:t>
      </w:r>
      <w:r w:rsidRPr="00F729B0">
        <w:rPr>
          <w:rFonts w:ascii="Times New Roman" w:hAnsi="Times New Roman" w:cs="Times New Roman"/>
          <w:color w:val="000000"/>
          <w:sz w:val="20"/>
          <w:lang w:val="en-US"/>
        </w:rPr>
        <w:tab/>
        <w:t xml:space="preserve">L. K. Whittles, P. J. White, and X. Didelot, “Estimating the fitness cost and benefit of cefixime resistance in Neisseria gonorrhoeae to inform prescription policy: A modelling study,” </w:t>
      </w:r>
      <w:r w:rsidRPr="00F729B0">
        <w:rPr>
          <w:rFonts w:ascii="Times New Roman" w:hAnsi="Times New Roman" w:cs="Times New Roman"/>
          <w:i/>
          <w:iCs/>
          <w:color w:val="000000"/>
          <w:sz w:val="20"/>
          <w:lang w:val="en-US"/>
        </w:rPr>
        <w:t>PLOS Med.</w:t>
      </w:r>
      <w:r w:rsidRPr="00F729B0">
        <w:rPr>
          <w:rFonts w:ascii="Times New Roman" w:hAnsi="Times New Roman" w:cs="Times New Roman"/>
          <w:color w:val="000000"/>
          <w:sz w:val="20"/>
          <w:lang w:val="en-US"/>
        </w:rPr>
        <w:t xml:space="preserve">, vol. 14, no. 10, p. e1002416, Oct. 2017,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10.1371/journal.pmed.1002416.</w:t>
      </w:r>
    </w:p>
    <w:p w14:paraId="3A0FE168"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[17]</w:t>
      </w:r>
      <w:r w:rsidRPr="00F729B0">
        <w:rPr>
          <w:rFonts w:ascii="Times New Roman" w:hAnsi="Times New Roman" w:cs="Times New Roman"/>
          <w:color w:val="000000"/>
          <w:sz w:val="20"/>
          <w:lang w:val="en-US"/>
        </w:rPr>
        <w:tab/>
        <w:t xml:space="preserve">H. Fifer, J. Saunders, S. Soni, S. T. Sadiq, and M. FitzGerald, “2018 UK national guideline for the management of infection with Neisseria gonorrhoeae,” </w:t>
      </w:r>
      <w:r w:rsidRPr="00F729B0">
        <w:rPr>
          <w:rFonts w:ascii="Times New Roman" w:hAnsi="Times New Roman" w:cs="Times New Roman"/>
          <w:i/>
          <w:iCs/>
          <w:color w:val="000000"/>
          <w:sz w:val="20"/>
          <w:lang w:val="en-US"/>
        </w:rPr>
        <w:t>Int. J. STD AIDS</w:t>
      </w:r>
      <w:r w:rsidRPr="00F729B0">
        <w:rPr>
          <w:rFonts w:ascii="Times New Roman" w:hAnsi="Times New Roman" w:cs="Times New Roman"/>
          <w:color w:val="000000"/>
          <w:sz w:val="20"/>
          <w:lang w:val="en-US"/>
        </w:rPr>
        <w:t xml:space="preserve">, vol. 31, no. 1, pp. 4–15, Jan. 2020,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10.1177/0956462419886775.</w:t>
      </w:r>
    </w:p>
    <w:p w14:paraId="0E4712EC"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[18]</w:t>
      </w:r>
      <w:r w:rsidRPr="00F729B0">
        <w:rPr>
          <w:rFonts w:ascii="Times New Roman" w:hAnsi="Times New Roman" w:cs="Times New Roman"/>
          <w:color w:val="000000"/>
          <w:sz w:val="20"/>
          <w:lang w:val="en-US"/>
        </w:rPr>
        <w:tab/>
        <w:t>“GRASP report: data to September 2025,” UK Health Security Agency. Accessed: Nov. 20, 2025. [Online]. Available: https://www.gov.uk/government/publications/gonococcal-resistance-to-antimicrobials-surveillance-programme-grasp-report/grasp-report-data-to-september-2025</w:t>
      </w:r>
    </w:p>
    <w:p w14:paraId="57ADADCB"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[19]</w:t>
      </w:r>
      <w:r w:rsidRPr="00F729B0">
        <w:rPr>
          <w:rFonts w:ascii="Times New Roman" w:hAnsi="Times New Roman" w:cs="Times New Roman"/>
          <w:color w:val="000000"/>
          <w:sz w:val="20"/>
          <w:lang w:val="en-US"/>
        </w:rPr>
        <w:tab/>
        <w:t xml:space="preserve">R. Platt, P. A. Rice, and W. M. McCormack, “Risk of acquiring gonorrhea and prevalence of abnormal adnexal findings among women recently exposed to gonorrhea,” </w:t>
      </w:r>
      <w:r w:rsidRPr="00F729B0">
        <w:rPr>
          <w:rFonts w:ascii="Times New Roman" w:hAnsi="Times New Roman" w:cs="Times New Roman"/>
          <w:i/>
          <w:iCs/>
          <w:color w:val="000000"/>
          <w:sz w:val="20"/>
          <w:lang w:val="en-US"/>
        </w:rPr>
        <w:t>JAMA</w:t>
      </w:r>
      <w:r w:rsidRPr="00F729B0">
        <w:rPr>
          <w:rFonts w:ascii="Times New Roman" w:hAnsi="Times New Roman" w:cs="Times New Roman"/>
          <w:color w:val="000000"/>
          <w:sz w:val="20"/>
          <w:lang w:val="en-US"/>
        </w:rPr>
        <w:t>, vol. 250, no. 23, pp. 3205–3209, Dec. 1983.</w:t>
      </w:r>
    </w:p>
    <w:p w14:paraId="3CF11837"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lastRenderedPageBreak/>
        <w:t>[20]</w:t>
      </w:r>
      <w:r w:rsidRPr="00F729B0">
        <w:rPr>
          <w:rFonts w:ascii="Times New Roman" w:hAnsi="Times New Roman" w:cs="Times New Roman"/>
          <w:color w:val="000000"/>
          <w:sz w:val="20"/>
          <w:lang w:val="en-US"/>
        </w:rPr>
        <w:tab/>
        <w:t xml:space="preserve">K. A. Schmidt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“Experimental gonococcal urethritis and reinfection with homologous gonococci in male volunteers,” </w:t>
      </w:r>
      <w:r w:rsidRPr="00F729B0">
        <w:rPr>
          <w:rFonts w:ascii="Times New Roman" w:hAnsi="Times New Roman" w:cs="Times New Roman"/>
          <w:i/>
          <w:iCs/>
          <w:color w:val="000000"/>
          <w:sz w:val="20"/>
          <w:lang w:val="en-US"/>
        </w:rPr>
        <w:t>Sex. Transm. Dis.</w:t>
      </w:r>
      <w:r w:rsidRPr="00F729B0">
        <w:rPr>
          <w:rFonts w:ascii="Times New Roman" w:hAnsi="Times New Roman" w:cs="Times New Roman"/>
          <w:color w:val="000000"/>
          <w:sz w:val="20"/>
          <w:lang w:val="en-US"/>
        </w:rPr>
        <w:t xml:space="preserve">, vol. 28, no. 10, pp. 555–564, Oct. 2001,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10.1097/00007435-200110000-00001.</w:t>
      </w:r>
    </w:p>
    <w:p w14:paraId="083ADD29"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[21]</w:t>
      </w:r>
      <w:r w:rsidRPr="00F729B0">
        <w:rPr>
          <w:rFonts w:ascii="Times New Roman" w:hAnsi="Times New Roman" w:cs="Times New Roman"/>
          <w:color w:val="000000"/>
          <w:sz w:val="20"/>
          <w:lang w:val="en-US"/>
        </w:rPr>
        <w:tab/>
        <w:t xml:space="preserve">C. B. Hosenfeld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“Repeat infection with Chlamydia and gonorrhea among females: a systematic review of the literature,” </w:t>
      </w:r>
      <w:r w:rsidRPr="00F729B0">
        <w:rPr>
          <w:rFonts w:ascii="Times New Roman" w:hAnsi="Times New Roman" w:cs="Times New Roman"/>
          <w:i/>
          <w:iCs/>
          <w:color w:val="000000"/>
          <w:sz w:val="20"/>
          <w:lang w:val="en-US"/>
        </w:rPr>
        <w:t>Sex. Transm. Dis.</w:t>
      </w:r>
      <w:r w:rsidRPr="00F729B0">
        <w:rPr>
          <w:rFonts w:ascii="Times New Roman" w:hAnsi="Times New Roman" w:cs="Times New Roman"/>
          <w:color w:val="000000"/>
          <w:sz w:val="20"/>
          <w:lang w:val="en-US"/>
        </w:rPr>
        <w:t xml:space="preserve">, vol. 36, no. 8, pp. 478–489, Aug. 2009,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10.1097/OLQ.0b013e3181a2a933.</w:t>
      </w:r>
    </w:p>
    <w:p w14:paraId="554325F1"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[22]</w:t>
      </w:r>
      <w:r w:rsidRPr="00F729B0">
        <w:rPr>
          <w:rFonts w:ascii="Times New Roman" w:hAnsi="Times New Roman" w:cs="Times New Roman"/>
          <w:color w:val="000000"/>
          <w:sz w:val="20"/>
          <w:lang w:val="en-US"/>
        </w:rPr>
        <w:tab/>
        <w:t xml:space="preserve">J.-M. Molina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“Doxycycline prophylaxis and meningococcal group B vaccine to prevent bacterial sexually transmitted infections in France (ANRS 174 DOXYVAC): a </w:t>
      </w:r>
      <w:proofErr w:type="spellStart"/>
      <w:r w:rsidRPr="00F729B0">
        <w:rPr>
          <w:rFonts w:ascii="Times New Roman" w:hAnsi="Times New Roman" w:cs="Times New Roman"/>
          <w:color w:val="000000"/>
          <w:sz w:val="20"/>
          <w:lang w:val="en-US"/>
        </w:rPr>
        <w:t>multicentre</w:t>
      </w:r>
      <w:proofErr w:type="spellEnd"/>
      <w:r w:rsidRPr="00F729B0">
        <w:rPr>
          <w:rFonts w:ascii="Times New Roman" w:hAnsi="Times New Roman" w:cs="Times New Roman"/>
          <w:color w:val="000000"/>
          <w:sz w:val="20"/>
          <w:lang w:val="en-US"/>
        </w:rPr>
        <w:t xml:space="preserve">, open-label, </w:t>
      </w:r>
      <w:proofErr w:type="spellStart"/>
      <w:r w:rsidRPr="00F729B0">
        <w:rPr>
          <w:rFonts w:ascii="Times New Roman" w:hAnsi="Times New Roman" w:cs="Times New Roman"/>
          <w:color w:val="000000"/>
          <w:sz w:val="20"/>
          <w:lang w:val="en-US"/>
        </w:rPr>
        <w:t>randomised</w:t>
      </w:r>
      <w:proofErr w:type="spellEnd"/>
      <w:r w:rsidRPr="00F729B0">
        <w:rPr>
          <w:rFonts w:ascii="Times New Roman" w:hAnsi="Times New Roman" w:cs="Times New Roman"/>
          <w:color w:val="000000"/>
          <w:sz w:val="20"/>
          <w:lang w:val="en-US"/>
        </w:rPr>
        <w:t xml:space="preserve"> trial with a 2 × 2 factorial design,” </w:t>
      </w:r>
      <w:r w:rsidRPr="00F729B0">
        <w:rPr>
          <w:rFonts w:ascii="Times New Roman" w:hAnsi="Times New Roman" w:cs="Times New Roman"/>
          <w:i/>
          <w:iCs/>
          <w:color w:val="000000"/>
          <w:sz w:val="20"/>
          <w:lang w:val="en-US"/>
        </w:rPr>
        <w:t>Lancet Infect. Dis.</w:t>
      </w:r>
      <w:r w:rsidRPr="00F729B0">
        <w:rPr>
          <w:rFonts w:ascii="Times New Roman" w:hAnsi="Times New Roman" w:cs="Times New Roman"/>
          <w:color w:val="000000"/>
          <w:sz w:val="20"/>
          <w:lang w:val="en-US"/>
        </w:rPr>
        <w:t xml:space="preserve">, vol. 24, no. 10, pp. 1093–1104, Oct. 2024,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10.1016/S1473-3099(24)00236-6.</w:t>
      </w:r>
    </w:p>
    <w:p w14:paraId="0C13634C" w14:textId="77777777" w:rsidR="00F729B0" w:rsidRPr="00F729B0" w:rsidRDefault="00F729B0" w:rsidP="00F729B0">
      <w:pPr>
        <w:pStyle w:val="Bibliography"/>
        <w:rPr>
          <w:rFonts w:ascii="Times New Roman" w:hAnsi="Times New Roman" w:cs="Times New Roman"/>
          <w:color w:val="000000"/>
          <w:sz w:val="20"/>
          <w:lang w:val="en-US"/>
        </w:rPr>
      </w:pPr>
      <w:r w:rsidRPr="00F729B0">
        <w:rPr>
          <w:rFonts w:ascii="Times New Roman" w:hAnsi="Times New Roman" w:cs="Times New Roman"/>
          <w:color w:val="000000"/>
          <w:sz w:val="20"/>
          <w:lang w:val="en-US"/>
        </w:rPr>
        <w:t>[23]</w:t>
      </w:r>
      <w:r w:rsidRPr="00F729B0">
        <w:rPr>
          <w:rFonts w:ascii="Times New Roman" w:hAnsi="Times New Roman" w:cs="Times New Roman"/>
          <w:color w:val="000000"/>
          <w:sz w:val="20"/>
          <w:lang w:val="en-US"/>
        </w:rPr>
        <w:tab/>
        <w:t xml:space="preserve">J. Zhang </w:t>
      </w:r>
      <w:r w:rsidRPr="00F729B0">
        <w:rPr>
          <w:rFonts w:ascii="Times New Roman" w:hAnsi="Times New Roman" w:cs="Times New Roman"/>
          <w:i/>
          <w:iCs/>
          <w:color w:val="000000"/>
          <w:sz w:val="20"/>
          <w:lang w:val="en-US"/>
        </w:rPr>
        <w:t>et al.</w:t>
      </w:r>
      <w:r w:rsidRPr="00F729B0">
        <w:rPr>
          <w:rFonts w:ascii="Times New Roman" w:hAnsi="Times New Roman" w:cs="Times New Roman"/>
          <w:color w:val="000000"/>
          <w:sz w:val="20"/>
          <w:lang w:val="en-US"/>
        </w:rPr>
        <w:t xml:space="preserve">, “Discontinuation, suboptimal adherence, and reinitiation of oral HIV pre-exposure prophylaxis: a global systematic review and meta-analysis,” </w:t>
      </w:r>
      <w:r w:rsidRPr="00F729B0">
        <w:rPr>
          <w:rFonts w:ascii="Times New Roman" w:hAnsi="Times New Roman" w:cs="Times New Roman"/>
          <w:i/>
          <w:iCs/>
          <w:color w:val="000000"/>
          <w:sz w:val="20"/>
          <w:lang w:val="en-US"/>
        </w:rPr>
        <w:t>Lancet HIV</w:t>
      </w:r>
      <w:r w:rsidRPr="00F729B0">
        <w:rPr>
          <w:rFonts w:ascii="Times New Roman" w:hAnsi="Times New Roman" w:cs="Times New Roman"/>
          <w:color w:val="000000"/>
          <w:sz w:val="20"/>
          <w:lang w:val="en-US"/>
        </w:rPr>
        <w:t xml:space="preserve">, vol. 9, no. 4, pp. e254–e268, Apr. 2022, </w:t>
      </w:r>
      <w:proofErr w:type="spellStart"/>
      <w:r w:rsidRPr="00F729B0">
        <w:rPr>
          <w:rFonts w:ascii="Times New Roman" w:hAnsi="Times New Roman" w:cs="Times New Roman"/>
          <w:color w:val="000000"/>
          <w:sz w:val="20"/>
          <w:lang w:val="en-US"/>
        </w:rPr>
        <w:t>doi</w:t>
      </w:r>
      <w:proofErr w:type="spellEnd"/>
      <w:r w:rsidRPr="00F729B0">
        <w:rPr>
          <w:rFonts w:ascii="Times New Roman" w:hAnsi="Times New Roman" w:cs="Times New Roman"/>
          <w:color w:val="000000"/>
          <w:sz w:val="20"/>
          <w:lang w:val="en-US"/>
        </w:rPr>
        <w:t>: 10.1016/S2352-3018(22)00030-3.</w:t>
      </w:r>
    </w:p>
    <w:p w14:paraId="5AC95642" w14:textId="5ED51ECB" w:rsidR="00802477" w:rsidRPr="00E5154E" w:rsidRDefault="00802477" w:rsidP="00F729B0">
      <w:pPr>
        <w:pStyle w:val="Bibliography"/>
        <w:rPr>
          <w:rFonts w:ascii="Times New Roman" w:eastAsia="Times New Roman" w:hAnsi="Times New Roman" w:cs="Times New Roman"/>
          <w:color w:val="000000" w:themeColor="text1"/>
          <w:kern w:val="0"/>
          <w:sz w:val="20"/>
          <w:szCs w:val="20"/>
          <w14:ligatures w14:val="none"/>
        </w:rPr>
      </w:pPr>
      <w:r w:rsidRPr="00E5154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E5154E" w:rsidRDefault="006A5D60" w:rsidP="00E5154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E515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248C9" w14:textId="77777777" w:rsidR="00A42434" w:rsidRDefault="00A42434" w:rsidP="00BA2AB7">
      <w:pPr>
        <w:spacing w:after="0" w:line="240" w:lineRule="auto"/>
      </w:pPr>
      <w:r>
        <w:separator/>
      </w:r>
    </w:p>
  </w:endnote>
  <w:endnote w:type="continuationSeparator" w:id="0">
    <w:p w14:paraId="235450C4" w14:textId="77777777" w:rsidR="00A42434" w:rsidRDefault="00A42434" w:rsidP="00BA2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EC57F" w14:textId="77777777" w:rsidR="00A42434" w:rsidRDefault="00A42434" w:rsidP="00BA2AB7">
      <w:pPr>
        <w:spacing w:after="0" w:line="240" w:lineRule="auto"/>
      </w:pPr>
      <w:r>
        <w:separator/>
      </w:r>
    </w:p>
  </w:footnote>
  <w:footnote w:type="continuationSeparator" w:id="0">
    <w:p w14:paraId="68135C64" w14:textId="77777777" w:rsidR="00A42434" w:rsidRDefault="00A42434" w:rsidP="00BA2AB7">
      <w:pPr>
        <w:spacing w:after="0" w:line="240" w:lineRule="auto"/>
      </w:pPr>
      <w:r>
        <w:continuationSeparator/>
      </w:r>
    </w:p>
  </w:footnote>
  <w:footnote w:id="1">
    <w:p w14:paraId="4158FAE3" w14:textId="49AA5AA1" w:rsidR="00F729B0" w:rsidRPr="00F729B0" w:rsidRDefault="00F729B0" w:rsidP="00F729B0">
      <w:pPr>
        <w:pStyle w:val="FootnoteText"/>
        <w:jc w:val="both"/>
        <w:rPr>
          <w:rFonts w:ascii="Times New Roman" w:hAnsi="Times New Roman" w:cs="Times New Roman"/>
          <w:sz w:val="16"/>
          <w:szCs w:val="16"/>
          <w:lang w:val="en-US"/>
        </w:rPr>
      </w:pPr>
      <w:r w:rsidRPr="00F729B0">
        <w:rPr>
          <w:rStyle w:val="FootnoteReference"/>
          <w:rFonts w:ascii="Times New Roman" w:hAnsi="Times New Roman" w:cs="Times New Roman"/>
          <w:sz w:val="16"/>
          <w:szCs w:val="16"/>
        </w:rPr>
        <w:footnoteRef/>
      </w:r>
      <w:r w:rsidRPr="00F729B0">
        <w:rPr>
          <w:rFonts w:ascii="Times New Roman" w:hAnsi="Times New Roman" w:cs="Times New Roman"/>
          <w:sz w:val="16"/>
          <w:szCs w:val="16"/>
        </w:rPr>
        <w:t xml:space="preserve"> </w:t>
      </w:r>
      <w:r w:rsidRPr="00F729B0">
        <w:rPr>
          <w:rFonts w:ascii="Times New Roman" w:hAnsi="Times New Roman" w:cs="Times New Roman"/>
          <w:sz w:val="16"/>
          <w:szCs w:val="16"/>
        </w:rPr>
        <w:t xml:space="preserve">Laboratory studies have shown that zoliflodacin is active against </w:t>
      </w:r>
      <w:r w:rsidRPr="00F729B0">
        <w:rPr>
          <w:rStyle w:val="Emphasis"/>
          <w:rFonts w:ascii="Times New Roman" w:hAnsi="Times New Roman" w:cs="Times New Roman"/>
          <w:sz w:val="16"/>
          <w:szCs w:val="16"/>
        </w:rPr>
        <w:t>Neisseria gonorrhoeae</w:t>
      </w:r>
      <w:r w:rsidRPr="00F729B0">
        <w:rPr>
          <w:rFonts w:ascii="Times New Roman" w:hAnsi="Times New Roman" w:cs="Times New Roman"/>
          <w:sz w:val="16"/>
          <w:szCs w:val="16"/>
        </w:rPr>
        <w:t>, including multidrug-resistant strains</w:t>
      </w:r>
      <w:r>
        <w:rPr>
          <w:rFonts w:ascii="Times New Roman" w:hAnsi="Times New Roman" w:cs="Times New Roman"/>
          <w:sz w:val="16"/>
          <w:szCs w:val="16"/>
        </w:rPr>
        <w:t xml:space="preserve"> </w:t>
      </w:r>
      <w:r>
        <w:rPr>
          <w:rFonts w:ascii="Times New Roman" w:hAnsi="Times New Roman" w:cs="Times New Roman"/>
          <w:sz w:val="16"/>
          <w:szCs w:val="16"/>
        </w:rPr>
        <w:fldChar w:fldCharType="begin"/>
      </w:r>
      <w:r>
        <w:rPr>
          <w:rFonts w:ascii="Times New Roman" w:hAnsi="Times New Roman" w:cs="Times New Roman"/>
          <w:sz w:val="16"/>
          <w:szCs w:val="16"/>
        </w:rPr>
        <w:instrText xml:space="preserve"> ADDIN ZOTERO_ITEM CSL_CITATION {"citationID":"ozBOp0eh","properties":{"formattedCitation":"[4]","plainCitation":"[4]","noteIndex":1},"citationItems":[{"id":441,"uris":["http://zotero.org/users/9663344/items/VLY7I8IE"],"itemData":{"id":441,"type":"webpage","abstract":"US FDA accepts NDA for zoliflodacin - an investigational first-in-class oral antibiotic poised to become the first new treatment for gonorrhoea in decades.","container-title":"Global Antibiotic Research and Development Partnership","language":"en-US","note":"section: Press releases","title":"US FDA accepts New Drug Application for zoliflodacin","URL":"https://gardp.org/innoviva-specialty-therapeutics-receives-fda-new-drug-application-acceptance-for-zoliflodacin-a-first-in-class-oral-antibiotic-for-uncomplicated-gonorrhoea-in-adults/","accessed":{"date-parts":[["2025",11,21]]},"issued":{"date-parts":[["2025",6,10]]}}}],"schema":"https://github.com/citation-style-language/schema/raw/master/csl-citation.json"} </w:instrText>
      </w:r>
      <w:r>
        <w:rPr>
          <w:rFonts w:ascii="Times New Roman" w:hAnsi="Times New Roman" w:cs="Times New Roman"/>
          <w:sz w:val="16"/>
          <w:szCs w:val="16"/>
        </w:rPr>
        <w:fldChar w:fldCharType="separate"/>
      </w:r>
      <w:r>
        <w:rPr>
          <w:rFonts w:ascii="Times New Roman" w:hAnsi="Times New Roman" w:cs="Times New Roman"/>
          <w:noProof/>
          <w:sz w:val="16"/>
          <w:szCs w:val="16"/>
        </w:rPr>
        <w:t>[4]</w:t>
      </w:r>
      <w:r>
        <w:rPr>
          <w:rFonts w:ascii="Times New Roman" w:hAnsi="Times New Roman" w:cs="Times New Roman"/>
          <w:sz w:val="16"/>
          <w:szCs w:val="16"/>
        </w:rPr>
        <w:fldChar w:fldCharType="end"/>
      </w:r>
      <w:r w:rsidRPr="00F729B0">
        <w:rPr>
          <w:rFonts w:ascii="Times New Roman" w:hAnsi="Times New Roman" w:cs="Times New Roman"/>
          <w:sz w:val="16"/>
          <w:szCs w:val="16"/>
        </w:rPr>
        <w:t>. Clinical trials indicate that oral zoliflodacin is highly effective for treating uncomplicated urogenital and rectal gonococcal infections, though its performance is notably weaker for pharyngeal infections</w:t>
      </w:r>
      <w:r>
        <w:rPr>
          <w:rFonts w:ascii="Times New Roman" w:hAnsi="Times New Roman" w:cs="Times New Roman"/>
          <w:sz w:val="16"/>
          <w:szCs w:val="16"/>
        </w:rPr>
        <w:t xml:space="preserve"> </w:t>
      </w:r>
      <w:r>
        <w:rPr>
          <w:rFonts w:ascii="Times New Roman" w:hAnsi="Times New Roman" w:cs="Times New Roman"/>
          <w:sz w:val="16"/>
          <w:szCs w:val="16"/>
        </w:rPr>
        <w:fldChar w:fldCharType="begin"/>
      </w:r>
      <w:r>
        <w:rPr>
          <w:rFonts w:ascii="Times New Roman" w:hAnsi="Times New Roman" w:cs="Times New Roman"/>
          <w:sz w:val="16"/>
          <w:szCs w:val="16"/>
        </w:rPr>
        <w:instrText xml:space="preserve"> ADDIN ZOTERO_ITEM CSL_CITATION {"citationID":"ql6gBmLo","properties":{"formattedCitation":"[5]","plainCitation":"[5]","noteIndex":1},"citationItems":[{"id":439,"uris":["http://zotero.org/users/9663344/items/LDMPL5QV"],"itemData":{"id":439,"type":"article-journal","abstract":"Increases in antimicrobial resistance are creating challenges for the treatment of gonorrhea. Zoliflodacin is a new antimicrobial agent that inhibits DNA biosynthesis. In this phase 2 trial, zoliflodacin is shown to have activity against uncomplicated urogenital gonorrhea.","container-title":"New England Journal of Medicine","DOI":"10.1056/NEJMoa1706988","ISSN":"0028-4793","issue":"19","note":"publisher: Massachusetts Medical Society\n_eprint: https://www.nejm.org/doi/pdf/10.1056/NEJMoa1706988","page":"1835-1845","source":"Taylor and Francis+NEJM","title":"Single-Dose Zoliflodacin (ETX0914) for Treatment of Urogenital Gonorrhea","volume":"379","author":[{"family":"Taylor","given":"Stephanie N."},{"family":"Marrazzo","given":"Jeanne"},{"family":"Batteiger","given":"Byron E."},{"family":"Hook","given":"Edward W."},{"family":"Seña","given":"Arlene C."},{"family":"Long","given":"Jill"},{"family":"Wierzbicki","given":"Michael R."},{"family":"Kwak","given":"Hannah"},{"family":"Johnson","given":"Shacondra M."},{"family":"Lawrence","given":"Kenneth"},{"family":"Mueller","given":"John"}],"issued":{"date-parts":[["2018",11,8]]}}}],"schema":"https://github.com/citation-style-language/schema/raw/master/csl-citation.json"} </w:instrText>
      </w:r>
      <w:r>
        <w:rPr>
          <w:rFonts w:ascii="Times New Roman" w:hAnsi="Times New Roman" w:cs="Times New Roman"/>
          <w:sz w:val="16"/>
          <w:szCs w:val="16"/>
        </w:rPr>
        <w:fldChar w:fldCharType="separate"/>
      </w:r>
      <w:r>
        <w:rPr>
          <w:rFonts w:ascii="Times New Roman" w:hAnsi="Times New Roman" w:cs="Times New Roman"/>
          <w:noProof/>
          <w:sz w:val="16"/>
          <w:szCs w:val="16"/>
        </w:rPr>
        <w:t>[5]</w:t>
      </w:r>
      <w:r>
        <w:rPr>
          <w:rFonts w:ascii="Times New Roman" w:hAnsi="Times New Roman" w:cs="Times New Roman"/>
          <w:sz w:val="16"/>
          <w:szCs w:val="16"/>
        </w:rPr>
        <w:fldChar w:fldCharType="end"/>
      </w:r>
      <w:r w:rsidRPr="00F729B0">
        <w:rPr>
          <w:rFonts w:ascii="Times New Roman" w:hAnsi="Times New Roman" w:cs="Times New Roman"/>
          <w:sz w:val="16"/>
          <w:szCs w:val="16"/>
        </w:rPr>
        <w:t>. Overall, its efficacy remains inferior to ceftriaxone</w:t>
      </w:r>
      <w:r>
        <w:rPr>
          <w:rFonts w:ascii="Times New Roman" w:hAnsi="Times New Roman" w:cs="Times New Roman"/>
          <w:sz w:val="16"/>
          <w:szCs w:val="16"/>
        </w:rPr>
        <w:t xml:space="preserve"> </w:t>
      </w:r>
      <w:r>
        <w:rPr>
          <w:rFonts w:ascii="Times New Roman" w:hAnsi="Times New Roman" w:cs="Times New Roman"/>
          <w:sz w:val="16"/>
          <w:szCs w:val="16"/>
        </w:rPr>
        <w:fldChar w:fldCharType="begin"/>
      </w:r>
      <w:r>
        <w:rPr>
          <w:rFonts w:ascii="Times New Roman" w:hAnsi="Times New Roman" w:cs="Times New Roman"/>
          <w:sz w:val="16"/>
          <w:szCs w:val="16"/>
        </w:rPr>
        <w:instrText xml:space="preserve"> ADDIN ZOTERO_ITEM CSL_CITATION {"citationID":"GGZk39Ri","properties":{"formattedCitation":"[5]","plainCitation":"[5]","noteIndex":1},"citationItems":[{"id":439,"uris":["http://zotero.org/users/9663344/items/LDMPL5QV"],"itemData":{"id":439,"type":"article-journal","abstract":"Increases in antimicrobial resistance are creating challenges for the treatment of gonorrhea. Zoliflodacin is a new antimicrobial agent that inhibits DNA biosynthesis. In this phase 2 trial, zoliflodacin is shown to have activity against uncomplicated urogenital gonorrhea.","container-title":"New England Journal of Medicine","DOI":"10.1056/NEJMoa1706988","ISSN":"0028-4793","issue":"19","note":"publisher: Massachusetts Medical Society\n_eprint: https://www.nejm.org/doi/pdf/10.1056/NEJMoa1706988","page":"1835-1845","source":"Taylor and Francis+NEJM","title":"Single-Dose Zoliflodacin (ETX0914) for Treatment of Urogenital Gonorrhea","volume":"379","author":[{"family":"Taylor","given":"Stephanie N."},{"family":"Marrazzo","given":"Jeanne"},{"family":"Batteiger","given":"Byron E."},{"family":"Hook","given":"Edward W."},{"family":"Seña","given":"Arlene C."},{"family":"Long","given":"Jill"},{"family":"Wierzbicki","given":"Michael R."},{"family":"Kwak","given":"Hannah"},{"family":"Johnson","given":"Shacondra M."},{"family":"Lawrence","given":"Kenneth"},{"family":"Mueller","given":"John"}],"issued":{"date-parts":[["2018",11,8]]}}}],"schema":"https://github.com/citation-style-language/schema/raw/master/csl-citation.json"} </w:instrText>
      </w:r>
      <w:r>
        <w:rPr>
          <w:rFonts w:ascii="Times New Roman" w:hAnsi="Times New Roman" w:cs="Times New Roman"/>
          <w:sz w:val="16"/>
          <w:szCs w:val="16"/>
        </w:rPr>
        <w:fldChar w:fldCharType="separate"/>
      </w:r>
      <w:r>
        <w:rPr>
          <w:rFonts w:ascii="Times New Roman" w:hAnsi="Times New Roman" w:cs="Times New Roman"/>
          <w:noProof/>
          <w:sz w:val="16"/>
          <w:szCs w:val="16"/>
        </w:rPr>
        <w:t>[5]</w:t>
      </w:r>
      <w:r>
        <w:rPr>
          <w:rFonts w:ascii="Times New Roman" w:hAnsi="Times New Roman" w:cs="Times New Roman"/>
          <w:sz w:val="16"/>
          <w:szCs w:val="16"/>
        </w:rPr>
        <w:fldChar w:fldCharType="end"/>
      </w:r>
      <w:r w:rsidRPr="00F729B0">
        <w:rPr>
          <w:rFonts w:ascii="Times New Roman" w:hAnsi="Times New Roman" w:cs="Times New Roman"/>
          <w:sz w:val="16"/>
          <w:szCs w:val="16"/>
        </w:rPr>
        <w:t>.</w:t>
      </w:r>
    </w:p>
  </w:footnote>
  <w:footnote w:id="2">
    <w:p w14:paraId="35D8A0C6" w14:textId="4EF99CED" w:rsidR="00E5498B" w:rsidRPr="00523A73" w:rsidRDefault="00E5498B">
      <w:pPr>
        <w:pStyle w:val="FootnoteText"/>
        <w:rPr>
          <w:rFonts w:ascii="Times New Roman" w:hAnsi="Times New Roman" w:cs="Times New Roman"/>
          <w:sz w:val="16"/>
          <w:szCs w:val="16"/>
        </w:rPr>
      </w:pPr>
      <w:r w:rsidRPr="00523A73">
        <w:rPr>
          <w:rStyle w:val="FootnoteReference"/>
          <w:rFonts w:ascii="Times New Roman" w:hAnsi="Times New Roman" w:cs="Times New Roman"/>
          <w:sz w:val="16"/>
          <w:szCs w:val="16"/>
        </w:rPr>
        <w:footnoteRef/>
      </w:r>
      <w:r w:rsidRPr="00523A73">
        <w:rPr>
          <w:rFonts w:ascii="Times New Roman" w:hAnsi="Times New Roman" w:cs="Times New Roman"/>
          <w:sz w:val="16"/>
          <w:szCs w:val="16"/>
        </w:rPr>
        <w:t xml:space="preserve"> </w:t>
      </w:r>
      <w:r w:rsidRPr="00523A73">
        <w:rPr>
          <w:rFonts w:ascii="Times New Roman" w:hAnsi="Times New Roman" w:cs="Times New Roman"/>
          <w:sz w:val="16"/>
          <w:szCs w:val="16"/>
        </w:rPr>
        <w:t xml:space="preserve">MIC </w:t>
      </w:r>
      <m:oMath>
        <m:r>
          <w:rPr>
            <w:rFonts w:ascii="Cambria Math" w:hAnsi="Cambria Math" w:cs="Times New Roman"/>
            <w:sz w:val="16"/>
            <w:szCs w:val="16"/>
          </w:rPr>
          <m:t>≥</m:t>
        </m:r>
      </m:oMath>
      <w:r w:rsidRPr="00523A73">
        <w:rPr>
          <w:rFonts w:ascii="Times New Roman" w:hAnsi="Times New Roman" w:cs="Times New Roman"/>
          <w:sz w:val="16"/>
          <w:szCs w:val="16"/>
        </w:rPr>
        <w:t xml:space="preserve"> 2mg/L</w:t>
      </w:r>
    </w:p>
  </w:footnote>
  <w:footnote w:id="3">
    <w:p w14:paraId="1FE4FA1B" w14:textId="4446451B" w:rsidR="00E5498B" w:rsidRPr="00523A73" w:rsidRDefault="00E5498B">
      <w:pPr>
        <w:pStyle w:val="FootnoteText"/>
        <w:rPr>
          <w:rFonts w:ascii="Times New Roman" w:hAnsi="Times New Roman" w:cs="Times New Roman"/>
          <w:sz w:val="16"/>
          <w:szCs w:val="16"/>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w:t>
      </w:r>
      <w:r w:rsidRPr="00523A73">
        <w:rPr>
          <w:rFonts w:ascii="Times New Roman" w:hAnsi="Times New Roman" w:cs="Times New Roman"/>
          <w:sz w:val="16"/>
          <w:szCs w:val="16"/>
        </w:rPr>
        <w:t>Data from 2020</w:t>
      </w:r>
      <w:r>
        <w:rPr>
          <w:rFonts w:ascii="Times New Roman" w:hAnsi="Times New Roman" w:cs="Times New Roman"/>
          <w:sz w:val="16"/>
          <w:szCs w:val="16"/>
        </w:rPr>
        <w:t xml:space="preserve"> - </w:t>
      </w:r>
      <w:r w:rsidRPr="00523A73">
        <w:rPr>
          <w:rFonts w:ascii="Times New Roman" w:hAnsi="Times New Roman" w:cs="Times New Roman"/>
          <w:sz w:val="16"/>
          <w:szCs w:val="16"/>
        </w:rPr>
        <w:t>2021 were excluded due to sampling biases during COVID-19.</w:t>
      </w:r>
    </w:p>
  </w:footnote>
  <w:footnote w:id="4">
    <w:p w14:paraId="535A06E0" w14:textId="6556FF06" w:rsidR="00E5498B" w:rsidRPr="009A302F" w:rsidRDefault="00E5498B">
      <w:pPr>
        <w:pStyle w:val="FootnoteText"/>
        <w:rPr>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w:t>
      </w:r>
      <w:r w:rsidRPr="00523A73">
        <w:rPr>
          <w:rFonts w:ascii="Times New Roman" w:hAnsi="Times New Roman" w:cs="Times New Roman"/>
          <w:sz w:val="16"/>
          <w:szCs w:val="16"/>
        </w:rPr>
        <w:t xml:space="preserve">MIC </w:t>
      </w:r>
      <m:oMath>
        <m:r>
          <w:rPr>
            <w:rFonts w:ascii="Cambria Math" w:hAnsi="Cambria Math" w:cs="Times New Roman"/>
            <w:sz w:val="16"/>
            <w:szCs w:val="16"/>
          </w:rPr>
          <m:t>&gt;</m:t>
        </m:r>
      </m:oMath>
      <w:r w:rsidRPr="00523A73">
        <w:rPr>
          <w:rFonts w:ascii="Times New Roman" w:hAnsi="Times New Roman" w:cs="Times New Roman"/>
          <w:sz w:val="16"/>
          <w:szCs w:val="16"/>
        </w:rPr>
        <w:t xml:space="preserve"> 0.5mg/L</w:t>
      </w:r>
    </w:p>
  </w:footnote>
  <w:footnote w:id="5">
    <w:p w14:paraId="36C2C945" w14:textId="39DD578C" w:rsidR="00BA2AB7" w:rsidRPr="00BA2AB7" w:rsidRDefault="00BA2AB7" w:rsidP="001C0CAA">
      <w:pPr>
        <w:pStyle w:val="FootnoteText"/>
        <w:jc w:val="both"/>
        <w:rPr>
          <w:lang w:val="en-US"/>
        </w:rPr>
      </w:pPr>
      <w:r>
        <w:rPr>
          <w:rStyle w:val="FootnoteReference"/>
        </w:rPr>
        <w:footnoteRef/>
      </w:r>
      <w:r>
        <w:t xml:space="preserve"> </w:t>
      </w:r>
      <w:r w:rsidRPr="00F477CC">
        <w:rPr>
          <w:rFonts w:ascii="Times New Roman" w:hAnsi="Times New Roman" w:cs="Times New Roman"/>
          <w:sz w:val="18"/>
          <w:szCs w:val="18"/>
          <w:lang w:val="en-US"/>
        </w:rPr>
        <w:t>Assume</w:t>
      </w:r>
      <w:r w:rsidR="00F477CC" w:rsidRPr="00F477CC">
        <w:rPr>
          <w:rFonts w:ascii="Times New Roman" w:hAnsi="Times New Roman" w:cs="Times New Roman"/>
          <w:sz w:val="18"/>
          <w:szCs w:val="18"/>
          <w:lang w:val="en-US"/>
        </w:rPr>
        <w:t>d</w:t>
      </w:r>
      <w:r w:rsidRPr="00F477CC">
        <w:rPr>
          <w:rFonts w:ascii="Times New Roman" w:hAnsi="Times New Roman" w:cs="Times New Roman"/>
          <w:sz w:val="18"/>
          <w:szCs w:val="18"/>
          <w:lang w:val="en-US"/>
        </w:rPr>
        <w:t xml:space="preserve"> </w:t>
      </w:r>
      <w:r w:rsidRPr="00F477CC">
        <w:rPr>
          <w:rFonts w:ascii="Times New Roman" w:hAnsi="Times New Roman" w:cs="Times New Roman"/>
          <w:sz w:val="18"/>
          <w:szCs w:val="18"/>
        </w:rPr>
        <w:t>each intervention reduces infection risk independently such that their combined efficacy is modelled multiplicatively</w:t>
      </w:r>
      <w:r w:rsidR="00F477CC" w:rsidRPr="00F477CC">
        <w:rPr>
          <w:rFonts w:ascii="Times New Roman" w:hAnsi="Times New Roman" w:cs="Times New Roman"/>
          <w:sz w:val="18"/>
          <w:szCs w:val="18"/>
        </w:rPr>
        <w:t xml:space="preserve">, i.e., </w:t>
      </w:r>
      <m:oMath>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vd</m:t>
            </m:r>
          </m:sub>
        </m:sSub>
        <m:r>
          <w:rPr>
            <w:rFonts w:ascii="Cambria Math" w:hAnsi="Cambria Math" w:cs="Times New Roman"/>
            <w:sz w:val="18"/>
            <w:szCs w:val="18"/>
          </w:rPr>
          <m:t>=1-</m:t>
        </m:r>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d</m:t>
                </m:r>
              </m:sub>
            </m:sSub>
          </m:e>
        </m:d>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m:t>
                </m:r>
              </m:sub>
            </m:sSub>
          </m:e>
        </m:d>
      </m:oMath>
      <w:r w:rsidR="00F477CC" w:rsidRPr="00F477CC">
        <w:rPr>
          <w:rFonts w:ascii="Times New Roman" w:hAnsi="Times New Roman" w:cs="Times New Roman"/>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4"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2"/>
  </w:num>
  <w:num w:numId="2" w16cid:durableId="40520125">
    <w:abstractNumId w:val="4"/>
  </w:num>
  <w:num w:numId="3" w16cid:durableId="1504318238">
    <w:abstractNumId w:val="1"/>
  </w:num>
  <w:num w:numId="4" w16cid:durableId="1606230246">
    <w:abstractNumId w:val="3"/>
  </w:num>
  <w:num w:numId="5" w16cid:durableId="734740861">
    <w:abstractNumId w:val="5"/>
  </w:num>
  <w:num w:numId="6" w16cid:durableId="119387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367"/>
    <w:rsid w:val="00000B87"/>
    <w:rsid w:val="000011E7"/>
    <w:rsid w:val="00027E42"/>
    <w:rsid w:val="00050497"/>
    <w:rsid w:val="0005212D"/>
    <w:rsid w:val="00054123"/>
    <w:rsid w:val="000619E7"/>
    <w:rsid w:val="00075D2F"/>
    <w:rsid w:val="00083C2D"/>
    <w:rsid w:val="00085099"/>
    <w:rsid w:val="00087DCE"/>
    <w:rsid w:val="00091063"/>
    <w:rsid w:val="00092D96"/>
    <w:rsid w:val="000B0C7C"/>
    <w:rsid w:val="000B2196"/>
    <w:rsid w:val="000B68AF"/>
    <w:rsid w:val="000D0539"/>
    <w:rsid w:val="000D1389"/>
    <w:rsid w:val="000D3B8B"/>
    <w:rsid w:val="000D472A"/>
    <w:rsid w:val="000E2764"/>
    <w:rsid w:val="000E3930"/>
    <w:rsid w:val="001010DC"/>
    <w:rsid w:val="00117036"/>
    <w:rsid w:val="001418F7"/>
    <w:rsid w:val="0015330D"/>
    <w:rsid w:val="001607B0"/>
    <w:rsid w:val="0016426E"/>
    <w:rsid w:val="00166618"/>
    <w:rsid w:val="001725A7"/>
    <w:rsid w:val="0017364B"/>
    <w:rsid w:val="001A06DF"/>
    <w:rsid w:val="001A3A09"/>
    <w:rsid w:val="001B42F2"/>
    <w:rsid w:val="001C0CAA"/>
    <w:rsid w:val="001C2A98"/>
    <w:rsid w:val="001C3AEF"/>
    <w:rsid w:val="001C5B10"/>
    <w:rsid w:val="001C72D5"/>
    <w:rsid w:val="001D18D4"/>
    <w:rsid w:val="001E4905"/>
    <w:rsid w:val="001F071A"/>
    <w:rsid w:val="002007DE"/>
    <w:rsid w:val="00220104"/>
    <w:rsid w:val="002234CF"/>
    <w:rsid w:val="00223F73"/>
    <w:rsid w:val="00230338"/>
    <w:rsid w:val="0023165B"/>
    <w:rsid w:val="00243D2B"/>
    <w:rsid w:val="0025496A"/>
    <w:rsid w:val="00256035"/>
    <w:rsid w:val="00263500"/>
    <w:rsid w:val="00276DCE"/>
    <w:rsid w:val="00284461"/>
    <w:rsid w:val="00287C10"/>
    <w:rsid w:val="002A0AB1"/>
    <w:rsid w:val="002A1438"/>
    <w:rsid w:val="002C1F75"/>
    <w:rsid w:val="002C3F2C"/>
    <w:rsid w:val="002C711F"/>
    <w:rsid w:val="002D209E"/>
    <w:rsid w:val="002E7667"/>
    <w:rsid w:val="00307F2B"/>
    <w:rsid w:val="00316933"/>
    <w:rsid w:val="00326421"/>
    <w:rsid w:val="003300DF"/>
    <w:rsid w:val="00331A4D"/>
    <w:rsid w:val="003323E8"/>
    <w:rsid w:val="00332AD8"/>
    <w:rsid w:val="00336842"/>
    <w:rsid w:val="00337290"/>
    <w:rsid w:val="00343145"/>
    <w:rsid w:val="00354E6D"/>
    <w:rsid w:val="00373D9B"/>
    <w:rsid w:val="00382719"/>
    <w:rsid w:val="00382F63"/>
    <w:rsid w:val="00393D45"/>
    <w:rsid w:val="003A66F0"/>
    <w:rsid w:val="003B6AF3"/>
    <w:rsid w:val="003C1DA1"/>
    <w:rsid w:val="003C1F45"/>
    <w:rsid w:val="003E7919"/>
    <w:rsid w:val="004033EF"/>
    <w:rsid w:val="00422602"/>
    <w:rsid w:val="004229CD"/>
    <w:rsid w:val="00424CFE"/>
    <w:rsid w:val="004338C0"/>
    <w:rsid w:val="00466C02"/>
    <w:rsid w:val="00482565"/>
    <w:rsid w:val="0048457F"/>
    <w:rsid w:val="004F1CFD"/>
    <w:rsid w:val="004F3D14"/>
    <w:rsid w:val="004F4B9C"/>
    <w:rsid w:val="00506AFF"/>
    <w:rsid w:val="00507315"/>
    <w:rsid w:val="00511992"/>
    <w:rsid w:val="0051618A"/>
    <w:rsid w:val="00521FE0"/>
    <w:rsid w:val="00523A73"/>
    <w:rsid w:val="0053170E"/>
    <w:rsid w:val="00535D63"/>
    <w:rsid w:val="005368DE"/>
    <w:rsid w:val="005473E4"/>
    <w:rsid w:val="0055619E"/>
    <w:rsid w:val="00556849"/>
    <w:rsid w:val="00577E90"/>
    <w:rsid w:val="005B07EA"/>
    <w:rsid w:val="005B15BD"/>
    <w:rsid w:val="005B2DA0"/>
    <w:rsid w:val="005B3659"/>
    <w:rsid w:val="005C1307"/>
    <w:rsid w:val="005D0C68"/>
    <w:rsid w:val="005D5687"/>
    <w:rsid w:val="005E4A82"/>
    <w:rsid w:val="005F0A0A"/>
    <w:rsid w:val="006108A8"/>
    <w:rsid w:val="006173E0"/>
    <w:rsid w:val="00620092"/>
    <w:rsid w:val="00624970"/>
    <w:rsid w:val="00630081"/>
    <w:rsid w:val="006300FE"/>
    <w:rsid w:val="00630BF1"/>
    <w:rsid w:val="006425C4"/>
    <w:rsid w:val="00666618"/>
    <w:rsid w:val="00667406"/>
    <w:rsid w:val="0067174C"/>
    <w:rsid w:val="0067361D"/>
    <w:rsid w:val="00673DDD"/>
    <w:rsid w:val="00680986"/>
    <w:rsid w:val="00690AB2"/>
    <w:rsid w:val="0069221B"/>
    <w:rsid w:val="00694DF0"/>
    <w:rsid w:val="006A5D60"/>
    <w:rsid w:val="006B5BE6"/>
    <w:rsid w:val="006B751E"/>
    <w:rsid w:val="006C0BE4"/>
    <w:rsid w:val="006C3307"/>
    <w:rsid w:val="006F3684"/>
    <w:rsid w:val="007024DB"/>
    <w:rsid w:val="00720BC0"/>
    <w:rsid w:val="00727618"/>
    <w:rsid w:val="00743CE1"/>
    <w:rsid w:val="00756C05"/>
    <w:rsid w:val="00757D3F"/>
    <w:rsid w:val="00776D62"/>
    <w:rsid w:val="007864C5"/>
    <w:rsid w:val="0079342B"/>
    <w:rsid w:val="007966E6"/>
    <w:rsid w:val="007C1062"/>
    <w:rsid w:val="007C39C6"/>
    <w:rsid w:val="007D28FF"/>
    <w:rsid w:val="007E5D03"/>
    <w:rsid w:val="007F5429"/>
    <w:rsid w:val="00802477"/>
    <w:rsid w:val="00804703"/>
    <w:rsid w:val="00806315"/>
    <w:rsid w:val="00813523"/>
    <w:rsid w:val="008235D5"/>
    <w:rsid w:val="008241F9"/>
    <w:rsid w:val="008550FB"/>
    <w:rsid w:val="008576F9"/>
    <w:rsid w:val="00864286"/>
    <w:rsid w:val="00870795"/>
    <w:rsid w:val="00877A9C"/>
    <w:rsid w:val="008C079B"/>
    <w:rsid w:val="008C2AAA"/>
    <w:rsid w:val="008E5752"/>
    <w:rsid w:val="008F09CA"/>
    <w:rsid w:val="00900927"/>
    <w:rsid w:val="0090359A"/>
    <w:rsid w:val="00911EE4"/>
    <w:rsid w:val="00914662"/>
    <w:rsid w:val="00930553"/>
    <w:rsid w:val="00930B14"/>
    <w:rsid w:val="009324AB"/>
    <w:rsid w:val="00932C73"/>
    <w:rsid w:val="00941308"/>
    <w:rsid w:val="009662DC"/>
    <w:rsid w:val="009701A4"/>
    <w:rsid w:val="00973822"/>
    <w:rsid w:val="009758E2"/>
    <w:rsid w:val="00976368"/>
    <w:rsid w:val="00976A2C"/>
    <w:rsid w:val="00986483"/>
    <w:rsid w:val="009A302F"/>
    <w:rsid w:val="009C0A6F"/>
    <w:rsid w:val="009D5228"/>
    <w:rsid w:val="009E6324"/>
    <w:rsid w:val="009F77D3"/>
    <w:rsid w:val="00A03255"/>
    <w:rsid w:val="00A05668"/>
    <w:rsid w:val="00A21F6D"/>
    <w:rsid w:val="00A26C1F"/>
    <w:rsid w:val="00A37609"/>
    <w:rsid w:val="00A42434"/>
    <w:rsid w:val="00A60259"/>
    <w:rsid w:val="00A6038C"/>
    <w:rsid w:val="00A64C35"/>
    <w:rsid w:val="00A96A92"/>
    <w:rsid w:val="00A97EEB"/>
    <w:rsid w:val="00AA2F44"/>
    <w:rsid w:val="00AA3D24"/>
    <w:rsid w:val="00AA5371"/>
    <w:rsid w:val="00AB02ED"/>
    <w:rsid w:val="00AC07E2"/>
    <w:rsid w:val="00AE4378"/>
    <w:rsid w:val="00B11432"/>
    <w:rsid w:val="00B15A39"/>
    <w:rsid w:val="00B15DD7"/>
    <w:rsid w:val="00B26C1F"/>
    <w:rsid w:val="00B32B88"/>
    <w:rsid w:val="00B62B04"/>
    <w:rsid w:val="00B71524"/>
    <w:rsid w:val="00BA2AB7"/>
    <w:rsid w:val="00BA61F4"/>
    <w:rsid w:val="00BC52CE"/>
    <w:rsid w:val="00BC6C09"/>
    <w:rsid w:val="00BD217F"/>
    <w:rsid w:val="00BF1374"/>
    <w:rsid w:val="00BF183C"/>
    <w:rsid w:val="00BF327B"/>
    <w:rsid w:val="00BF4E96"/>
    <w:rsid w:val="00C052D4"/>
    <w:rsid w:val="00C066BD"/>
    <w:rsid w:val="00C17699"/>
    <w:rsid w:val="00C2176F"/>
    <w:rsid w:val="00C22D10"/>
    <w:rsid w:val="00C252ED"/>
    <w:rsid w:val="00C3364D"/>
    <w:rsid w:val="00C60BB5"/>
    <w:rsid w:val="00CA08CF"/>
    <w:rsid w:val="00CA321D"/>
    <w:rsid w:val="00CA550C"/>
    <w:rsid w:val="00CD1078"/>
    <w:rsid w:val="00CD3E9D"/>
    <w:rsid w:val="00CD493A"/>
    <w:rsid w:val="00CD5894"/>
    <w:rsid w:val="00CD73B1"/>
    <w:rsid w:val="00CE173A"/>
    <w:rsid w:val="00CE437E"/>
    <w:rsid w:val="00CE782C"/>
    <w:rsid w:val="00CF7B21"/>
    <w:rsid w:val="00D03073"/>
    <w:rsid w:val="00D036DA"/>
    <w:rsid w:val="00D06293"/>
    <w:rsid w:val="00D12B13"/>
    <w:rsid w:val="00D12E24"/>
    <w:rsid w:val="00D21988"/>
    <w:rsid w:val="00D32E21"/>
    <w:rsid w:val="00D337FB"/>
    <w:rsid w:val="00D76A07"/>
    <w:rsid w:val="00D77A83"/>
    <w:rsid w:val="00D817F5"/>
    <w:rsid w:val="00D81981"/>
    <w:rsid w:val="00D83ED0"/>
    <w:rsid w:val="00D95BD9"/>
    <w:rsid w:val="00DA5AB2"/>
    <w:rsid w:val="00DB0475"/>
    <w:rsid w:val="00DB3DC4"/>
    <w:rsid w:val="00DD1B60"/>
    <w:rsid w:val="00DD1CCA"/>
    <w:rsid w:val="00DD5329"/>
    <w:rsid w:val="00E020F1"/>
    <w:rsid w:val="00E168B3"/>
    <w:rsid w:val="00E5154E"/>
    <w:rsid w:val="00E536A7"/>
    <w:rsid w:val="00E5498B"/>
    <w:rsid w:val="00E54A4D"/>
    <w:rsid w:val="00E62364"/>
    <w:rsid w:val="00E716CC"/>
    <w:rsid w:val="00E7338C"/>
    <w:rsid w:val="00E96FBA"/>
    <w:rsid w:val="00E97704"/>
    <w:rsid w:val="00EA3640"/>
    <w:rsid w:val="00EB17DD"/>
    <w:rsid w:val="00EC410B"/>
    <w:rsid w:val="00ED37A4"/>
    <w:rsid w:val="00EE1CFB"/>
    <w:rsid w:val="00EE4B38"/>
    <w:rsid w:val="00F00AFE"/>
    <w:rsid w:val="00F02256"/>
    <w:rsid w:val="00F14CE2"/>
    <w:rsid w:val="00F176A5"/>
    <w:rsid w:val="00F477CC"/>
    <w:rsid w:val="00F5221A"/>
    <w:rsid w:val="00F63B65"/>
    <w:rsid w:val="00F66957"/>
    <w:rsid w:val="00F7254F"/>
    <w:rsid w:val="00F729B0"/>
    <w:rsid w:val="00F9466C"/>
    <w:rsid w:val="00FD2D8F"/>
    <w:rsid w:val="00FE282D"/>
    <w:rsid w:val="00FE3A6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C35"/>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 w:type="paragraph" w:styleId="FootnoteText">
    <w:name w:val="footnote text"/>
    <w:basedOn w:val="Normal"/>
    <w:link w:val="FootnoteTextChar"/>
    <w:uiPriority w:val="99"/>
    <w:semiHidden/>
    <w:unhideWhenUsed/>
    <w:rsid w:val="00BA2A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AB7"/>
    <w:rPr>
      <w:sz w:val="20"/>
      <w:szCs w:val="20"/>
    </w:rPr>
  </w:style>
  <w:style w:type="character" w:styleId="FootnoteReference">
    <w:name w:val="footnote reference"/>
    <w:basedOn w:val="DefaultParagraphFont"/>
    <w:uiPriority w:val="99"/>
    <w:semiHidden/>
    <w:unhideWhenUsed/>
    <w:rsid w:val="00BA2A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D0C4-30F2-BE4A-B03D-DCBEC80C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16</Pages>
  <Words>18936</Words>
  <Characters>107937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233</cp:revision>
  <cp:lastPrinted>2025-09-09T09:14:00Z</cp:lastPrinted>
  <dcterms:created xsi:type="dcterms:W3CDTF">2025-10-10T08:53:00Z</dcterms:created>
  <dcterms:modified xsi:type="dcterms:W3CDTF">2025-11-21T08:30:00Z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id="SrcBmsTX"/&gt;&lt;style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