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27A9" w14:textId="77777777" w:rsidR="00245AB5" w:rsidRDefault="00245AB5" w:rsidP="003B3837">
      <w:pPr>
        <w:spacing w:before="100" w:beforeAutospacing="1" w:after="100" w:afterAutospacing="1" w:line="276" w:lineRule="auto"/>
        <w:jc w:val="both"/>
        <w:rPr>
          <w:rFonts w:ascii="Times New Roman" w:hAnsi="Times New Roman" w:cs="Times New Roman"/>
          <w:b/>
          <w:bCs/>
          <w:sz w:val="20"/>
          <w:szCs w:val="20"/>
          <w:lang w:val="en-GB"/>
        </w:rPr>
      </w:pPr>
      <w:r>
        <w:rPr>
          <w:rFonts w:ascii="Times New Roman" w:hAnsi="Times New Roman" w:cs="Times New Roman"/>
          <w:b/>
          <w:bCs/>
          <w:sz w:val="20"/>
          <w:szCs w:val="20"/>
          <w:lang w:val="en-GB"/>
        </w:rPr>
        <w:t>Supplementary Information</w:t>
      </w:r>
    </w:p>
    <w:p w14:paraId="042F2B81" w14:textId="6BBFCC3E" w:rsidR="001B6CFF" w:rsidRPr="00474003" w:rsidRDefault="001B6CFF" w:rsidP="001B6CFF">
      <w:pPr>
        <w:pStyle w:val="NormalWeb"/>
        <w:spacing w:line="276" w:lineRule="auto"/>
        <w:jc w:val="both"/>
        <w:rPr>
          <w:sz w:val="20"/>
          <w:szCs w:val="20"/>
          <w:lang w:val="en-GB"/>
        </w:rPr>
      </w:pPr>
      <w:r w:rsidRPr="00B424FD">
        <w:rPr>
          <w:sz w:val="20"/>
          <w:szCs w:val="20"/>
          <w:lang w:val="en-GB"/>
        </w:rPr>
        <w:t xml:space="preserve">For gonorrhoea, tetracycline resistance (tetR) commonly results from plasmid-borne </w:t>
      </w:r>
      <w:r w:rsidRPr="00B424FD">
        <w:rPr>
          <w:rStyle w:val="Emphasis"/>
          <w:rFonts w:eastAsiaTheme="majorEastAsia"/>
          <w:sz w:val="20"/>
          <w:szCs w:val="20"/>
          <w:lang w:val="en-GB"/>
        </w:rPr>
        <w:t>tetM</w:t>
      </w:r>
      <w:r w:rsidRPr="00B424FD">
        <w:rPr>
          <w:sz w:val="20"/>
          <w:szCs w:val="20"/>
          <w:lang w:val="en-GB"/>
        </w:rPr>
        <w:t xml:space="preserve"> genes, which confer high-level resistance, or from chromosomal mutations in loci such as </w:t>
      </w:r>
      <w:r w:rsidRPr="00B424FD">
        <w:rPr>
          <w:rStyle w:val="Emphasis"/>
          <w:rFonts w:eastAsiaTheme="majorEastAsia"/>
          <w:sz w:val="20"/>
          <w:szCs w:val="20"/>
          <w:lang w:val="en-GB"/>
        </w:rPr>
        <w:t>rpsJ</w:t>
      </w:r>
      <w:r w:rsidRPr="00B424FD">
        <w:rPr>
          <w:sz w:val="20"/>
          <w:szCs w:val="20"/>
          <w:lang w:val="en-GB"/>
        </w:rPr>
        <w:t xml:space="preserve">, </w:t>
      </w:r>
      <w:r w:rsidRPr="00B424FD">
        <w:rPr>
          <w:rStyle w:val="Emphasis"/>
          <w:rFonts w:eastAsiaTheme="majorEastAsia"/>
          <w:sz w:val="20"/>
          <w:szCs w:val="20"/>
          <w:lang w:val="en-GB"/>
        </w:rPr>
        <w:t>mtrR</w:t>
      </w:r>
      <w:r w:rsidRPr="00B424FD">
        <w:rPr>
          <w:sz w:val="20"/>
          <w:szCs w:val="20"/>
          <w:lang w:val="en-GB"/>
        </w:rPr>
        <w:t xml:space="preserve">, and </w:t>
      </w:r>
      <w:r w:rsidRPr="00B424FD">
        <w:rPr>
          <w:rStyle w:val="Emphasis"/>
          <w:rFonts w:eastAsiaTheme="majorEastAsia"/>
          <w:sz w:val="20"/>
          <w:szCs w:val="20"/>
          <w:lang w:val="en-GB"/>
        </w:rPr>
        <w:t>porB</w:t>
      </w:r>
      <w:r w:rsidRPr="00B424FD">
        <w:rPr>
          <w:sz w:val="20"/>
          <w:szCs w:val="20"/>
          <w:lang w:val="en-GB"/>
        </w:rPr>
        <w:t xml:space="preserve">. In contrast, ceftriaxone resistance (cefR) typically involves mosaic </w:t>
      </w:r>
      <w:r w:rsidRPr="00B424FD">
        <w:rPr>
          <w:rStyle w:val="Emphasis"/>
          <w:rFonts w:eastAsiaTheme="majorEastAsia"/>
          <w:sz w:val="20"/>
          <w:szCs w:val="20"/>
          <w:lang w:val="en-GB"/>
        </w:rPr>
        <w:t>penA</w:t>
      </w:r>
      <w:r w:rsidRPr="00B424FD">
        <w:rPr>
          <w:sz w:val="20"/>
          <w:szCs w:val="20"/>
          <w:lang w:val="en-GB"/>
        </w:rPr>
        <w:t xml:space="preserve"> alleles in combination with mutations in </w:t>
      </w:r>
      <w:r w:rsidRPr="00B424FD">
        <w:rPr>
          <w:rStyle w:val="Emphasis"/>
          <w:rFonts w:eastAsiaTheme="majorEastAsia"/>
          <w:sz w:val="20"/>
          <w:szCs w:val="20"/>
          <w:lang w:val="en-GB"/>
        </w:rPr>
        <w:t>mtrR</w:t>
      </w:r>
      <w:r w:rsidRPr="00B424FD">
        <w:rPr>
          <w:sz w:val="20"/>
          <w:szCs w:val="20"/>
          <w:lang w:val="en-GB"/>
        </w:rPr>
        <w:t xml:space="preserve">, </w:t>
      </w:r>
      <w:r w:rsidRPr="00B424FD">
        <w:rPr>
          <w:rStyle w:val="Emphasis"/>
          <w:rFonts w:eastAsiaTheme="majorEastAsia"/>
          <w:sz w:val="20"/>
          <w:szCs w:val="20"/>
          <w:lang w:val="en-GB"/>
        </w:rPr>
        <w:t>porB</w:t>
      </w:r>
      <w:r w:rsidRPr="00B424FD">
        <w:rPr>
          <w:sz w:val="20"/>
          <w:szCs w:val="20"/>
          <w:lang w:val="en-GB"/>
        </w:rPr>
        <w:t xml:space="preserve">, and other chromosomal sites. Although doxycycline resistance does not inherently confer ceftriaxone resistance, a strong genetic association between the two </w:t>
      </w:r>
      <w:r w:rsidRPr="00B424FD">
        <w:rPr>
          <w:color w:val="000000" w:themeColor="text1"/>
          <w:sz w:val="20"/>
          <w:szCs w:val="20"/>
          <w:lang w:val="en-GB"/>
        </w:rPr>
        <w:fldChar w:fldCharType="begin"/>
      </w:r>
      <w:r w:rsidR="009F30E1">
        <w:rPr>
          <w:color w:val="000000" w:themeColor="text1"/>
          <w:sz w:val="20"/>
          <w:szCs w:val="20"/>
          <w:lang w:val="en-GB"/>
        </w:rPr>
        <w:instrText xml:space="preserve"> ADDIN ZOTERO_ITEM CSL_CITATION {"citationID":"LPtE5kO1","properties":{"unsorted":false,"formattedCitation":"[1], [2], [3]","plainCitation":"[1], [2], [3]","noteIndex":0},"citationItems":[{"id":287,"uris":["http://zotero.org/users/9663344/items/UD4GZWU4"],"itemData":{"id":287,"type":"article-journal","container-title":"The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Santhini"},{"family":"Kenyon","given":"Chris"}],"issued":{"date-parts":[["2025",6,1]]}}},{"id":290,"uris":["http://zotero.org/users/9663344/items/I4BXMZGA"],"itemData":{"id":290,"type":"article-journal","abstract":"To the Editor Traeger et al have conducted a timely analysis of the real-world efficacy of doxycycline postexposure prophylaxis (doxyPEP) in reducing the incidence of bacterial sexually transmitted infections (STIs) in persons taking HIV preexposure prophylaxis. Their retrospective cohort analysis found that doxyPEP was associated with declines in quarterly chlamydia, gonorrhea, and syphilis positivity of 79%, 80%, and 12%, respectively. They concluded that “doxyPEP may offer substantial benefits for reducing population-level STI transmission with broader implementation.”We would like to temper this enthusiasm by noting the risk these results pose to antimicrobial resistance when considering the population perspective. Numerous analyses have confirmed that typical populations that take HIV preexposure prophylaxis have dense sexual networks that generate gonococcal equilibrium prevalence of around 10%. If antimicrobials such as doxycycline are used to reduce this prevalence, then this generates a selection pressure for the gonococci to acquire resistance to this antimicrobial. Because of the strong genetic association between resistance to doxycycline and extended-spectrum cephalosporins (ESCs) in Neisseria gonorrhoeae, widespread use of doxycycline could co-select for ESC resistance. Because ceftriaxone is the first-line treatment of gonorrhea and there are few, if any, viable alternatives to replace it, the consequences could be disastrous. Recent data from the DoxyVac study demonstrated that doxyPEP selected for reduced susceptibility to both doxycycline and ESCs in N gonorrhoeae.","container-title":"JAMA Internal Medicine","DOI":"10.1001/jamainternmed.2025.0984","ISSN":"2168-6106","issue":"8","journalAbbreviation":"JAMA Intern Med","page":"1051","source":"Silverchair","title":"Doxycycline Postexposure Prophylaxis Could Accelerate the Emergence of Gonococcal Ceftriaxone Resistance","volume":"185","author":[{"family":"Kenyon","given":"Chris"}],"issued":{"date-parts":[["2025",8,1]]}}}],"schema":"https://github.com/citation-style-language/schema/raw/master/csl-citation.json"} </w:instrText>
      </w:r>
      <w:r w:rsidRPr="00B424FD">
        <w:rPr>
          <w:color w:val="000000" w:themeColor="text1"/>
          <w:sz w:val="20"/>
          <w:szCs w:val="20"/>
          <w:lang w:val="en-GB"/>
        </w:rPr>
        <w:fldChar w:fldCharType="separate"/>
      </w:r>
      <w:r w:rsidR="009F30E1">
        <w:rPr>
          <w:color w:val="000000" w:themeColor="text1"/>
          <w:sz w:val="20"/>
          <w:szCs w:val="20"/>
          <w:lang w:val="en-GB"/>
        </w:rPr>
        <w:t>[1], [2], [3]</w:t>
      </w:r>
      <w:r w:rsidRPr="00B424FD">
        <w:rPr>
          <w:color w:val="000000" w:themeColor="text1"/>
          <w:sz w:val="20"/>
          <w:szCs w:val="20"/>
          <w:lang w:val="en-GB"/>
        </w:rPr>
        <w:fldChar w:fldCharType="end"/>
      </w:r>
      <w:r w:rsidRPr="00B424FD">
        <w:rPr>
          <w:color w:val="000000" w:themeColor="text1"/>
          <w:sz w:val="20"/>
          <w:szCs w:val="20"/>
          <w:lang w:val="en-GB"/>
        </w:rPr>
        <w:t xml:space="preserve"> </w:t>
      </w:r>
      <w:r w:rsidRPr="00B424FD">
        <w:rPr>
          <w:sz w:val="20"/>
          <w:szCs w:val="20"/>
          <w:lang w:val="en-GB"/>
        </w:rPr>
        <w:t xml:space="preserve">suggests that widespread doxycycline use, such as through doxy-PEP for syphilis, could expand the reservoir of tetracycline-resistant </w:t>
      </w:r>
      <w:r w:rsidRPr="00B424FD">
        <w:rPr>
          <w:rStyle w:val="Emphasis"/>
          <w:rFonts w:eastAsiaTheme="majorEastAsia"/>
          <w:sz w:val="20"/>
          <w:szCs w:val="20"/>
          <w:lang w:val="en-GB"/>
        </w:rPr>
        <w:t>N. gonorrhoeae</w:t>
      </w:r>
      <w:r w:rsidRPr="00B424FD">
        <w:rPr>
          <w:sz w:val="20"/>
          <w:szCs w:val="20"/>
          <w:lang w:val="en-GB"/>
        </w:rPr>
        <w:t xml:space="preserve"> strains </w:t>
      </w:r>
      <w:r w:rsidRPr="00B424FD">
        <w:rPr>
          <w:color w:val="000000" w:themeColor="text1"/>
          <w:sz w:val="20"/>
          <w:szCs w:val="20"/>
          <w:lang w:val="en-GB"/>
        </w:rPr>
        <w:fldChar w:fldCharType="begin"/>
      </w:r>
      <w:r w:rsidR="009F30E1">
        <w:rPr>
          <w:color w:val="000000" w:themeColor="text1"/>
          <w:sz w:val="20"/>
          <w:szCs w:val="20"/>
          <w:lang w:val="en-GB"/>
        </w:rPr>
        <w:instrText xml:space="preserve"> ADDIN ZOTERO_ITEM CSL_CITATION {"citationID":"pWXIJwpH","properties":{"formattedCitation":"[4]","plainCitation":"[4]","noteIndex":0},"citationItems":[{"id":292,"uris":["http://zotero.org/users/9663344/items/Z8FGKHK2"],"itemData":{"id":292,"type":"article-journal","container-title":"The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J."}],"accessed":{"date-parts":[["2025",9,9]]},"issued":{"date-parts":[["2025",8,22]]}}}],"schema":"https://github.com/citation-style-language/schema/raw/master/csl-citation.json"} </w:instrText>
      </w:r>
      <w:r w:rsidRPr="00B424FD">
        <w:rPr>
          <w:color w:val="000000" w:themeColor="text1"/>
          <w:sz w:val="20"/>
          <w:szCs w:val="20"/>
          <w:lang w:val="en-GB"/>
        </w:rPr>
        <w:fldChar w:fldCharType="separate"/>
      </w:r>
      <w:r w:rsidR="009F30E1">
        <w:rPr>
          <w:color w:val="000000" w:themeColor="text1"/>
          <w:sz w:val="20"/>
          <w:szCs w:val="20"/>
          <w:lang w:val="en-GB"/>
        </w:rPr>
        <w:t>[4]</w:t>
      </w:r>
      <w:r w:rsidRPr="00B424FD">
        <w:rPr>
          <w:color w:val="000000" w:themeColor="text1"/>
          <w:sz w:val="20"/>
          <w:szCs w:val="20"/>
          <w:lang w:val="en-GB"/>
        </w:rPr>
        <w:fldChar w:fldCharType="end"/>
      </w:r>
      <w:r w:rsidRPr="00B424FD">
        <w:rPr>
          <w:sz w:val="20"/>
          <w:szCs w:val="20"/>
          <w:lang w:val="en-GB"/>
        </w:rPr>
        <w:t>. This enlarged pool increases the likelihood that cefR mutations will arise within the tetR background or that dual-resistant (tetR + cefR) strains will be co-</w:t>
      </w:r>
      <w:r w:rsidRPr="00474003">
        <w:rPr>
          <w:sz w:val="20"/>
          <w:szCs w:val="20"/>
          <w:lang w:val="en-GB"/>
        </w:rPr>
        <w:t xml:space="preserve">selected. Consequently, </w:t>
      </w:r>
      <w:r w:rsidRPr="00474003">
        <w:rPr>
          <w:sz w:val="20"/>
          <w:szCs w:val="20"/>
        </w:rPr>
        <w:t xml:space="preserve">while doxycycline post-exposure prophylaxis does not directly select for ceftriaxone resistance, it may indirectly increase the prevalence of ceftriaxone-resistant </w:t>
      </w:r>
      <w:r w:rsidRPr="00474003">
        <w:rPr>
          <w:rStyle w:val="Emphasis"/>
          <w:sz w:val="20"/>
          <w:szCs w:val="20"/>
        </w:rPr>
        <w:t>Neisseria gonorrhoeae</w:t>
      </w:r>
      <w:r w:rsidRPr="00474003">
        <w:rPr>
          <w:sz w:val="20"/>
          <w:szCs w:val="20"/>
        </w:rPr>
        <w:t xml:space="preserve"> through co-selection and ecological replacement, particularly if resistance determinants are linked or co-circulate within the same strains </w:t>
      </w:r>
      <w:r w:rsidRPr="00474003">
        <w:rPr>
          <w:sz w:val="20"/>
          <w:szCs w:val="20"/>
          <w:lang w:val="en-GB"/>
        </w:rPr>
        <w:fldChar w:fldCharType="begin"/>
      </w:r>
      <w:r w:rsidR="009F30E1">
        <w:rPr>
          <w:sz w:val="20"/>
          <w:szCs w:val="20"/>
          <w:lang w:val="en-GB"/>
        </w:rPr>
        <w:instrText xml:space="preserve"> ADDIN ZOTERO_ITEM CSL_CITATION {"citationID":"4ZNUhmhJ","properties":{"formattedCitation":"[1]","plainCitation":"[1]","noteIndex":0},"citationItems":[{"id":287,"uris":["http://zotero.org/users/9663344/items/UD4GZWU4"],"itemData":{"id":287,"type":"article-journal","container-title":"The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M."}],"issued":{"date-parts":[["2023",8,1]]}}}],"schema":"https://github.com/citation-style-language/schema/raw/master/csl-citation.json"} </w:instrText>
      </w:r>
      <w:r w:rsidRPr="00474003">
        <w:rPr>
          <w:sz w:val="20"/>
          <w:szCs w:val="20"/>
          <w:lang w:val="en-GB"/>
        </w:rPr>
        <w:fldChar w:fldCharType="separate"/>
      </w:r>
      <w:r w:rsidR="009F30E1">
        <w:rPr>
          <w:sz w:val="20"/>
          <w:szCs w:val="20"/>
          <w:lang w:val="en-GB"/>
        </w:rPr>
        <w:t>[1]</w:t>
      </w:r>
      <w:r w:rsidRPr="00474003">
        <w:rPr>
          <w:sz w:val="20"/>
          <w:szCs w:val="20"/>
          <w:lang w:val="en-GB"/>
        </w:rPr>
        <w:fldChar w:fldCharType="end"/>
      </w:r>
      <w:r w:rsidRPr="00474003">
        <w:rPr>
          <w:sz w:val="20"/>
          <w:szCs w:val="20"/>
          <w:lang w:val="en-GB"/>
        </w:rPr>
        <w:t>.</w:t>
      </w:r>
    </w:p>
    <w:p w14:paraId="236805CF" w14:textId="77777777" w:rsidR="003C479B" w:rsidRPr="001B6CFF" w:rsidRDefault="003C479B" w:rsidP="003B3837">
      <w:pPr>
        <w:pStyle w:val="NormalWeb"/>
        <w:spacing w:line="276" w:lineRule="auto"/>
        <w:jc w:val="both"/>
        <w:rPr>
          <w:sz w:val="20"/>
          <w:szCs w:val="20"/>
          <w:lang w:val="en-GB"/>
        </w:rPr>
      </w:pPr>
    </w:p>
    <w:p w14:paraId="4E393B0A" w14:textId="77777777" w:rsidR="001B6CFF" w:rsidRDefault="001B6CFF" w:rsidP="003B3837">
      <w:pPr>
        <w:pStyle w:val="NormalWeb"/>
        <w:spacing w:line="276" w:lineRule="auto"/>
        <w:jc w:val="both"/>
        <w:rPr>
          <w:sz w:val="20"/>
          <w:szCs w:val="20"/>
        </w:rPr>
      </w:pPr>
    </w:p>
    <w:p w14:paraId="482AFC20" w14:textId="037007FF" w:rsidR="001B6CFF" w:rsidRPr="00541748" w:rsidRDefault="001B6CFF" w:rsidP="003B3837">
      <w:pPr>
        <w:pStyle w:val="NormalWeb"/>
        <w:spacing w:line="276" w:lineRule="auto"/>
        <w:jc w:val="both"/>
        <w:rPr>
          <w:sz w:val="20"/>
          <w:szCs w:val="20"/>
        </w:rPr>
        <w:sectPr w:rsidR="001B6CFF" w:rsidRPr="00541748" w:rsidSect="00276DCE">
          <w:footerReference w:type="even" r:id="rId8"/>
          <w:footerReference w:type="default" r:id="rId9"/>
          <w:pgSz w:w="11910" w:h="16840"/>
          <w:pgMar w:top="1582" w:right="1418" w:bottom="958" w:left="1418" w:header="0" w:footer="760" w:gutter="170"/>
          <w:cols w:space="720"/>
          <w:docGrid w:linePitch="360"/>
        </w:sectPr>
      </w:pPr>
    </w:p>
    <w:p w14:paraId="2281CD9D" w14:textId="40BD9292" w:rsidR="006B751E" w:rsidRPr="00B424FD" w:rsidRDefault="00B71524" w:rsidP="003B3837">
      <w:pPr>
        <w:pStyle w:val="NormalWeb"/>
        <w:spacing w:line="276" w:lineRule="auto"/>
        <w:jc w:val="center"/>
        <w:rPr>
          <w:sz w:val="20"/>
          <w:szCs w:val="20"/>
          <w:lang w:val="en-GB"/>
        </w:rPr>
      </w:pPr>
      <w:r w:rsidRPr="00B424FD">
        <w:rPr>
          <w:noProof/>
          <w:sz w:val="20"/>
          <w:szCs w:val="20"/>
          <w:lang w:val="en-GB"/>
          <w14:ligatures w14:val="standardContextual"/>
        </w:rPr>
        <w:lastRenderedPageBreak/>
        <w:drawing>
          <wp:inline distT="0" distB="0" distL="0" distR="0" wp14:anchorId="43ACC314" wp14:editId="292FE322">
            <wp:extent cx="3438371" cy="4572000"/>
            <wp:effectExtent l="0" t="0" r="3810" b="0"/>
            <wp:docPr id="1830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738" name="Picture 1830682738"/>
                    <pic:cNvPicPr/>
                  </pic:nvPicPr>
                  <pic:blipFill>
                    <a:blip r:embed="rId10"/>
                    <a:stretch>
                      <a:fillRect/>
                    </a:stretch>
                  </pic:blipFill>
                  <pic:spPr>
                    <a:xfrm>
                      <a:off x="0" y="0"/>
                      <a:ext cx="3438371" cy="4572000"/>
                    </a:xfrm>
                    <a:prstGeom prst="rect">
                      <a:avLst/>
                    </a:prstGeom>
                  </pic:spPr>
                </pic:pic>
              </a:graphicData>
            </a:graphic>
          </wp:inline>
        </w:drawing>
      </w:r>
    </w:p>
    <w:p w14:paraId="42CE73F8" w14:textId="0D9958A9" w:rsidR="001725A7" w:rsidRPr="00B424FD" w:rsidRDefault="009701A4" w:rsidP="003B3837">
      <w:pPr>
        <w:pStyle w:val="NormalWeb"/>
        <w:spacing w:line="276" w:lineRule="auto"/>
        <w:jc w:val="both"/>
        <w:rPr>
          <w:sz w:val="20"/>
          <w:szCs w:val="20"/>
          <w:lang w:val="en-GB"/>
        </w:rPr>
        <w:sectPr w:rsidR="001725A7" w:rsidRPr="00B424FD" w:rsidSect="00276DCE">
          <w:pgSz w:w="16838" w:h="11906" w:orient="landscape"/>
          <w:pgMar w:top="1440" w:right="1440" w:bottom="1440" w:left="1440" w:header="708" w:footer="708" w:gutter="0"/>
          <w:cols w:space="708"/>
          <w:docGrid w:linePitch="360"/>
        </w:sectPr>
      </w:pPr>
      <w:r w:rsidRPr="00B424FD">
        <w:rPr>
          <w:sz w:val="20"/>
          <w:szCs w:val="20"/>
          <w:lang w:val="en-GB"/>
        </w:rPr>
        <w:t xml:space="preserve">Fig. 1: </w:t>
      </w:r>
      <w:r w:rsidR="008925D7" w:rsidRPr="00B424FD">
        <w:rPr>
          <w:sz w:val="20"/>
          <w:szCs w:val="20"/>
          <w:lang w:val="en-GB"/>
        </w:rPr>
        <w:t>Strain-specific g</w:t>
      </w:r>
      <w:r w:rsidRPr="00B424FD">
        <w:rPr>
          <w:sz w:val="20"/>
          <w:szCs w:val="20"/>
          <w:lang w:val="en-GB"/>
        </w:rPr>
        <w:t>onorrhoea transmission model.</w:t>
      </w:r>
    </w:p>
    <w:p w14:paraId="2160432B" w14:textId="40C686AC" w:rsidR="00F9466C" w:rsidRPr="00B424FD" w:rsidRDefault="00F9466C"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Compartmental model equations</w:t>
      </w:r>
    </w:p>
    <w:p w14:paraId="3426AA3D" w14:textId="2E52B261" w:rsidR="00B26C1F"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oMath>
      </m:oMathPara>
    </w:p>
    <w:p w14:paraId="516BC5A3" w14:textId="53087CD9" w:rsidR="001725A7" w:rsidRPr="00B424FD" w:rsidRDefault="001725A7"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In August 2025, England launched the 4CMenB (Bexsero) vaccination programme aimed at reducing gonorrhoea transmission </w:t>
      </w:r>
      <w:r w:rsidRPr="00B424FD">
        <w:rPr>
          <w:rFonts w:ascii="Times New Roman" w:hAnsi="Times New Roman" w:cs="Times New Roman"/>
          <w:sz w:val="20"/>
          <w:szCs w:val="20"/>
          <w:lang w:val="en-GB"/>
        </w:rPr>
        <w:fldChar w:fldCharType="begin"/>
      </w:r>
      <w:r w:rsidR="009F30E1">
        <w:rPr>
          <w:rFonts w:ascii="Times New Roman" w:hAnsi="Times New Roman" w:cs="Times New Roman"/>
          <w:sz w:val="20"/>
          <w:szCs w:val="20"/>
          <w:lang w:val="en-GB"/>
        </w:rPr>
        <w:instrText xml:space="preserve"> ADDIN ZOTERO_ITEM CSL_CITATION {"citationID":"YQ6AUtSF","properties":{"formattedCitation":"[5]","plainCitation":"[5]","noteIndex":0},"citationItems":[{"id":437,"uris":["http://zotero.org/users/9663344/items/6QKYAFY5"],"itemData":{"id":437,"type":"webpage","container-title":"UK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Pr="00B424FD">
        <w:rPr>
          <w:rFonts w:ascii="Times New Roman" w:hAnsi="Times New Roman" w:cs="Times New Roman"/>
          <w:sz w:val="20"/>
          <w:szCs w:val="20"/>
          <w:lang w:val="en-GB"/>
        </w:rPr>
        <w:fldChar w:fldCharType="separate"/>
      </w:r>
      <w:r w:rsidR="009F30E1">
        <w:rPr>
          <w:rFonts w:ascii="Times New Roman" w:hAnsi="Times New Roman" w:cs="Times New Roman"/>
          <w:sz w:val="20"/>
          <w:szCs w:val="20"/>
          <w:lang w:val="en-GB"/>
        </w:rPr>
        <w:t>[5]</w:t>
      </w:r>
      <w:r w:rsidRPr="00B424FD">
        <w:rPr>
          <w:rFonts w:ascii="Times New Roman" w:hAnsi="Times New Roman" w:cs="Times New Roman"/>
          <w:sz w:val="20"/>
          <w:szCs w:val="20"/>
          <w:lang w:val="en-GB"/>
        </w:rPr>
        <w:fldChar w:fldCharType="end"/>
      </w:r>
      <w:r w:rsidRPr="00B424FD">
        <w:rPr>
          <w:rFonts w:ascii="Times New Roman" w:hAnsi="Times New Roman" w:cs="Times New Roman"/>
          <w:sz w:val="20"/>
          <w:szCs w:val="20"/>
          <w:lang w:val="en-GB"/>
        </w:rPr>
        <w:t>. The vaccine is recommended primarily for gay, bisexual, and other men who have sex with men (GBMSM) who are at elevated risk - specifically, individuals with a bacterial STI in the past year or those reporting five or more sexual partners within the previous three months.</w:t>
      </w:r>
    </w:p>
    <w:p w14:paraId="3CF9654F" w14:textId="402153E6" w:rsidR="00373D9B" w:rsidRPr="00B424FD" w:rsidRDefault="00373D9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t>We compared the observed annual number of gonorrhoea tests and diagnoses</w:t>
      </w:r>
      <w:r w:rsidR="00BF327B" w:rsidRPr="00B424FD">
        <w:rPr>
          <w:rFonts w:ascii="Times New Roman" w:hAnsi="Times New Roman" w:cs="Times New Roman"/>
          <w:color w:val="000000"/>
          <w:sz w:val="20"/>
          <w:szCs w:val="20"/>
          <w:lang w:val="en-GB"/>
        </w:rPr>
        <w:t xml:space="preserve"> in the </w:t>
      </w:r>
      <w:r w:rsidR="00A21F28" w:rsidRPr="00B424FD">
        <w:rPr>
          <w:rFonts w:ascii="Times New Roman" w:hAnsi="Times New Roman" w:cs="Times New Roman"/>
          <w:color w:val="000000"/>
          <w:sz w:val="20"/>
          <w:szCs w:val="20"/>
          <w:lang w:val="en-GB"/>
        </w:rPr>
        <w:t>Genitourinary Medicine Clinic Activity Dataset (</w:t>
      </w:r>
      <w:r w:rsidR="00BF327B" w:rsidRPr="00B424FD">
        <w:rPr>
          <w:rFonts w:ascii="Times New Roman" w:hAnsi="Times New Roman" w:cs="Times New Roman"/>
          <w:color w:val="000000"/>
          <w:sz w:val="20"/>
          <w:szCs w:val="20"/>
          <w:lang w:val="en-GB"/>
        </w:rPr>
        <w:t>GUMCAD</w:t>
      </w:r>
      <w:r w:rsidR="00A21F28" w:rsidRPr="00B424FD">
        <w:rPr>
          <w:rFonts w:ascii="Times New Roman" w:hAnsi="Times New Roman" w:cs="Times New Roman"/>
          <w:color w:val="000000"/>
          <w:sz w:val="20"/>
          <w:szCs w:val="20"/>
          <w:lang w:val="en-GB"/>
        </w:rPr>
        <w:t>)</w:t>
      </w:r>
      <w:r w:rsidR="00BF327B" w:rsidRPr="00B424FD">
        <w:rPr>
          <w:rFonts w:ascii="Times New Roman" w:hAnsi="Times New Roman" w:cs="Times New Roman"/>
          <w:color w:val="000000"/>
          <w:sz w:val="20"/>
          <w:szCs w:val="20"/>
          <w:lang w:val="en-GB"/>
        </w:rPr>
        <w:t xml:space="preserve"> sample</w:t>
      </w:r>
      <w:r w:rsidRPr="00B424FD">
        <w:rPr>
          <w:rFonts w:ascii="Times New Roman" w:hAnsi="Times New Roman" w:cs="Times New Roman"/>
          <w:color w:val="000000"/>
          <w:sz w:val="20"/>
          <w:szCs w:val="20"/>
          <w:lang w:val="en-GB"/>
        </w:rPr>
        <w:t>,</w:t>
      </w:r>
      <w:r w:rsidRPr="00B424FD">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iCs/>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w:t>
      </w:r>
      <w:r w:rsidRPr="00B424FD">
        <w:rPr>
          <w:rFonts w:ascii="Times New Roman" w:hAnsi="Times New Roman" w:cs="Times New Roman"/>
          <w:color w:val="000000"/>
          <w:sz w:val="20"/>
          <w:szCs w:val="20"/>
          <w:lang w:val="en-GB"/>
        </w:rPr>
        <w:t xml:space="preserve">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00000"/>
          <w:sz w:val="20"/>
          <w:szCs w:val="20"/>
          <w:lang w:val="en-GB"/>
        </w:rPr>
        <w:t xml:space="preserve"> using Negative-Binomial likelihoods to allow for over-dispersion in the observation process relative to a Poisson distribution.</w:t>
      </w:r>
      <w:r w:rsidRPr="00B424FD">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Pr="00B424FD">
        <w:rPr>
          <w:rFonts w:ascii="Times New Roman" w:hAnsi="Times New Roman" w:cs="Times New Roman"/>
          <w:sz w:val="20"/>
          <w:szCs w:val="20"/>
          <w:lang w:val="en-GB"/>
        </w:rPr>
        <w:t xml:space="preserve"> </w:t>
      </w:r>
      <w:r w:rsidRPr="00B424FD">
        <w:rPr>
          <w:rFonts w:ascii="Cambria Math" w:hAnsi="Cambria Math" w:cs="Cambria Math"/>
          <w:sz w:val="20"/>
          <w:szCs w:val="20"/>
          <w:lang w:val="en-GB"/>
        </w:rPr>
        <w:t>∼</w:t>
      </w:r>
      <w:r w:rsidRPr="00B424FD">
        <w:rPr>
          <w:rFonts w:ascii="Times New Roman" w:hAnsi="Times New Roman" w:cs="Times New Roman"/>
          <w:sz w:val="20"/>
          <w:szCs w:val="20"/>
          <w:lang w:val="en-GB"/>
        </w:rPr>
        <w:t xml:space="preserve"> </w:t>
      </w:r>
      <w:proofErr w:type="spellStart"/>
      <w:proofErr w:type="gramStart"/>
      <w:r w:rsidRPr="00B424FD">
        <w:rPr>
          <w:rFonts w:ascii="Times New Roman" w:hAnsi="Times New Roman" w:cs="Times New Roman"/>
          <w:sz w:val="20"/>
          <w:szCs w:val="20"/>
          <w:lang w:val="en-GB"/>
        </w:rPr>
        <w:t>NegBinom</w:t>
      </w:r>
      <w:proofErr w:type="spellEnd"/>
      <w:r w:rsidRPr="00B424FD">
        <w:rPr>
          <w:rFonts w:ascii="Times New Roman" w:hAnsi="Times New Roman" w:cs="Times New Roman"/>
          <w:sz w:val="20"/>
          <w:szCs w:val="20"/>
          <w:lang w:val="en-GB"/>
        </w:rPr>
        <w:t>(</w:t>
      </w:r>
      <w:proofErr w:type="gramEnd"/>
      <m:oMath>
        <m:r>
          <w:rPr>
            <w:rFonts w:ascii="Cambria Math" w:hAnsi="Cambria Math" w:cs="Times New Roman"/>
            <w:color w:val="0D0D0D"/>
            <w:sz w:val="20"/>
            <w:szCs w:val="20"/>
            <w:shd w:val="clear" w:color="auto" w:fill="FFFFFF"/>
            <w:lang w:val="en-GB"/>
          </w:rPr>
          <m:t>m</m:t>
        </m:r>
      </m:oMath>
      <w:r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xml:space="preserve">), with mean </w:t>
      </w:r>
      <m:oMath>
        <m:r>
          <w:rPr>
            <w:rFonts w:ascii="Cambria Math" w:hAnsi="Cambria Math" w:cs="Times New Roman"/>
            <w:color w:val="0D0D0D"/>
            <w:sz w:val="20"/>
            <w:szCs w:val="20"/>
            <w:shd w:val="clear" w:color="auto" w:fill="FFFFFF"/>
            <w:lang w:val="en-GB"/>
          </w:rPr>
          <m:t>m</m:t>
        </m:r>
      </m:oMath>
      <w:r w:rsidRPr="00B424FD">
        <w:rPr>
          <w:rFonts w:ascii="Times New Roman" w:hAnsi="Times New Roman" w:cs="Times New Roman"/>
          <w:sz w:val="20"/>
          <w:szCs w:val="20"/>
          <w:lang w:val="en-GB"/>
        </w:rPr>
        <w:t xml:space="preserve"> and shape parameter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then:</w:t>
      </w:r>
    </w:p>
    <w:p w14:paraId="46B06941" w14:textId="708657CA" w:rsidR="00373D9B" w:rsidRPr="00B424FD" w:rsidRDefault="00000000" w:rsidP="003B3837">
      <w:pPr>
        <w:pStyle w:val="ListParagraph"/>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m,κ</m:t>
                  </m:r>
                </m:e>
              </m:d>
              <m:r>
                <w:rPr>
                  <w:rFonts w:ascii="Cambria Math" w:hAnsi="Cambria Math" w:cs="Times New Roman"/>
                  <w:color w:val="0D0D0D"/>
                  <w:sz w:val="20"/>
                  <w:szCs w:val="20"/>
                  <w:shd w:val="clear" w:color="auto" w:fill="FFFFFF"/>
                  <w:lang w:val="en-GB"/>
                </w:rPr>
                <m:t>=</m:t>
              </m:r>
              <m:f>
                <m:fPr>
                  <m:ctrlPr>
                    <w:rPr>
                      <w:rFonts w:ascii="Cambria Math" w:hAnsi="Cambria Math" w:cs="Times New Roman"/>
                      <w:i/>
                      <w:color w:val="0D0D0D"/>
                      <w:sz w:val="20"/>
                      <w:szCs w:val="20"/>
                      <w:shd w:val="clear" w:color="auto" w:fill="FFFFFF"/>
                      <w:lang w:val="en-GB"/>
                    </w:rPr>
                  </m:ctrlPr>
                </m:fPr>
                <m:num>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κ+x</m:t>
                      </m:r>
                    </m:e>
                  </m:d>
                </m:num>
                <m:den>
                  <m:r>
                    <w:rPr>
                      <w:rFonts w:ascii="Cambria Math" w:hAnsi="Cambria Math" w:cs="Times New Roman"/>
                      <w:color w:val="0D0D0D"/>
                      <w:sz w:val="20"/>
                      <w:szCs w:val="20"/>
                      <w:shd w:val="clear" w:color="auto" w:fill="FFFFFF"/>
                      <w:lang w:val="en-GB"/>
                    </w:rPr>
                    <m:t>x!</m:t>
                  </m:r>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κ</m:t>
                      </m:r>
                    </m:e>
                  </m:d>
                </m:den>
              </m:f>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κ</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κ</m:t>
                  </m:r>
                </m:sup>
              </m:sSup>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m</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x</m:t>
                  </m:r>
                </m:sup>
              </m:sSup>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e>
              </m:d>
            </m:e>
          </m:eqArr>
        </m:oMath>
      </m:oMathPara>
    </w:p>
    <w:p w14:paraId="78C2CF7B" w14:textId="42CCFCEF" w:rsidR="00373D9B" w:rsidRPr="00B424FD" w:rsidRDefault="00373D9B"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lastRenderedPageBreak/>
        <w:t xml:space="preserve">where the shape parameter characterises the level of clustering or heterogeneity in the observation process, and </w:t>
      </w:r>
      <m:oMath>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m:t>
            </m:r>
          </m:e>
        </m:d>
      </m:oMath>
      <w:r w:rsidRPr="00B424FD">
        <w:rPr>
          <w:rFonts w:ascii="Times New Roman" w:hAnsi="Times New Roman" w:cs="Times New Roman"/>
          <w:sz w:val="20"/>
          <w:szCs w:val="20"/>
          <w:lang w:val="en-GB"/>
        </w:rPr>
        <w:t xml:space="preserve"> is the Gamma function. Under the </w:t>
      </w:r>
      <w:r w:rsidR="000B2196" w:rsidRPr="00B424FD">
        <w:rPr>
          <w:rFonts w:ascii="Times New Roman" w:hAnsi="Times New Roman" w:cs="Times New Roman"/>
          <w:sz w:val="20"/>
          <w:szCs w:val="20"/>
          <w:lang w:val="en-GB"/>
        </w:rPr>
        <w:t>N</w:t>
      </w:r>
      <w:r w:rsidRPr="00B424FD">
        <w:rPr>
          <w:rFonts w:ascii="Times New Roman" w:hAnsi="Times New Roman" w:cs="Times New Roman"/>
          <w:sz w:val="20"/>
          <w:szCs w:val="20"/>
          <w:lang w:val="en-GB"/>
        </w:rPr>
        <w:t>egative</w:t>
      </w:r>
      <w:r w:rsidR="000B2196" w:rsidRPr="00B424FD">
        <w:rPr>
          <w:rFonts w:ascii="Times New Roman" w:hAnsi="Times New Roman" w:cs="Times New Roman"/>
          <w:sz w:val="20"/>
          <w:szCs w:val="20"/>
          <w:lang w:val="en-GB"/>
        </w:rPr>
        <w:t>-B</w:t>
      </w:r>
      <w:r w:rsidRPr="00B424FD">
        <w:rPr>
          <w:rFonts w:ascii="Times New Roman" w:hAnsi="Times New Roman" w:cs="Times New Roman"/>
          <w:sz w:val="20"/>
          <w:szCs w:val="20"/>
          <w:lang w:val="en-GB"/>
        </w:rPr>
        <w:t>inomial distribution</w:t>
      </w:r>
      <w:r w:rsidR="000B2196" w:rsidRPr="00B424FD">
        <w:rPr>
          <w:rFonts w:ascii="Times New Roman" w:hAnsi="Times New Roman" w:cs="Times New Roman"/>
          <w:sz w:val="20"/>
          <w:szCs w:val="20"/>
          <w:lang w:val="en-GB"/>
        </w:rPr>
        <w:t>,</w:t>
      </w:r>
      <w:r w:rsidRPr="00B424FD">
        <w:rPr>
          <w:rFonts w:ascii="Times New Roman" w:hAnsi="Times New Roman" w:cs="Times New Roman"/>
          <w:sz w:val="20"/>
          <w:szCs w:val="20"/>
          <w:lang w:val="en-GB"/>
        </w:rPr>
        <w:t xml:space="preserve"> </w:t>
      </w:r>
      <w:r w:rsidR="000B2196" w:rsidRPr="00B424FD">
        <w:rPr>
          <w:rFonts w:ascii="Times New Roman" w:hAnsi="Times New Roman" w:cs="Times New Roman"/>
          <w:color w:val="0D0D0D"/>
          <w:sz w:val="20"/>
          <w:szCs w:val="20"/>
          <w:shd w:val="clear" w:color="auto" w:fill="FFFFFF"/>
          <w:lang w:val="en-GB"/>
        </w:rPr>
        <w:t xml:space="preserve">the variance of </w:t>
      </w:r>
      <m:oMath>
        <m:r>
          <w:rPr>
            <w:rFonts w:ascii="Cambria Math" w:hAnsi="Cambria Math" w:cs="Times New Roman"/>
            <w:color w:val="0D0D0D"/>
            <w:sz w:val="20"/>
            <w:szCs w:val="20"/>
            <w:shd w:val="clear" w:color="auto" w:fill="FFFFFF"/>
            <w:lang w:val="en-GB"/>
          </w:rPr>
          <m:t>X</m:t>
        </m:r>
      </m:oMath>
      <w:r w:rsidR="000B2196" w:rsidRPr="00B424FD">
        <w:rPr>
          <w:rFonts w:ascii="Times New Roman" w:hAnsi="Times New Roman" w:cs="Times New Roman"/>
          <w:color w:val="0D0D0D"/>
          <w:sz w:val="20"/>
          <w:szCs w:val="20"/>
          <w:shd w:val="clear" w:color="auto" w:fill="FFFFFF"/>
          <w:lang w:val="en-GB"/>
        </w:rPr>
        <w:t xml:space="preserve"> is </w:t>
      </w:r>
      <m:oMath>
        <m:r>
          <w:rPr>
            <w:rFonts w:ascii="Cambria Math" w:hAnsi="Cambria Math" w:cs="Times New Roman"/>
            <w:sz w:val="20"/>
            <w:szCs w:val="20"/>
            <w:lang w:val="en-GB"/>
          </w:rPr>
          <m:t>Var</m:t>
        </m:r>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X</m:t>
            </m:r>
          </m:e>
        </m:d>
        <m:r>
          <w:rPr>
            <w:rFonts w:ascii="Cambria Math" w:hAnsi="Cambria Math" w:cs="Times New Roman"/>
            <w:sz w:val="20"/>
            <w:szCs w:val="20"/>
            <w:lang w:val="en-GB"/>
          </w:rPr>
          <m:t>=m+</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m</m:t>
            </m:r>
          </m:e>
          <m:sup>
            <m:r>
              <w:rPr>
                <w:rFonts w:ascii="Cambria Math" w:hAnsi="Cambria Math" w:cs="Times New Roman"/>
                <w:sz w:val="20"/>
                <w:szCs w:val="20"/>
                <w:lang w:val="en-GB"/>
              </w:rPr>
              <m:t>2</m:t>
            </m:r>
          </m:sup>
        </m:sSup>
        <m:r>
          <m:rPr>
            <m:lit/>
          </m:rPr>
          <w:rPr>
            <w:rFonts w:ascii="Cambria Math" w:hAnsi="Cambria Math" w:cs="Times New Roman"/>
            <w:sz w:val="20"/>
            <w:szCs w:val="20"/>
            <w:lang w:val="en-GB"/>
          </w:rPr>
          <m:t>/</m:t>
        </m:r>
        <m:r>
          <w:rPr>
            <w:rFonts w:ascii="Cambria Math" w:hAnsi="Cambria Math" w:cs="Times New Roman"/>
            <w:sz w:val="20"/>
            <w:szCs w:val="20"/>
            <w:lang w:val="en-GB"/>
          </w:rPr>
          <m:t>k</m:t>
        </m:r>
      </m:oMath>
      <w:r w:rsidRPr="00B424FD">
        <w:rPr>
          <w:rFonts w:ascii="Times New Roman" w:hAnsi="Times New Roman" w:cs="Times New Roman"/>
          <w:sz w:val="20"/>
          <w:szCs w:val="20"/>
          <w:lang w:val="en-GB"/>
        </w:rPr>
        <w:t>.</w:t>
      </w:r>
    </w:p>
    <w:p w14:paraId="649E9EF6" w14:textId="656CBB46" w:rsidR="00373D9B" w:rsidRPr="00B424FD" w:rsidRDefault="00373D9B"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The </w:t>
      </w:r>
      <w:r w:rsidR="00BF7575" w:rsidRPr="00B424FD">
        <w:rPr>
          <w:rFonts w:ascii="Times New Roman" w:hAnsi="Times New Roman" w:cs="Times New Roman"/>
          <w:sz w:val="20"/>
          <w:szCs w:val="20"/>
          <w:lang w:val="en-GB"/>
        </w:rPr>
        <w:t>observation processes</w:t>
      </w:r>
      <w:r w:rsidRPr="00B424FD">
        <w:rPr>
          <w:rFonts w:ascii="Times New Roman" w:hAnsi="Times New Roman" w:cs="Times New Roman"/>
          <w:sz w:val="20"/>
          <w:szCs w:val="20"/>
          <w:lang w:val="en-GB"/>
        </w:rPr>
        <w:t xml:space="preserve"> of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Z</m:t>
            </m:r>
          </m:e>
          <m:sub>
            <m:r>
              <w:rPr>
                <w:rFonts w:ascii="Cambria Math" w:hAnsi="Cambria Math" w:cs="Times New Roman"/>
                <w:sz w:val="20"/>
                <w:szCs w:val="20"/>
                <w:lang w:val="en-GB"/>
              </w:rPr>
              <m:t>T</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26C1F" w:rsidRPr="00B424FD">
        <w:rPr>
          <w:rFonts w:ascii="Times New Roman" w:hAnsi="Times New Roman" w:cs="Times New Roman"/>
          <w:sz w:val="20"/>
          <w:szCs w:val="20"/>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for each strain (i.e.,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B424FD">
        <w:rPr>
          <w:rFonts w:ascii="Times New Roman" w:hAnsi="Times New Roman" w:cs="Times New Roman"/>
          <w:color w:val="0D0D0D"/>
          <w:sz w:val="20"/>
          <w:szCs w:val="20"/>
          <w:shd w:val="clear" w:color="auto" w:fill="FFFFFF"/>
          <w:lang w:val="en-GB"/>
        </w:rPr>
        <w:t xml:space="preserve">), </w:t>
      </w:r>
      <w:r w:rsidR="00A26C1F" w:rsidRPr="00B424FD">
        <w:rPr>
          <w:rFonts w:ascii="Times New Roman" w:hAnsi="Times New Roman" w:cs="Times New Roman"/>
          <w:sz w:val="20"/>
          <w:szCs w:val="20"/>
          <w:lang w:val="en-GB"/>
        </w:rPr>
        <w:t>are</w:t>
      </w:r>
      <w:r w:rsidRPr="00B424FD">
        <w:rPr>
          <w:rFonts w:ascii="Times New Roman" w:hAnsi="Times New Roman" w:cs="Times New Roman"/>
          <w:sz w:val="20"/>
          <w:szCs w:val="20"/>
          <w:lang w:val="en-GB"/>
        </w:rPr>
        <w:t>:</w:t>
      </w:r>
    </w:p>
    <w:p w14:paraId="3445382E" w14:textId="75836A5B" w:rsidR="00373D9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#(2)</m:t>
                  </m:r>
                </m:e>
              </m:eqArr>
              <m:r>
                <w:rPr>
                  <w:rFonts w:ascii="Cambria Math" w:hAnsi="Cambria Math" w:cs="Times New Roman"/>
                  <w:color w:val="0D0D0D"/>
                  <w:sz w:val="20"/>
                  <w:szCs w:val="20"/>
                  <w:shd w:val="clear" w:color="auto" w:fill="FFFFFF"/>
                  <w:lang w:val="en-GB"/>
                </w:rPr>
                <m:t>#</m:t>
              </m:r>
            </m:e>
          </m:eqArr>
        </m:oMath>
      </m:oMathPara>
    </w:p>
    <w:p w14:paraId="7B8989CA" w14:textId="22B028E0"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m:t>
                  </m:r>
                </m:e>
              </m:d>
            </m:e>
          </m:eqArr>
        </m:oMath>
      </m:oMathPara>
    </w:p>
    <w:p w14:paraId="5B283957" w14:textId="7B92515D"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4</m:t>
                  </m:r>
                </m:e>
              </m:d>
            </m:e>
          </m:eqArr>
        </m:oMath>
      </m:oMathPara>
    </w:p>
    <w:p w14:paraId="23FC7EDA" w14:textId="6CBFB7B1"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5</m:t>
                  </m:r>
                </m:e>
              </m:d>
            </m:e>
          </m:eqArr>
        </m:oMath>
      </m:oMathPara>
    </w:p>
    <w:p w14:paraId="0FADA385" w14:textId="4913454A" w:rsidR="00BF327B" w:rsidRPr="00B424FD"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6</m:t>
                  </m:r>
                </m:e>
              </m:d>
            </m:e>
          </m:eqArr>
        </m:oMath>
      </m:oMathPara>
    </w:p>
    <w:p w14:paraId="17BE8868" w14:textId="38B220DE" w:rsidR="00666618"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where</w:t>
      </w:r>
      <w:r w:rsidRPr="00B424FD">
        <w:rPr>
          <w:rFonts w:ascii="Times New Roman" w:hAnsi="Times New Roman" w:cs="Times New Roman"/>
          <w:color w:val="0D0D0D"/>
          <w:sz w:val="20"/>
          <w:szCs w:val="20"/>
          <w:shd w:val="clear" w:color="auto" w:fill="FFFFFF"/>
          <w:lang w:val="en-GB"/>
        </w:rPr>
        <w:br/>
      </w: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eqArr>
                            <m:eqArrPr>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e>
                            <m:e>
                              <m:r>
                                <w:rPr>
                                  <w:rFonts w:ascii="Cambria Math" w:hAnsi="Cambria Math" w:cs="Times New Roman"/>
                                  <w:color w:val="0D0D0D"/>
                                  <w:sz w:val="20"/>
                                  <w:szCs w:val="20"/>
                                  <w:shd w:val="clear" w:color="auto" w:fill="FFFFFF"/>
                                  <w:lang w:val="en-GB"/>
                                </w:rPr>
                                <m:t>+ 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eqAr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8</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9</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10</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m:t>
                  </m:r>
                </m:e>
              </m:d>
            </m:e>
          </m:eqArr>
        </m:oMath>
      </m:oMathPara>
    </w:p>
    <w:p w14:paraId="4D388520" w14:textId="083D54B8" w:rsidR="00373D9B"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B424FD">
        <w:rPr>
          <w:rFonts w:ascii="Times New Roman" w:hAnsi="Times New Roman" w:cs="Times New Roman"/>
          <w:color w:val="0D0D0D"/>
          <w:sz w:val="20"/>
          <w:szCs w:val="20"/>
          <w:shd w:val="clear" w:color="auto" w:fill="FFFFFF"/>
          <w:lang w:val="en-GB"/>
        </w:rPr>
        <w:t xml:space="preserve"> denotes the time variable of integration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oMath>
      <w:r w:rsidR="001F6852" w:rsidRPr="00B424FD">
        <w:rPr>
          <w:rFonts w:ascii="Times New Roman" w:hAnsi="Times New Roman" w:cs="Times New Roman"/>
          <w:iCs/>
          <w:color w:val="0D0D0D"/>
          <w:sz w:val="20"/>
          <w:szCs w:val="20"/>
          <w:shd w:val="clear" w:color="auto" w:fill="FFFFFF"/>
          <w:lang w:val="en-GB"/>
        </w:rPr>
        <w:t xml:space="preserve"> </w:t>
      </w:r>
      <w:r w:rsidRPr="00B424FD">
        <w:rPr>
          <w:rFonts w:ascii="Times New Roman" w:hAnsi="Times New Roman" w:cs="Times New Roman"/>
          <w:color w:val="0D0D0D"/>
          <w:sz w:val="20"/>
          <w:szCs w:val="20"/>
          <w:shd w:val="clear" w:color="auto" w:fill="FFFFFF"/>
          <w:lang w:val="en-GB"/>
        </w:rPr>
        <w:t xml:space="preserve">denotes the </w:t>
      </w:r>
      <w:r w:rsidR="001F6852" w:rsidRPr="00B424FD">
        <w:rPr>
          <w:rFonts w:ascii="Times New Roman" w:hAnsi="Times New Roman" w:cs="Times New Roman"/>
          <w:color w:val="0D0D0D"/>
          <w:sz w:val="20"/>
          <w:szCs w:val="20"/>
          <w:shd w:val="clear" w:color="auto" w:fill="FFFFFF"/>
          <w:lang w:val="en-GB"/>
        </w:rPr>
        <w:t xml:space="preserve">shared </w:t>
      </w:r>
      <w:r w:rsidRPr="00B424FD">
        <w:rPr>
          <w:rFonts w:ascii="Times New Roman" w:hAnsi="Times New Roman" w:cs="Times New Roman"/>
          <w:color w:val="0D0D0D"/>
          <w:sz w:val="20"/>
          <w:szCs w:val="20"/>
          <w:shd w:val="clear" w:color="auto" w:fill="FFFFFF"/>
          <w:lang w:val="en-GB"/>
        </w:rPr>
        <w:t>shape parameter</w:t>
      </w:r>
      <w:r w:rsidR="00BF327B" w:rsidRPr="00B424FD">
        <w:rPr>
          <w:rFonts w:ascii="Times New Roman" w:hAnsi="Times New Roman" w:cs="Times New Roman"/>
          <w:color w:val="0D0D0D"/>
          <w:sz w:val="20"/>
          <w:szCs w:val="20"/>
          <w:shd w:val="clear" w:color="auto" w:fill="FFFFFF"/>
          <w:lang w:val="en-GB"/>
        </w:rPr>
        <w:t xml:space="preserve"> for GUMCAD data streams</w:t>
      </w:r>
      <w:r w:rsidRPr="00B424FD">
        <w:rPr>
          <w:rFonts w:ascii="Times New Roman" w:hAnsi="Times New Roman" w:cs="Times New Roman"/>
          <w:color w:val="0D0D0D"/>
          <w:sz w:val="20"/>
          <w:szCs w:val="20"/>
          <w:shd w:val="clear" w:color="auto" w:fill="FFFFFF"/>
          <w:lang w:val="en-GB"/>
        </w:rPr>
        <w:t>.</w:t>
      </w:r>
    </w:p>
    <w:p w14:paraId="51FC9C33" w14:textId="79E2AAB9" w:rsidR="003C1F45" w:rsidRPr="00B424FD" w:rsidRDefault="003C1F45"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t xml:space="preserve">We compared the observed annual number of symptomatic gonorrhoea diagnoses in the </w:t>
      </w:r>
      <w:r w:rsidR="0084213D" w:rsidRPr="00B424FD">
        <w:rPr>
          <w:rFonts w:ascii="Times New Roman" w:hAnsi="Times New Roman" w:cs="Times New Roman"/>
          <w:color w:val="000000"/>
          <w:sz w:val="20"/>
          <w:szCs w:val="20"/>
          <w:lang w:val="en-GB"/>
        </w:rPr>
        <w:t>Gonococcal Resistance to Antimicrobials Surveillance Program (</w:t>
      </w:r>
      <w:r w:rsidRPr="00B424FD">
        <w:rPr>
          <w:rFonts w:ascii="Times New Roman" w:hAnsi="Times New Roman" w:cs="Times New Roman"/>
          <w:color w:val="000000"/>
          <w:sz w:val="20"/>
          <w:szCs w:val="20"/>
          <w:lang w:val="en-GB"/>
        </w:rPr>
        <w:t>GRASP</w:t>
      </w:r>
      <w:r w:rsidR="0084213D" w:rsidRPr="00B424FD">
        <w:rPr>
          <w:rFonts w:ascii="Times New Roman" w:hAnsi="Times New Roman" w:cs="Times New Roman"/>
          <w:color w:val="000000"/>
          <w:sz w:val="20"/>
          <w:szCs w:val="20"/>
          <w:lang w:val="en-GB"/>
        </w:rPr>
        <w:t>)</w:t>
      </w:r>
      <w:r w:rsidRPr="00B424FD">
        <w:rPr>
          <w:rFonts w:ascii="Times New Roman" w:hAnsi="Times New Roman" w:cs="Times New Roman"/>
          <w:color w:val="000000"/>
          <w:sz w:val="20"/>
          <w:szCs w:val="20"/>
          <w:lang w:val="en-GB"/>
        </w:rPr>
        <w:t xml:space="preserve"> sample,</w:t>
      </w:r>
      <w:r w:rsidRPr="00B424FD">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iCs/>
          <w:color w:val="0D0D0D"/>
          <w:sz w:val="20"/>
          <w:szCs w:val="20"/>
          <w:shd w:val="clear" w:color="auto" w:fill="FFFFFF"/>
          <w:lang w:val="en-GB"/>
        </w:rPr>
        <w:t>,</w:t>
      </w:r>
      <w:r w:rsidRPr="00B424FD">
        <w:rPr>
          <w:rFonts w:ascii="Times New Roman" w:hAnsi="Times New Roman" w:cs="Times New Roman"/>
          <w:color w:val="000000"/>
          <w:sz w:val="20"/>
          <w:szCs w:val="20"/>
          <w:lang w:val="en-GB"/>
        </w:rPr>
        <w:t xml:space="preserve"> 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w:t>
      </w:r>
      <w:r w:rsidRPr="00B424FD">
        <w:rPr>
          <w:rFonts w:ascii="Times New Roman" w:hAnsi="Times New Roman" w:cs="Times New Roman"/>
          <w:color w:val="000000"/>
          <w:sz w:val="20"/>
          <w:szCs w:val="20"/>
          <w:lang w:val="en-GB"/>
        </w:rPr>
        <w:t xml:space="preserve">using </w:t>
      </w:r>
      <w:r w:rsidR="0079342B" w:rsidRPr="00B424FD">
        <w:rPr>
          <w:rFonts w:ascii="Times New Roman" w:hAnsi="Times New Roman" w:cs="Times New Roman"/>
          <w:color w:val="000000"/>
          <w:sz w:val="20"/>
          <w:szCs w:val="20"/>
          <w:lang w:val="en-GB"/>
        </w:rPr>
        <w:t>a Beta</w:t>
      </w:r>
      <w:r w:rsidRPr="00B424FD">
        <w:rPr>
          <w:rFonts w:ascii="Times New Roman" w:hAnsi="Times New Roman" w:cs="Times New Roman"/>
          <w:color w:val="000000"/>
          <w:sz w:val="20"/>
          <w:szCs w:val="20"/>
          <w:lang w:val="en-GB"/>
        </w:rPr>
        <w:t xml:space="preserve">-Binomial </w:t>
      </w:r>
      <w:r w:rsidR="0079342B" w:rsidRPr="00B424FD">
        <w:rPr>
          <w:rFonts w:ascii="Times New Roman" w:hAnsi="Times New Roman" w:cs="Times New Roman"/>
          <w:color w:val="000000"/>
          <w:sz w:val="20"/>
          <w:szCs w:val="20"/>
          <w:lang w:val="en-GB"/>
        </w:rPr>
        <w:t>likelihood</w:t>
      </w:r>
      <w:r w:rsidRPr="00B424FD">
        <w:rPr>
          <w:rFonts w:ascii="Times New Roman" w:hAnsi="Times New Roman" w:cs="Times New Roman"/>
          <w:color w:val="000000"/>
          <w:sz w:val="20"/>
          <w:szCs w:val="20"/>
          <w:lang w:val="en-GB"/>
        </w:rPr>
        <w:t>.</w:t>
      </w:r>
      <w:r w:rsidRPr="00B424FD">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Pr="00B424FD">
        <w:rPr>
          <w:rFonts w:ascii="Times New Roman" w:hAnsi="Times New Roman" w:cs="Times New Roman"/>
          <w:sz w:val="20"/>
          <w:szCs w:val="20"/>
          <w:lang w:val="en-GB"/>
        </w:rPr>
        <w:t xml:space="preserve"> </w:t>
      </w:r>
      <w:r w:rsidRPr="00B424FD">
        <w:rPr>
          <w:rFonts w:ascii="Cambria Math" w:hAnsi="Cambria Math" w:cs="Cambria Math"/>
          <w:sz w:val="20"/>
          <w:szCs w:val="20"/>
          <w:lang w:val="en-GB"/>
        </w:rPr>
        <w:t>∼</w:t>
      </w:r>
      <w:r w:rsidRPr="00B424FD">
        <w:rPr>
          <w:rFonts w:ascii="Times New Roman" w:hAnsi="Times New Roman" w:cs="Times New Roman"/>
          <w:sz w:val="20"/>
          <w:szCs w:val="20"/>
          <w:lang w:val="en-GB"/>
        </w:rPr>
        <w:t xml:space="preserve"> </w:t>
      </w:r>
      <w:proofErr w:type="spellStart"/>
      <w:proofErr w:type="gramStart"/>
      <w:r w:rsidR="0079342B" w:rsidRPr="00B424FD">
        <w:rPr>
          <w:rFonts w:ascii="Times New Roman" w:hAnsi="Times New Roman" w:cs="Times New Roman"/>
          <w:sz w:val="20"/>
          <w:szCs w:val="20"/>
          <w:lang w:val="en-GB"/>
        </w:rPr>
        <w:t>Beta</w:t>
      </w:r>
      <w:r w:rsidRPr="00B424FD">
        <w:rPr>
          <w:rFonts w:ascii="Times New Roman" w:hAnsi="Times New Roman" w:cs="Times New Roman"/>
          <w:sz w:val="20"/>
          <w:szCs w:val="20"/>
          <w:lang w:val="en-GB"/>
        </w:rPr>
        <w:t>Binom</w:t>
      </w:r>
      <w:proofErr w:type="spellEnd"/>
      <w:r w:rsidRPr="00B424FD">
        <w:rPr>
          <w:rFonts w:ascii="Times New Roman" w:hAnsi="Times New Roman" w:cs="Times New Roman"/>
          <w:sz w:val="20"/>
          <w:szCs w:val="20"/>
          <w:lang w:val="en-GB"/>
        </w:rPr>
        <w:t>(</w:t>
      </w:r>
      <w:proofErr w:type="gramEnd"/>
      <m:oMath>
        <m:r>
          <w:rPr>
            <w:rFonts w:ascii="Cambria Math" w:hAnsi="Cambria Math" w:cs="Times New Roman"/>
            <w:sz w:val="20"/>
            <w:szCs w:val="20"/>
            <w:lang w:val="en-GB"/>
          </w:rPr>
          <m:t>n</m:t>
        </m:r>
      </m:oMath>
      <w:r w:rsidRPr="00B424FD">
        <w:rPr>
          <w:rFonts w:ascii="Times New Roman" w:hAnsi="Times New Roman" w:cs="Times New Roman"/>
          <w:sz w:val="20"/>
          <w:szCs w:val="20"/>
          <w:lang w:val="en-GB"/>
        </w:rPr>
        <w:t>,</w:t>
      </w:r>
      <w:r w:rsidR="0079342B" w:rsidRPr="00B424FD">
        <w:rPr>
          <w:rFonts w:ascii="Cambria Math" w:hAnsi="Cambria Math" w:cs="Times New Roman"/>
          <w:i/>
          <w:sz w:val="20"/>
          <w:szCs w:val="20"/>
          <w:lang w:val="en-GB"/>
        </w:rPr>
        <w:t xml:space="preserve"> </w:t>
      </w:r>
      <m:oMath>
        <m:r>
          <w:rPr>
            <w:rFonts w:ascii="Cambria Math" w:hAnsi="Cambria Math" w:cs="Times New Roman"/>
            <w:sz w:val="20"/>
            <w:szCs w:val="20"/>
            <w:lang w:val="en-GB"/>
          </w:rPr>
          <m:t>p</m:t>
        </m:r>
      </m:oMath>
      <w:r w:rsidR="0079342B"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xml:space="preserve">), with </w:t>
      </w:r>
      <w:r w:rsidR="0079342B" w:rsidRPr="00B424FD">
        <w:rPr>
          <w:rFonts w:ascii="Times New Roman" w:hAnsi="Times New Roman" w:cs="Times New Roman"/>
          <w:sz w:val="20"/>
          <w:szCs w:val="20"/>
          <w:lang w:val="en-GB"/>
        </w:rPr>
        <w:t xml:space="preserve">size </w:t>
      </w:r>
      <m:oMath>
        <m:r>
          <w:rPr>
            <w:rFonts w:ascii="Cambria Math" w:hAnsi="Cambria Math" w:cs="Times New Roman"/>
            <w:sz w:val="20"/>
            <w:szCs w:val="20"/>
            <w:lang w:val="en-GB"/>
          </w:rPr>
          <m:t>n</m:t>
        </m:r>
      </m:oMath>
      <w:r w:rsidR="0079342B" w:rsidRPr="00B424FD">
        <w:rPr>
          <w:rFonts w:ascii="Times New Roman" w:hAnsi="Times New Roman" w:cs="Times New Roman"/>
          <w:sz w:val="20"/>
          <w:szCs w:val="20"/>
          <w:lang w:val="en-GB"/>
        </w:rPr>
        <w:t xml:space="preserve">, probability </w:t>
      </w:r>
      <m:oMath>
        <m:r>
          <w:rPr>
            <w:rFonts w:ascii="Cambria Math" w:hAnsi="Cambria Math" w:cs="Times New Roman"/>
            <w:sz w:val="20"/>
            <w:szCs w:val="20"/>
            <w:lang w:val="en-GB"/>
          </w:rPr>
          <m:t>p</m:t>
        </m:r>
      </m:oMath>
      <w:r w:rsidR="0079342B" w:rsidRPr="00B424FD">
        <w:rPr>
          <w:rFonts w:ascii="Times New Roman" w:hAnsi="Times New Roman" w:cs="Times New Roman"/>
          <w:sz w:val="20"/>
          <w:szCs w:val="20"/>
          <w:lang w:val="en-GB"/>
        </w:rPr>
        <w:t xml:space="preserve"> </w:t>
      </w:r>
      <w:r w:rsidRPr="00B424FD">
        <w:rPr>
          <w:rFonts w:ascii="Times New Roman" w:hAnsi="Times New Roman" w:cs="Times New Roman"/>
          <w:sz w:val="20"/>
          <w:szCs w:val="20"/>
          <w:lang w:val="en-GB"/>
        </w:rPr>
        <w:t xml:space="preserve">and </w:t>
      </w:r>
      <w:r w:rsidR="0079342B" w:rsidRPr="00B424FD">
        <w:rPr>
          <w:rFonts w:ascii="Times New Roman" w:hAnsi="Times New Roman" w:cs="Times New Roman"/>
          <w:sz w:val="20"/>
          <w:szCs w:val="20"/>
          <w:lang w:val="en-GB"/>
        </w:rPr>
        <w:t>over-dispersion</w:t>
      </w:r>
      <w:r w:rsidRPr="00B424FD">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Pr="00B424FD">
        <w:rPr>
          <w:rFonts w:ascii="Times New Roman" w:hAnsi="Times New Roman" w:cs="Times New Roman"/>
          <w:sz w:val="20"/>
          <w:szCs w:val="20"/>
          <w:lang w:val="en-GB"/>
        </w:rPr>
        <w:t>, then:</w:t>
      </w:r>
    </w:p>
    <w:p w14:paraId="49884553" w14:textId="468B5D64" w:rsidR="003C1F45" w:rsidRPr="00B424FD"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n,p,</m:t>
                  </m:r>
                  <m:r>
                    <m:rPr>
                      <m:sty m:val="p"/>
                    </m:rPr>
                    <w:rPr>
                      <w:rFonts w:ascii="Cambria Math" w:hAnsi="Cambria Math" w:cs="Times New Roman"/>
                      <w:color w:val="0D0D0D"/>
                      <w:sz w:val="20"/>
                      <w:szCs w:val="20"/>
                      <w:shd w:val="clear" w:color="auto" w:fill="FFFFFF"/>
                      <w:lang w:val="en-GB"/>
                    </w:rPr>
                    <m:t>κ</m:t>
                  </m:r>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f>
                    <m:fPr>
                      <m:type m:val="noBa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n</m:t>
                      </m:r>
                    </m:num>
                    <m:den>
                      <m:r>
                        <w:rPr>
                          <w:rFonts w:ascii="Cambria Math" w:hAnsi="Cambria Math" w:cs="Times New Roman"/>
                          <w:color w:val="0D0D0D"/>
                          <w:sz w:val="20"/>
                          <w:szCs w:val="20"/>
                          <w:shd w:val="clear" w:color="auto" w:fill="FFFFFF"/>
                          <w:lang w:val="en-GB"/>
                        </w:rPr>
                        <m:t>x</m:t>
                      </m:r>
                    </m:den>
                  </m:f>
                </m:e>
              </m:d>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x+a,n-x+b</m:t>
                      </m:r>
                    </m:e>
                  </m:d>
                  <m:ctrlPr>
                    <w:rPr>
                      <w:rFonts w:ascii="Cambria Math" w:hAnsi="Cambria Math" w:cs="Times New Roman"/>
                      <w:i/>
                      <w:color w:val="0D0D0D"/>
                      <w:sz w:val="20"/>
                      <w:szCs w:val="20"/>
                      <w:shd w:val="clear" w:color="auto" w:fill="FFFFFF"/>
                      <w:lang w:val="en-GB"/>
                    </w:rPr>
                  </m:ctrlPr>
                </m:num>
                <m:den>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a,b</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12</m:t>
                  </m:r>
                </m:e>
              </m:d>
            </m:e>
          </m:eqArr>
        </m:oMath>
      </m:oMathPara>
    </w:p>
    <w:p w14:paraId="31083E4B" w14:textId="0851C929" w:rsidR="000B2196" w:rsidRPr="00B424FD"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where</w:t>
      </w:r>
      <w:r w:rsidR="000B2196"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m:t>
            </m:r>
          </m:e>
        </m:d>
      </m:oMath>
      <w:r w:rsidR="000B2196" w:rsidRPr="00B424FD">
        <w:rPr>
          <w:rFonts w:ascii="Times New Roman" w:hAnsi="Times New Roman" w:cs="Times New Roman"/>
          <w:color w:val="0D0D0D"/>
          <w:sz w:val="20"/>
          <w:szCs w:val="20"/>
          <w:shd w:val="clear" w:color="auto" w:fill="FFFFFF"/>
          <w:lang w:val="en-GB"/>
        </w:rPr>
        <w:t xml:space="preserve"> is the Beta function and </w:t>
      </w:r>
      <m:oMath>
        <m:r>
          <w:rPr>
            <w:rFonts w:ascii="Cambria Math" w:hAnsi="Cambria Math" w:cs="Times New Roman"/>
            <w:color w:val="0D0D0D"/>
            <w:sz w:val="20"/>
            <w:szCs w:val="20"/>
            <w:shd w:val="clear" w:color="auto" w:fill="FFFFFF"/>
            <w:lang w:val="en-GB"/>
          </w:rPr>
          <m:t>a=p</m:t>
        </m:r>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B424FD">
        <w:rPr>
          <w:rFonts w:ascii="Times New Roman" w:hAnsi="Times New Roman" w:cs="Times New Roman"/>
          <w:color w:val="0D0D0D"/>
          <w:sz w:val="20"/>
          <w:szCs w:val="20"/>
          <w:shd w:val="clear" w:color="auto" w:fill="FFFFFF"/>
          <w:lang w:val="en-GB"/>
        </w:rPr>
        <w:t xml:space="preserve">. Under the Beta-Binomial distribution, the mean and variance of </w:t>
      </w:r>
      <m:oMath>
        <m:r>
          <w:rPr>
            <w:rFonts w:ascii="Cambria Math" w:hAnsi="Cambria Math" w:cs="Times New Roman"/>
            <w:color w:val="0D0D0D"/>
            <w:sz w:val="20"/>
            <w:szCs w:val="20"/>
            <w:shd w:val="clear" w:color="auto" w:fill="FFFFFF"/>
            <w:lang w:val="en-GB"/>
          </w:rPr>
          <m:t>X</m:t>
        </m:r>
      </m:oMath>
      <w:r w:rsidR="000B2196" w:rsidRPr="00B424FD">
        <w:rPr>
          <w:rFonts w:ascii="Times New Roman" w:hAnsi="Times New Roman" w:cs="Times New Roman"/>
          <w:color w:val="0D0D0D"/>
          <w:sz w:val="20"/>
          <w:szCs w:val="20"/>
          <w:shd w:val="clear" w:color="auto" w:fill="FFFFFF"/>
          <w:lang w:val="en-GB"/>
        </w:rPr>
        <w:t xml:space="preserve"> are </w:t>
      </w:r>
      <m:oMath>
        <m:r>
          <w:rPr>
            <w:rFonts w:ascii="Cambria Math" w:hAnsi="Cambria Math" w:cs="Times New Roman"/>
            <w:color w:val="0D0D0D"/>
            <w:sz w:val="20"/>
            <w:szCs w:val="20"/>
            <w:shd w:val="clear" w:color="auto" w:fill="FFFFFF"/>
            <w:lang w:val="en-GB"/>
          </w:rPr>
          <m:t>E</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oMath>
      <w:r w:rsidR="000B2196" w:rsidRPr="00B424FD">
        <w:rPr>
          <w:rFonts w:ascii="Times New Roman" w:hAnsi="Times New Roman" w:cs="Times New Roman"/>
          <w:color w:val="0D0D0D"/>
          <w:sz w:val="20"/>
          <w:szCs w:val="20"/>
          <w:shd w:val="clear" w:color="auto" w:fill="FFFFFF"/>
          <w:lang w:val="en-GB"/>
        </w:rPr>
        <w:t xml:space="preserve"> and </w:t>
      </w:r>
      <m:oMath>
        <m:r>
          <w:rPr>
            <w:rFonts w:ascii="Cambria Math" w:hAnsi="Cambria Math" w:cs="Times New Roman"/>
            <w:color w:val="0D0D0D"/>
            <w:sz w:val="20"/>
            <w:szCs w:val="20"/>
            <w:shd w:val="clear" w:color="auto" w:fill="FFFFFF"/>
            <w:lang w:val="en-GB"/>
          </w:rPr>
          <m:t>Var</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n-1</m:t>
                </m:r>
              </m:e>
            </m:d>
            <m:r>
              <m:rPr>
                <m:sty m:val="p"/>
              </m:rPr>
              <w:rPr>
                <w:rFonts w:ascii="Cambria Math" w:hAnsi="Cambria Math" w:cs="Times New Roman"/>
                <w:color w:val="0D0D0D"/>
                <w:sz w:val="20"/>
                <w:szCs w:val="20"/>
                <w:shd w:val="clear" w:color="auto" w:fill="FFFFFF"/>
                <w:lang w:val="en-GB"/>
              </w:rPr>
              <m:t>κ</m:t>
            </m:r>
          </m:e>
        </m:d>
      </m:oMath>
      <w:r w:rsidR="00EE4B38" w:rsidRPr="00B424FD">
        <w:rPr>
          <w:rFonts w:ascii="Times New Roman" w:hAnsi="Times New Roman" w:cs="Times New Roman"/>
          <w:color w:val="0D0D0D"/>
          <w:sz w:val="20"/>
          <w:szCs w:val="20"/>
          <w:shd w:val="clear" w:color="auto" w:fill="FFFFFF"/>
          <w:lang w:val="en-GB"/>
        </w:rPr>
        <w:t xml:space="preserve"> respectively.</w:t>
      </w:r>
    </w:p>
    <w:p w14:paraId="1EA6A0DE" w14:textId="77777777" w:rsidR="00EE4B38" w:rsidRPr="00B424FD"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The model-predicted probability that a diagnosis in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xml:space="preserve"> was symptomatic is </w:t>
      </w:r>
    </w:p>
    <w:p w14:paraId="72655DE5" w14:textId="3FBE625D" w:rsidR="00EE4B38" w:rsidRPr="00B424FD"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f>
                <m:fPr>
                  <m:ctrlPr>
                    <w:rPr>
                      <w:rFonts w:ascii="Cambria Math" w:hAnsi="Cambria Math" w:cs="Times New Roman"/>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13</m:t>
                  </m:r>
                </m:e>
              </m:d>
            </m:e>
          </m:eqArr>
        </m:oMath>
      </m:oMathPara>
    </w:p>
    <w:p w14:paraId="78599312" w14:textId="01B55053" w:rsidR="00EE4B38" w:rsidRPr="00B424FD"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where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B424FD">
        <w:rPr>
          <w:rFonts w:ascii="Times New Roman" w:hAnsi="Times New Roman" w:cs="Times New Roman"/>
          <w:color w:val="0D0D0D"/>
          <w:sz w:val="20"/>
          <w:szCs w:val="20"/>
          <w:shd w:val="clear" w:color="auto" w:fill="FFFFFF"/>
          <w:lang w:val="en-GB"/>
        </w:rPr>
        <w:t xml:space="preserve"> and the number of symptomatic and asymptomatic diagnoses in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respectively, as follows:</w:t>
      </w:r>
    </w:p>
    <w:p w14:paraId="1ACB1A93" w14:textId="48BB77FE" w:rsidR="00877A9C" w:rsidRPr="00B424FD"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14</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15</m:t>
                  </m:r>
                </m:e>
              </m:d>
            </m:e>
          </m:eqArr>
        </m:oMath>
      </m:oMathPara>
    </w:p>
    <w:p w14:paraId="55CAC18B" w14:textId="75561A94" w:rsidR="00877A9C" w:rsidRPr="00B424FD"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iCs/>
          <w:color w:val="0D0D0D"/>
          <w:sz w:val="20"/>
          <w:szCs w:val="20"/>
          <w:shd w:val="clear" w:color="auto" w:fill="FFFFFF"/>
          <w:lang w:val="en-GB"/>
        </w:rPr>
        <w:t>We model</w:t>
      </w:r>
      <w:r w:rsidR="00F5221A" w:rsidRPr="00B424FD">
        <w:rPr>
          <w:rFonts w:ascii="Times New Roman" w:hAnsi="Times New Roman" w:cs="Times New Roman"/>
          <w:iCs/>
          <w:color w:val="0D0D0D"/>
          <w:sz w:val="20"/>
          <w:szCs w:val="20"/>
          <w:shd w:val="clear" w:color="auto" w:fill="FFFFFF"/>
          <w:lang w:val="en-GB"/>
        </w:rPr>
        <w:t>l</w:t>
      </w:r>
      <w:r w:rsidRPr="00B424FD">
        <w:rPr>
          <w:rFonts w:ascii="Times New Roman" w:hAnsi="Times New Roman" w:cs="Times New Roman"/>
          <w:iCs/>
          <w:color w:val="0D0D0D"/>
          <w:sz w:val="20"/>
          <w:szCs w:val="20"/>
          <w:shd w:val="clear" w:color="auto" w:fill="FFFFFF"/>
          <w:lang w:val="en-GB"/>
        </w:rPr>
        <w:t xml:space="preserve">ed </w:t>
      </w:r>
      <w:r w:rsidR="00F5221A" w:rsidRPr="00B424FD">
        <w:rPr>
          <w:rFonts w:ascii="Times New Roman" w:hAnsi="Times New Roman" w:cs="Times New Roman"/>
          <w:iCs/>
          <w:color w:val="0D0D0D"/>
          <w:sz w:val="20"/>
          <w:szCs w:val="20"/>
          <w:shd w:val="clear" w:color="auto" w:fill="FFFFFF"/>
          <w:lang w:val="en-GB"/>
        </w:rPr>
        <w:t xml:space="preserve">the number of symptomatic diagnoses in GRASP, accounting for the size of the GRASP sample,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F5221A" w:rsidRPr="00B424FD">
        <w:rPr>
          <w:rFonts w:ascii="Times New Roman" w:hAnsi="Times New Roman" w:cs="Times New Roman"/>
          <w:iCs/>
          <w:color w:val="0D0D0D"/>
          <w:sz w:val="20"/>
          <w:szCs w:val="20"/>
          <w:shd w:val="clear" w:color="auto" w:fill="FFFFFF"/>
          <w:lang w:val="en-GB"/>
        </w:rPr>
        <w:t xml:space="preserve">, and fitted the shape parameter for the GRASP dataset,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oMath>
      <w:r w:rsidR="00F5221A" w:rsidRPr="00B424FD">
        <w:rPr>
          <w:rFonts w:ascii="Times New Roman" w:hAnsi="Times New Roman" w:cs="Times New Roman"/>
          <w:color w:val="0D0D0D"/>
          <w:sz w:val="20"/>
          <w:szCs w:val="20"/>
          <w:shd w:val="clear" w:color="auto" w:fill="FFFFFF"/>
          <w:lang w:val="en-GB"/>
        </w:rPr>
        <w:t>, within the Bayesian framework:</w:t>
      </w:r>
    </w:p>
    <w:p w14:paraId="12E230CF" w14:textId="2161DA68" w:rsidR="00F5221A" w:rsidRPr="00B424FD"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~BetaBinom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f>
                        <m:fPr>
                          <m:ctrlPr>
                            <w:rPr>
                              <w:rFonts w:ascii="Cambria Math" w:hAnsi="Cambria Math" w:cs="Times New Roman"/>
                              <w:i/>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den>
                      </m:f>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16</m:t>
                  </m:r>
                </m:e>
              </m:d>
            </m:e>
          </m:eqArr>
        </m:oMath>
      </m:oMathPara>
    </w:p>
    <w:p w14:paraId="0C57FEA2" w14:textId="50B50D6A" w:rsidR="00373D9B" w:rsidRPr="00B424FD"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The overall likelihood of the data given the modelled trajectories produced by parameter set </w:t>
      </w:r>
      <m:oMath>
        <m:r>
          <m:rPr>
            <m:sty m:val="p"/>
          </m:rPr>
          <w:rPr>
            <w:rFonts w:ascii="Cambria Math" w:hAnsi="Cambria Math" w:cs="Times New Roman"/>
            <w:color w:val="0D0D0D"/>
            <w:sz w:val="20"/>
            <w:szCs w:val="20"/>
            <w:shd w:val="clear" w:color="auto" w:fill="FFFFFF"/>
            <w:lang w:val="en-GB"/>
          </w:rPr>
          <m:t>Θ</m:t>
        </m:r>
      </m:oMath>
      <w:r w:rsidRPr="00B424FD">
        <w:rPr>
          <w:rFonts w:ascii="Times New Roman" w:hAnsi="Times New Roman" w:cs="Times New Roman"/>
          <w:color w:val="0D0D0D"/>
          <w:sz w:val="20"/>
          <w:szCs w:val="20"/>
          <w:shd w:val="clear" w:color="auto" w:fill="FFFFFF"/>
          <w:lang w:val="en-GB"/>
        </w:rPr>
        <w:t xml:space="preserve"> was calculated as the product of the likelihoods of the </w:t>
      </w:r>
      <w:r w:rsidR="00506AFF" w:rsidRPr="00B424FD">
        <w:rPr>
          <w:rFonts w:ascii="Times New Roman" w:hAnsi="Times New Roman" w:cs="Times New Roman"/>
          <w:color w:val="0D0D0D"/>
          <w:sz w:val="20"/>
          <w:szCs w:val="20"/>
          <w:shd w:val="clear" w:color="auto" w:fill="FFFFFF"/>
          <w:lang w:val="en-GB"/>
        </w:rPr>
        <w:t xml:space="preserve">six </w:t>
      </w:r>
      <w:r w:rsidRPr="00B424FD">
        <w:rPr>
          <w:rFonts w:ascii="Times New Roman" w:hAnsi="Times New Roman" w:cs="Times New Roman"/>
          <w:color w:val="0D0D0D"/>
          <w:sz w:val="20"/>
          <w:szCs w:val="20"/>
          <w:shd w:val="clear" w:color="auto" w:fill="FFFFFF"/>
          <w:lang w:val="en-GB"/>
        </w:rPr>
        <w:t>data stream</w:t>
      </w:r>
      <w:r w:rsidR="00506AFF" w:rsidRPr="00B424FD">
        <w:rPr>
          <w:rFonts w:ascii="Times New Roman" w:hAnsi="Times New Roman" w:cs="Times New Roman"/>
          <w:color w:val="0D0D0D"/>
          <w:sz w:val="20"/>
          <w:szCs w:val="20"/>
          <w:shd w:val="clear" w:color="auto" w:fill="FFFFFF"/>
          <w:lang w:val="en-GB"/>
        </w:rPr>
        <w:t>s</w:t>
      </w:r>
      <w:r w:rsidRPr="00B424FD">
        <w:rPr>
          <w:rFonts w:ascii="Times New Roman" w:hAnsi="Times New Roman" w:cs="Times New Roman"/>
          <w:color w:val="0D0D0D"/>
          <w:sz w:val="20"/>
          <w:szCs w:val="20"/>
          <w:shd w:val="clear" w:color="auto" w:fill="FFFFFF"/>
          <w:lang w:val="en-GB"/>
        </w:rPr>
        <w:t xml:space="preserve"> in each year </w:t>
      </w:r>
      <m:oMath>
        <m:r>
          <w:rPr>
            <w:rFonts w:ascii="Cambria Math" w:hAnsi="Cambria Math" w:cs="Times New Roman"/>
            <w:color w:val="0D0D0D"/>
            <w:sz w:val="20"/>
            <w:szCs w:val="20"/>
            <w:shd w:val="clear" w:color="auto" w:fill="FFFFFF"/>
            <w:lang w:val="en-GB"/>
          </w:rPr>
          <m:t>t</m:t>
        </m:r>
      </m:oMath>
      <w:r w:rsidRPr="00B424FD">
        <w:rPr>
          <w:rFonts w:ascii="Times New Roman" w:hAnsi="Times New Roman" w:cs="Times New Roman"/>
          <w:color w:val="0D0D0D"/>
          <w:sz w:val="20"/>
          <w:szCs w:val="20"/>
          <w:shd w:val="clear" w:color="auto" w:fill="FFFFFF"/>
          <w:lang w:val="en-GB"/>
        </w:rPr>
        <w:t xml:space="preserve"> = 2011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0</m:t>
            </m:r>
          </m:sub>
        </m:sSub>
      </m:oMath>
      <w:r w:rsidRPr="00B424FD">
        <w:rPr>
          <w:rFonts w:ascii="Times New Roman" w:hAnsi="Times New Roman" w:cs="Times New Roman"/>
          <w:color w:val="0D0D0D"/>
          <w:sz w:val="20"/>
          <w:szCs w:val="20"/>
          <w:shd w:val="clear" w:color="auto" w:fill="FFFFFF"/>
          <w:lang w:val="en-GB"/>
        </w:rPr>
        <w:t>), …, 20</w:t>
      </w:r>
      <w:r w:rsidR="002A1438" w:rsidRPr="00B424FD">
        <w:rPr>
          <w:rFonts w:ascii="Times New Roman" w:hAnsi="Times New Roman" w:cs="Times New Roman"/>
          <w:color w:val="0D0D0D"/>
          <w:sz w:val="20"/>
          <w:szCs w:val="20"/>
          <w:shd w:val="clear" w:color="auto" w:fill="FFFFFF"/>
          <w:lang w:val="en-GB"/>
        </w:rPr>
        <w:t>19, 2022</w:t>
      </w:r>
      <w:r w:rsidRPr="00B424FD">
        <w:rPr>
          <w:rFonts w:ascii="Times New Roman" w:hAnsi="Times New Roman" w:cs="Times New Roman"/>
          <w:color w:val="0D0D0D"/>
          <w:sz w:val="20"/>
          <w:szCs w:val="20"/>
          <w:shd w:val="clear" w:color="auto" w:fill="FFFFFF"/>
          <w:lang w:val="en-GB"/>
        </w:rPr>
        <w:t>, 2023, 2024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max</m:t>
            </m:r>
          </m:sub>
        </m:sSub>
      </m:oMath>
      <w:r w:rsidRPr="00B424FD">
        <w:rPr>
          <w:rFonts w:ascii="Times New Roman" w:hAnsi="Times New Roman" w:cs="Times New Roman"/>
          <w:color w:val="0D0D0D"/>
          <w:sz w:val="20"/>
          <w:szCs w:val="20"/>
          <w:shd w:val="clear" w:color="auto" w:fill="FFFFFF"/>
          <w:lang w:val="en-GB"/>
        </w:rPr>
        <w:t>) for England</w:t>
      </w:r>
      <w:r w:rsidR="000D472A" w:rsidRPr="00B424FD">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t=2020, 2021</m:t>
        </m:r>
      </m:oMath>
      <w:r w:rsidR="000D472A" w:rsidRPr="00B424FD">
        <w:rPr>
          <w:rFonts w:ascii="Times New Roman" w:hAnsi="Times New Roman" w:cs="Times New Roman"/>
          <w:color w:val="0D0D0D"/>
          <w:sz w:val="20"/>
          <w:szCs w:val="20"/>
          <w:shd w:val="clear" w:color="auto" w:fill="FFFFFF"/>
          <w:lang w:val="en-GB"/>
        </w:rPr>
        <w:t xml:space="preserve"> </w:t>
      </w:r>
      <w:r w:rsidR="0016426E" w:rsidRPr="00B424FD">
        <w:rPr>
          <w:rFonts w:ascii="Times New Roman" w:hAnsi="Times New Roman" w:cs="Times New Roman"/>
          <w:color w:val="0D0D0D"/>
          <w:sz w:val="20"/>
          <w:szCs w:val="20"/>
          <w:shd w:val="clear" w:color="auto" w:fill="FFFFFF"/>
          <w:lang w:val="en-GB"/>
        </w:rPr>
        <w:t>were excluded</w:t>
      </w:r>
      <w:r w:rsidR="000D472A" w:rsidRPr="00B424FD">
        <w:rPr>
          <w:rFonts w:ascii="Times New Roman" w:hAnsi="Times New Roman" w:cs="Times New Roman"/>
          <w:color w:val="0D0D0D"/>
          <w:sz w:val="20"/>
          <w:szCs w:val="20"/>
          <w:shd w:val="clear" w:color="auto" w:fill="FFFFFF"/>
          <w:lang w:val="en-GB"/>
        </w:rPr>
        <w:t xml:space="preserve"> for England for all six data streams)</w:t>
      </w:r>
      <w:r w:rsidR="00506AFF" w:rsidRPr="00B424FD">
        <w:rPr>
          <w:rFonts w:ascii="Times New Roman" w:hAnsi="Times New Roman" w:cs="Times New Roman"/>
          <w:color w:val="0D0D0D"/>
          <w:sz w:val="20"/>
          <w:szCs w:val="20"/>
          <w:shd w:val="clear" w:color="auto" w:fill="FFFFFF"/>
          <w:lang w:val="en-GB"/>
        </w:rPr>
        <w:t>, as follows:</w:t>
      </w:r>
    </w:p>
    <w:p w14:paraId="4E99A476" w14:textId="4BB48032" w:rsidR="001725A7" w:rsidRPr="00B424FD" w:rsidRDefault="00000000" w:rsidP="003B3837">
      <w:pPr>
        <w:pStyle w:val="NormalWeb"/>
        <w:spacing w:line="276" w:lineRule="auto"/>
        <w:jc w:val="both"/>
        <w:rPr>
          <w:i/>
          <w:sz w:val="20"/>
          <w:szCs w:val="20"/>
          <w:lang w:val="en-GB"/>
        </w:rPr>
      </w:pPr>
      <m:oMathPara>
        <m:oMath>
          <m:eqArr>
            <m:eqArrPr>
              <m:maxDist m:val="1"/>
              <m:ctrlPr>
                <w:rPr>
                  <w:rFonts w:ascii="Cambria Math" w:hAnsi="Cambria Math"/>
                  <w:i/>
                  <w:color w:val="0D0D0D"/>
                  <w:sz w:val="20"/>
                  <w:szCs w:val="20"/>
                  <w:shd w:val="clear" w:color="auto" w:fill="FFFFFF"/>
                  <w:lang w:val="en-GB"/>
                </w:rPr>
              </m:ctrlPr>
            </m:eqArrPr>
            <m:e>
              <m:r>
                <w:rPr>
                  <w:rFonts w:ascii="Cambria Math" w:hAnsi="Cambria Math"/>
                  <w:color w:val="0D0D0D"/>
                  <w:sz w:val="20"/>
                  <w:szCs w:val="20"/>
                  <w:shd w:val="clear" w:color="auto" w:fill="FFFFFF"/>
                  <w:lang w:val="en-GB"/>
                </w:rPr>
                <m:t>L</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Z</m:t>
                  </m:r>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 xml:space="preserve"> </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t=2015</m:t>
                      </m:r>
                    </m:sub>
                    <m:sup>
                      <m:r>
                        <w:rPr>
                          <w:rFonts w:ascii="Cambria Math" w:hAnsi="Cambria Math"/>
                          <w:color w:val="0D0D0D"/>
                          <w:sz w:val="20"/>
                          <w:szCs w:val="20"/>
                          <w:shd w:val="clear" w:color="auto" w:fill="FFFFFF"/>
                          <w:lang w:val="en-GB"/>
                        </w:rPr>
                        <m:t>2022</m:t>
                      </m:r>
                    </m:sup>
                    <m:e>
                      <m:sSub>
                        <m:sSubPr>
                          <m:ctrlPr>
                            <w:rPr>
                              <w:rFonts w:ascii="Cambria Math" w:hAnsi="Cambria Math"/>
                              <w:i/>
                              <w:color w:val="0D0D0D"/>
                              <w:sz w:val="20"/>
                              <w:szCs w:val="20"/>
                              <w:shd w:val="clear" w:color="auto" w:fill="FFFFFF"/>
                              <w:lang w:val="en-GB"/>
                            </w:rPr>
                          </m:ctrlPr>
                        </m:sSub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eastAsiaTheme="minorEastAsia" w:hAnsi="Cambria Math"/>
                                      <w:color w:val="0D0D0D"/>
                                      <w:kern w:val="2"/>
                                      <w:sz w:val="20"/>
                                      <w:szCs w:val="20"/>
                                      <w:shd w:val="clear" w:color="auto" w:fill="FFFFFF"/>
                                      <w:lang w:val="en-GB"/>
                                      <w14:ligatures w14:val="standardContextual"/>
                                    </w:rPr>
                                    <m:t>0</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0</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e>
                  </m:nary>
                </m:e>
              </m:nary>
              <m:ctrlPr>
                <w:rPr>
                  <w:rFonts w:ascii="Cambria Math" w:eastAsia="Cambria Math" w:hAnsi="Cambria Math" w:cs="Cambria Math"/>
                  <w:i/>
                  <w:color w:val="0D0D0D"/>
                  <w:sz w:val="20"/>
                  <w:szCs w:val="20"/>
                  <w:shd w:val="clear" w:color="auto" w:fill="FFFFFF"/>
                  <w:lang w:val="en-GB"/>
                </w:rPr>
              </m:ctrlPr>
            </m:e>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t=2013</m:t>
                  </m:r>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R</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 Θ</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17</m:t>
                  </m:r>
                </m:e>
              </m:d>
            </m:e>
          </m:eqArr>
        </m:oMath>
      </m:oMathPara>
    </w:p>
    <w:p w14:paraId="6F102B0D" w14:textId="70030534" w:rsidR="000B68AF" w:rsidRPr="00B424FD"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hAnsi="Times New Roman" w:cs="Times New Roman"/>
          <w:sz w:val="20"/>
          <w:szCs w:val="20"/>
          <w:lang w:val="en-GB"/>
        </w:rPr>
        <w:t xml:space="preserve">Gonorrhoea can infect multiple anatomical sites (i.e., the rectum, pharynx, and urethra) each associated with distinct probabilities of symptom development and transmission potential </w:t>
      </w:r>
      <w:r w:rsidRPr="00B424FD">
        <w:rPr>
          <w:rFonts w:ascii="Times New Roman" w:eastAsia="Times New Roman" w:hAnsi="Times New Roman" w:cs="Times New Roman"/>
          <w:color w:val="000000" w:themeColor="text1"/>
          <w:kern w:val="0"/>
          <w:sz w:val="20"/>
          <w:szCs w:val="20"/>
          <w:lang w:val="en-GB"/>
          <w14:ligatures w14:val="none"/>
        </w:rPr>
        <w:fldChar w:fldCharType="begin"/>
      </w:r>
      <w:r w:rsidR="009F30E1">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{"citationID":"gu82ZKtP","properties":{"formattedCitation":"[6]","plainCitation":"[6]","noteIndex":0},"citationItems":[{"id":426,"uris":["http://zotero.org/users/9663344/items/5WMZE529"],"itemData":{"id":426,"type":"article-journal","abstract":"We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B424FD">
        <w:rPr>
          <w:rFonts w:ascii="Times New Roman" w:eastAsia="Times New Roman" w:hAnsi="Times New Roman" w:cs="Times New Roman"/>
          <w:color w:val="000000" w:themeColor="text1"/>
          <w:kern w:val="0"/>
          <w:sz w:val="20"/>
          <w:szCs w:val="20"/>
          <w:lang w:val="en-GB"/>
          <w14:ligatures w14:val="none"/>
        </w:rPr>
        <w:fldChar w:fldCharType="separate"/>
      </w:r>
      <w:r w:rsidR="009F30E1">
        <w:rPr>
          <w:rFonts w:ascii="Times New Roman" w:eastAsia="Times New Roman" w:hAnsi="Times New Roman" w:cs="Times New Roman"/>
          <w:color w:val="000000" w:themeColor="text1"/>
          <w:kern w:val="0"/>
          <w:sz w:val="20"/>
          <w:szCs w:val="20"/>
          <w:lang w:val="en-GB"/>
          <w14:ligatures w14:val="none"/>
        </w:rPr>
        <w:t>[6]</w:t>
      </w:r>
      <w:r w:rsidRPr="00B424FD">
        <w:rPr>
          <w:rFonts w:ascii="Times New Roman" w:eastAsia="Times New Roman" w:hAnsi="Times New Roman" w:cs="Times New Roman"/>
          <w:color w:val="000000" w:themeColor="text1"/>
          <w:kern w:val="0"/>
          <w:sz w:val="20"/>
          <w:szCs w:val="20"/>
          <w:lang w:val="en-GB"/>
          <w14:ligatures w14:val="none"/>
        </w:rPr>
        <w:fldChar w:fldCharType="end"/>
      </w:r>
      <w:r w:rsidRPr="00B424FD">
        <w:rPr>
          <w:rFonts w:ascii="Times New Roman" w:eastAsia="Times New Roman" w:hAnsi="Times New Roman" w:cs="Times New Roman"/>
          <w:color w:val="000000" w:themeColor="text1"/>
          <w:kern w:val="0"/>
          <w:sz w:val="20"/>
          <w:szCs w:val="20"/>
          <w:lang w:val="en-GB"/>
          <w14:ligatures w14:val="none"/>
        </w:rPr>
        <w:t xml:space="preserve">. </w:t>
      </w:r>
      <w:r w:rsidRPr="00B424FD">
        <w:rPr>
          <w:rFonts w:ascii="Times New Roman" w:hAnsi="Times New Roman" w:cs="Times New Roman"/>
          <w:sz w:val="20"/>
          <w:szCs w:val="20"/>
          <w:lang w:val="en-GB"/>
        </w:rPr>
        <w:t xml:space="preserve">Because available surveillance data are not disaggregated by infection site, model parameters represent site-averaged values. The model further assumes that infection does not confer lasting natural immunity </w:t>
      </w:r>
      <w:r w:rsidRPr="00B424FD">
        <w:rPr>
          <w:rFonts w:ascii="Times New Roman" w:eastAsia="Times New Roman" w:hAnsi="Times New Roman" w:cs="Times New Roman"/>
          <w:color w:val="000000" w:themeColor="text1"/>
          <w:kern w:val="0"/>
          <w:sz w:val="20"/>
          <w:szCs w:val="20"/>
          <w:lang w:val="en-GB"/>
          <w14:ligatures w14:val="none"/>
        </w:rPr>
        <w:fldChar w:fldCharType="begin"/>
      </w:r>
      <w:r w:rsidR="009F30E1">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{"citationID":"KrHKNrh4","properties":{"formattedCitation":"[7], [8]","plainCitation":"[7], [8]","noteIndex":0},"citationItems":[{"id":428,"uris":["http://zotero.org/users/9663344/items/E74QJDGX"],"itemData":{"id":428,"type":"article-journal","abstract":"BACKGROUND: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B424FD">
        <w:rPr>
          <w:rFonts w:ascii="Times New Roman" w:eastAsia="Times New Roman" w:hAnsi="Times New Roman" w:cs="Times New Roman"/>
          <w:color w:val="000000" w:themeColor="text1"/>
          <w:kern w:val="0"/>
          <w:sz w:val="20"/>
          <w:szCs w:val="20"/>
          <w:lang w:val="en-GB"/>
          <w14:ligatures w14:val="none"/>
        </w:rPr>
        <w:fldChar w:fldCharType="separate"/>
      </w:r>
      <w:r w:rsidR="009F30E1">
        <w:rPr>
          <w:rFonts w:ascii="Times New Roman" w:eastAsia="Times New Roman" w:hAnsi="Times New Roman" w:cs="Times New Roman"/>
          <w:color w:val="000000" w:themeColor="text1"/>
          <w:kern w:val="0"/>
          <w:sz w:val="20"/>
          <w:szCs w:val="20"/>
          <w:lang w:val="en-GB"/>
          <w14:ligatures w14:val="none"/>
        </w:rPr>
        <w:t>[7], [8]</w:t>
      </w:r>
      <w:r w:rsidRPr="00B424FD">
        <w:rPr>
          <w:rFonts w:ascii="Times New Roman" w:eastAsia="Times New Roman" w:hAnsi="Times New Roman" w:cs="Times New Roman"/>
          <w:color w:val="000000" w:themeColor="text1"/>
          <w:kern w:val="0"/>
          <w:sz w:val="20"/>
          <w:szCs w:val="20"/>
          <w:lang w:val="en-GB"/>
          <w14:ligatures w14:val="none"/>
        </w:rPr>
        <w:fldChar w:fldCharType="end"/>
      </w:r>
      <w:r w:rsidRPr="00B424FD">
        <w:rPr>
          <w:rFonts w:ascii="Times New Roman" w:eastAsia="Times New Roman" w:hAnsi="Times New Roman" w:cs="Times New Roman"/>
          <w:color w:val="000000" w:themeColor="text1"/>
          <w:kern w:val="0"/>
          <w:sz w:val="20"/>
          <w:szCs w:val="20"/>
          <w:lang w:val="en-GB"/>
          <w14:ligatures w14:val="none"/>
        </w:rPr>
        <w:t>.</w:t>
      </w:r>
    </w:p>
    <w:p w14:paraId="012611B1" w14:textId="6018BFA5" w:rsidR="000B68AF" w:rsidRPr="00B424FD"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t>Table 1: Fixed parameters.</w:t>
      </w:r>
    </w:p>
    <w:tbl>
      <w:tblPr>
        <w:tblStyle w:val="TableGrid"/>
        <w:tblW w:w="0" w:type="auto"/>
        <w:tblLook w:val="04A0" w:firstRow="1" w:lastRow="0" w:firstColumn="1" w:lastColumn="0" w:noHBand="0" w:noVBand="1"/>
      </w:tblPr>
      <w:tblGrid>
        <w:gridCol w:w="1202"/>
        <w:gridCol w:w="4108"/>
        <w:gridCol w:w="1800"/>
        <w:gridCol w:w="1916"/>
      </w:tblGrid>
      <w:tr w:rsidR="000B68AF" w:rsidRPr="00B424FD" w14:paraId="2BF301F7" w14:textId="77777777" w:rsidTr="004338C0">
        <w:tc>
          <w:tcPr>
            <w:tcW w:w="1202" w:type="dxa"/>
            <w:tcBorders>
              <w:top w:val="single" w:sz="4" w:space="0" w:color="auto"/>
              <w:bottom w:val="single" w:sz="4" w:space="0" w:color="auto"/>
            </w:tcBorders>
          </w:tcPr>
          <w:p w14:paraId="2C816FD8"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08" w:type="dxa"/>
            <w:tcBorders>
              <w:top w:val="single" w:sz="4" w:space="0" w:color="auto"/>
              <w:bottom w:val="single" w:sz="4" w:space="0" w:color="auto"/>
            </w:tcBorders>
          </w:tcPr>
          <w:p w14:paraId="7CAC8250" w14:textId="77777777" w:rsidR="000B68AF" w:rsidRPr="00B424FD" w:rsidRDefault="000B68AF" w:rsidP="003B3837">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1800" w:type="dxa"/>
            <w:tcBorders>
              <w:top w:val="single" w:sz="4" w:space="0" w:color="auto"/>
              <w:bottom w:val="single" w:sz="4" w:space="0" w:color="auto"/>
            </w:tcBorders>
          </w:tcPr>
          <w:p w14:paraId="01104265"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Value</w:t>
            </w:r>
          </w:p>
        </w:tc>
        <w:tc>
          <w:tcPr>
            <w:tcW w:w="1916" w:type="dxa"/>
            <w:tcBorders>
              <w:top w:val="single" w:sz="4" w:space="0" w:color="auto"/>
              <w:bottom w:val="single" w:sz="4" w:space="0" w:color="auto"/>
            </w:tcBorders>
          </w:tcPr>
          <w:p w14:paraId="67CFDA35" w14:textId="7777777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p>
        </w:tc>
      </w:tr>
      <w:tr w:rsidR="000B68AF" w:rsidRPr="00B424FD" w14:paraId="75959899" w14:textId="77777777" w:rsidTr="004338C0">
        <w:tc>
          <w:tcPr>
            <w:tcW w:w="1202" w:type="dxa"/>
            <w:tcBorders>
              <w:top w:val="single" w:sz="4" w:space="0" w:color="auto"/>
            </w:tcBorders>
          </w:tcPr>
          <w:p w14:paraId="249F3673" w14:textId="77777777" w:rsidR="000B68AF" w:rsidRPr="00B424FD" w:rsidRDefault="000B68AF" w:rsidP="003B3837">
            <w:pPr>
              <w:spacing w:before="100" w:beforeAutospacing="1" w:after="100" w:afterAutospacing="1" w:line="276" w:lineRule="auto"/>
              <w:rPr>
                <w:rFonts w:eastAsia="Times New Roman"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N</m:t>
                </m:r>
                <m:d>
                  <m:dPr>
                    <m:ctrlPr>
                      <w:rPr>
                        <w:rFonts w:ascii="Cambria Math" w:eastAsia="Times New Roman" w:hAnsi="Cambria Math" w:cs="Times New Roman"/>
                        <w:i/>
                        <w:color w:val="000000" w:themeColor="text1"/>
                        <w:kern w:val="0"/>
                        <w:szCs w:val="20"/>
                        <w:lang w:val="en-GB"/>
                        <w14:ligatures w14:val="none"/>
                      </w:rPr>
                    </m:ctrlPr>
                  </m:dPr>
                  <m:e>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08" w:type="dxa"/>
            <w:tcBorders>
              <w:top w:val="single" w:sz="4" w:space="0" w:color="auto"/>
            </w:tcBorders>
          </w:tcPr>
          <w:p w14:paraId="0AF8ABD4" w14:textId="6AF0716A"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Initial population size of </w:t>
            </w:r>
            <w:r w:rsidR="005806F6" w:rsidRPr="00B424FD">
              <w:rPr>
                <w:rFonts w:eastAsia="Times New Roman" w:cs="Times New Roman"/>
                <w:color w:val="000000" w:themeColor="text1"/>
                <w:kern w:val="0"/>
                <w:szCs w:val="20"/>
                <w:lang w:val="en-GB"/>
                <w14:ligatures w14:val="none"/>
              </w:rPr>
              <w:t>England</w:t>
            </w:r>
            <w:r w:rsidRPr="00B424FD">
              <w:rPr>
                <w:rFonts w:eastAsia="Times New Roman" w:cs="Times New Roman"/>
                <w:color w:val="000000" w:themeColor="text1"/>
                <w:kern w:val="0"/>
                <w:szCs w:val="20"/>
                <w:lang w:val="en-GB"/>
                <w14:ligatures w14:val="none"/>
              </w:rPr>
              <w:t xml:space="preserve"> MSM</w:t>
            </w:r>
          </w:p>
        </w:tc>
        <w:tc>
          <w:tcPr>
            <w:tcW w:w="1800" w:type="dxa"/>
            <w:tcBorders>
              <w:top w:val="single" w:sz="4" w:space="0" w:color="auto"/>
            </w:tcBorders>
          </w:tcPr>
          <w:p w14:paraId="00E49386" w14:textId="700678A3"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600,000</w:t>
            </w:r>
          </w:p>
        </w:tc>
        <w:tc>
          <w:tcPr>
            <w:tcW w:w="1916" w:type="dxa"/>
            <w:tcBorders>
              <w:top w:val="single" w:sz="4" w:space="0" w:color="auto"/>
            </w:tcBorders>
          </w:tcPr>
          <w:p w14:paraId="5BFC354C" w14:textId="5728465B"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MKMGDMCL","properties":{"formattedCitation":"[9]","plainCitation":"[9]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9F30E1">
              <w:rPr>
                <w:szCs w:val="20"/>
                <w:lang w:val="en-GB"/>
              </w:rPr>
              <w:t>[9]</w:t>
            </w:r>
            <w:r w:rsidRPr="00B424FD">
              <w:rPr>
                <w:szCs w:val="20"/>
                <w:lang w:val="en-GB"/>
              </w:rPr>
              <w:fldChar w:fldCharType="end"/>
            </w:r>
          </w:p>
        </w:tc>
      </w:tr>
      <w:tr w:rsidR="000B68AF" w:rsidRPr="00B424FD" w14:paraId="50526759" w14:textId="77777777" w:rsidTr="0007760A">
        <w:tc>
          <w:tcPr>
            <w:tcW w:w="1202" w:type="dxa"/>
          </w:tcPr>
          <w:p w14:paraId="070C11C8" w14:textId="77777777" w:rsidR="000B68AF" w:rsidRPr="00B424FD" w:rsidRDefault="000B68AF"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α</m:t>
                </m:r>
              </m:oMath>
            </m:oMathPara>
          </w:p>
        </w:tc>
        <w:tc>
          <w:tcPr>
            <w:tcW w:w="4108" w:type="dxa"/>
          </w:tcPr>
          <w:p w14:paraId="7512E438"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population entrance (at age 15)</w:t>
            </w:r>
          </w:p>
        </w:tc>
        <w:tc>
          <w:tcPr>
            <w:tcW w:w="1800" w:type="dxa"/>
          </w:tcPr>
          <w:p w14:paraId="70CA2BE1" w14:textId="5C4446F7"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12,000</w:t>
            </w:r>
          </w:p>
        </w:tc>
        <w:tc>
          <w:tcPr>
            <w:tcW w:w="1916" w:type="dxa"/>
          </w:tcPr>
          <w:p w14:paraId="17025A64" w14:textId="4BBE8A6E"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w57P0FhY","properties":{"formattedCitation":"[9]","plainCitation":"[9]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9F30E1">
              <w:rPr>
                <w:szCs w:val="20"/>
                <w:lang w:val="en-GB"/>
              </w:rPr>
              <w:t>[9]</w:t>
            </w:r>
            <w:r w:rsidRPr="00B424FD">
              <w:rPr>
                <w:szCs w:val="20"/>
                <w:lang w:val="en-GB"/>
              </w:rPr>
              <w:fldChar w:fldCharType="end"/>
            </w:r>
          </w:p>
        </w:tc>
      </w:tr>
      <w:tr w:rsidR="000B68AF" w:rsidRPr="00B424FD" w14:paraId="6F071FDD" w14:textId="77777777" w:rsidTr="0007760A">
        <w:tc>
          <w:tcPr>
            <w:tcW w:w="1202" w:type="dxa"/>
          </w:tcPr>
          <w:p w14:paraId="0453A3F1" w14:textId="77777777" w:rsidR="000B68AF" w:rsidRPr="00B424FD" w:rsidRDefault="000B68AF"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γ</m:t>
                </m:r>
              </m:oMath>
            </m:oMathPara>
          </w:p>
        </w:tc>
        <w:tc>
          <w:tcPr>
            <w:tcW w:w="4108" w:type="dxa"/>
          </w:tcPr>
          <w:p w14:paraId="17C50987"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Years spent in the </w:t>
            </w:r>
            <w:proofErr w:type="gramStart"/>
            <w:r w:rsidRPr="00B424FD">
              <w:rPr>
                <w:rFonts w:eastAsia="Times New Roman" w:cs="Times New Roman"/>
                <w:color w:val="000000" w:themeColor="text1"/>
                <w:kern w:val="0"/>
                <w:szCs w:val="20"/>
                <w:lang w:val="en-GB"/>
                <w14:ligatures w14:val="none"/>
              </w:rPr>
              <w:t>sexually-active</w:t>
            </w:r>
            <w:proofErr w:type="gramEnd"/>
            <w:r w:rsidRPr="00B424FD">
              <w:rPr>
                <w:rFonts w:eastAsia="Times New Roman" w:cs="Times New Roman"/>
                <w:color w:val="000000" w:themeColor="text1"/>
                <w:kern w:val="0"/>
                <w:szCs w:val="20"/>
                <w:lang w:val="en-GB"/>
                <w14:ligatures w14:val="none"/>
              </w:rPr>
              <w:t xml:space="preserve"> population</w:t>
            </w:r>
          </w:p>
        </w:tc>
        <w:tc>
          <w:tcPr>
            <w:tcW w:w="1800" w:type="dxa"/>
          </w:tcPr>
          <w:p w14:paraId="7D0B43A0" w14:textId="4C6D9C2E"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50</w:t>
            </w:r>
          </w:p>
        </w:tc>
        <w:tc>
          <w:tcPr>
            <w:tcW w:w="1916" w:type="dxa"/>
          </w:tcPr>
          <w:p w14:paraId="342E4B2F" w14:textId="32500E4D" w:rsidR="000B68AF" w:rsidRPr="00B424FD" w:rsidRDefault="000B68AF" w:rsidP="003B3837">
            <w:pPr>
              <w:spacing w:before="100" w:beforeAutospacing="1" w:after="100" w:afterAutospacing="1" w:line="276" w:lineRule="auto"/>
              <w:rPr>
                <w:szCs w:val="20"/>
                <w:lang w:val="en-GB"/>
              </w:rPr>
            </w:pPr>
            <w:r w:rsidRPr="00B424FD">
              <w:rPr>
                <w:szCs w:val="20"/>
                <w:lang w:val="en-GB"/>
              </w:rPr>
              <w:t>Ages 15-65</w:t>
            </w:r>
          </w:p>
        </w:tc>
      </w:tr>
      <w:tr w:rsidR="000B68AF" w:rsidRPr="00B424FD" w14:paraId="61185994" w14:textId="77777777" w:rsidTr="0007760A">
        <w:tc>
          <w:tcPr>
            <w:tcW w:w="1202" w:type="dxa"/>
          </w:tcPr>
          <w:p w14:paraId="7F5E60A9"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62AF2B81"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7524D44B" w14:textId="1C1972B3"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0.85</w:t>
            </w:r>
          </w:p>
        </w:tc>
        <w:tc>
          <w:tcPr>
            <w:tcW w:w="1916" w:type="dxa"/>
          </w:tcPr>
          <w:p w14:paraId="20F138AF" w14:textId="303D3A43"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ImYdrbxT","properties":{"formattedCitation":"[9]","plainCitation":"[9]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9F30E1">
              <w:rPr>
                <w:szCs w:val="20"/>
                <w:lang w:val="en-GB"/>
              </w:rPr>
              <w:t>[9]</w:t>
            </w:r>
            <w:r w:rsidRPr="00B424FD">
              <w:rPr>
                <w:szCs w:val="20"/>
                <w:lang w:val="en-GB"/>
              </w:rPr>
              <w:fldChar w:fldCharType="end"/>
            </w:r>
          </w:p>
        </w:tc>
      </w:tr>
      <w:tr w:rsidR="000B68AF" w:rsidRPr="00B424FD" w14:paraId="3B19744C" w14:textId="77777777" w:rsidTr="0007760A">
        <w:tc>
          <w:tcPr>
            <w:tcW w:w="1202" w:type="dxa"/>
          </w:tcPr>
          <w:p w14:paraId="7E3171F5"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49EDB31F"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3EFD947D" w14:textId="428AE10D"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0.15</w:t>
            </w:r>
          </w:p>
        </w:tc>
        <w:tc>
          <w:tcPr>
            <w:tcW w:w="1916" w:type="dxa"/>
          </w:tcPr>
          <w:p w14:paraId="21364C4A" w14:textId="4787CFC5" w:rsidR="000B68AF" w:rsidRPr="00B424FD" w:rsidRDefault="000B68AF" w:rsidP="003B3837">
            <w:pPr>
              <w:spacing w:before="100" w:beforeAutospacing="1" w:after="100" w:afterAutospacing="1" w:line="276" w:lineRule="auto"/>
              <w:rPr>
                <w:szCs w:val="20"/>
                <w:lang w:val="en-GB"/>
              </w:rPr>
            </w:pPr>
            <m:oMathPara>
              <m:oMath>
                <m:r>
                  <w:rPr>
                    <w:rFonts w:ascii="Cambria Math" w:hAnsi="Cambria Math"/>
                    <w:szCs w:val="20"/>
                    <w:lang w:val="en-GB"/>
                  </w:rPr>
                  <m:t>1-</m:t>
                </m:r>
                <m:sSub>
                  <m:sSubPr>
                    <m:ctrlPr>
                      <w:rPr>
                        <w:rFonts w:ascii="Cambria Math" w:hAnsi="Cambria Math"/>
                        <w:i/>
                        <w:szCs w:val="20"/>
                        <w:lang w:val="en-GB"/>
                      </w:rPr>
                    </m:ctrlPr>
                  </m:sSubPr>
                  <m:e>
                    <m:r>
                      <w:rPr>
                        <w:rFonts w:ascii="Cambria Math" w:hAnsi="Cambria Math"/>
                        <w:szCs w:val="20"/>
                        <w:lang w:val="en-GB"/>
                      </w:rPr>
                      <m:t>q</m:t>
                    </m:r>
                  </m:e>
                  <m:sub>
                    <m:r>
                      <w:rPr>
                        <w:rFonts w:ascii="Cambria Math" w:hAnsi="Cambria Math"/>
                        <w:szCs w:val="20"/>
                        <w:lang w:val="en-GB"/>
                      </w:rPr>
                      <m:t>L</m:t>
                    </m:r>
                  </m:sub>
                </m:sSub>
              </m:oMath>
            </m:oMathPara>
          </w:p>
        </w:tc>
      </w:tr>
      <w:tr w:rsidR="000B68AF" w:rsidRPr="00B424FD" w14:paraId="43DFE4C6" w14:textId="77777777" w:rsidTr="0007760A">
        <w:tc>
          <w:tcPr>
            <w:tcW w:w="1202" w:type="dxa"/>
          </w:tcPr>
          <w:p w14:paraId="5A8F510A"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4724C6C5"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68EA611C" w14:textId="21D8D3EA"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0.6</w:t>
            </w:r>
          </w:p>
        </w:tc>
        <w:tc>
          <w:tcPr>
            <w:tcW w:w="1916" w:type="dxa"/>
          </w:tcPr>
          <w:p w14:paraId="029C5E72" w14:textId="71A15C72"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wN04tvFd","properties":{"formattedCitation":"[9]","plainCitation":"[9]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9F30E1">
              <w:rPr>
                <w:szCs w:val="20"/>
                <w:lang w:val="en-GB"/>
              </w:rPr>
              <w:t>[9]</w:t>
            </w:r>
            <w:r w:rsidRPr="00B424FD">
              <w:rPr>
                <w:szCs w:val="20"/>
                <w:lang w:val="en-GB"/>
              </w:rPr>
              <w:fldChar w:fldCharType="end"/>
            </w:r>
          </w:p>
        </w:tc>
      </w:tr>
      <w:tr w:rsidR="000B68AF" w:rsidRPr="00B424FD" w14:paraId="1EF3BDCD" w14:textId="77777777" w:rsidTr="0007760A">
        <w:tc>
          <w:tcPr>
            <w:tcW w:w="1202" w:type="dxa"/>
          </w:tcPr>
          <w:p w14:paraId="7F5863F5" w14:textId="77777777" w:rsidR="000B68AF" w:rsidRPr="00B424FD" w:rsidRDefault="00000000" w:rsidP="003B3837">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7CFFB1A6" w14:textId="77777777" w:rsidR="000B68AF" w:rsidRPr="00B424FD" w:rsidRDefault="000B68AF"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784F330C" w14:textId="6232E810" w:rsidR="000B68AF" w:rsidRPr="00B424FD" w:rsidRDefault="000B68A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t>15.6</w:t>
            </w:r>
          </w:p>
        </w:tc>
        <w:tc>
          <w:tcPr>
            <w:tcW w:w="1916" w:type="dxa"/>
          </w:tcPr>
          <w:p w14:paraId="11665C68" w14:textId="6DF2D973" w:rsidR="000B68AF" w:rsidRPr="00B424FD" w:rsidRDefault="000B68AF"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iZMaP5Y4","properties":{"formattedCitation":"[9]","plainCitation":"[9]","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B424FD">
              <w:rPr>
                <w:szCs w:val="20"/>
                <w:lang w:val="en-GB"/>
              </w:rPr>
              <w:fldChar w:fldCharType="separate"/>
            </w:r>
            <w:r w:rsidR="009F30E1">
              <w:rPr>
                <w:szCs w:val="20"/>
                <w:lang w:val="en-GB"/>
              </w:rPr>
              <w:t>[9]</w:t>
            </w:r>
            <w:r w:rsidRPr="00B424FD">
              <w:rPr>
                <w:szCs w:val="20"/>
                <w:lang w:val="en-GB"/>
              </w:rPr>
              <w:fldChar w:fldCharType="end"/>
            </w:r>
          </w:p>
        </w:tc>
      </w:tr>
    </w:tbl>
    <w:p w14:paraId="6D387D3F" w14:textId="05A00855" w:rsidR="000B68AF" w:rsidRPr="00B424FD" w:rsidRDefault="00362BD9" w:rsidP="003B3837">
      <w:pPr>
        <w:pStyle w:val="NormalWeb"/>
        <w:spacing w:line="276" w:lineRule="auto"/>
        <w:jc w:val="both"/>
        <w:rPr>
          <w:sz w:val="20"/>
          <w:szCs w:val="20"/>
          <w:lang w:val="en-GB"/>
        </w:rPr>
      </w:pPr>
      <w:r w:rsidRPr="00B424FD">
        <w:rPr>
          <w:sz w:val="20"/>
          <w:szCs w:val="20"/>
          <w:lang w:val="en-GB"/>
        </w:rPr>
        <w:t>Data from 2020 and 2021 were excluded from both model calibration and forward simulation due to substantial disruptions associated with the COVID-19 pandemic. During this period, sexual behaviour, healthcare access, testing practices, clinic attendance, and reporting systems were markedly altered by lockdown measures, service reallocation, and changes in care-seeking behaviour. These disruptions resulted in surveillance data that do not reflect the underlying natural transmission dynamics assumed in our model framework. Because the transmission model does not explicitly incorporate COVID-19-related behavioural restrictions or service interruptions, including these years in either the likelihood (calibration) or prediction phase would introduce structural model misspecification. This could bias parameter estimates, distort inferred transmission trends, and reduce predictive validity for post-pandemic scenarios. Excluding 2020</w:t>
      </w:r>
      <w:r w:rsidR="00CE1D02" w:rsidRPr="00B424FD">
        <w:rPr>
          <w:sz w:val="20"/>
          <w:szCs w:val="20"/>
          <w:lang w:val="en-GB"/>
        </w:rPr>
        <w:t>-</w:t>
      </w:r>
      <w:r w:rsidRPr="00B424FD">
        <w:rPr>
          <w:sz w:val="20"/>
          <w:szCs w:val="20"/>
          <w:lang w:val="en-GB"/>
        </w:rPr>
        <w:t>2021 therefore ensures internal consistency between model structure and observed data, yielding parameter estimates that better represent stable transmission conditions and providing more reliable projections for future, non-pandemic epidemiological settings.</w:t>
      </w:r>
    </w:p>
    <w:p w14:paraId="7C255E31" w14:textId="25DFEC9C" w:rsidR="00362BD9" w:rsidRPr="00B424FD" w:rsidRDefault="0075770A" w:rsidP="003B3837">
      <w:pPr>
        <w:pStyle w:val="NormalWeb"/>
        <w:spacing w:line="276" w:lineRule="auto"/>
        <w:jc w:val="both"/>
        <w:rPr>
          <w:sz w:val="20"/>
          <w:szCs w:val="20"/>
          <w:lang w:val="en-GB"/>
        </w:rPr>
      </w:pPr>
      <w:r w:rsidRPr="00B424FD">
        <w:rPr>
          <w:sz w:val="20"/>
          <w:szCs w:val="20"/>
          <w:lang w:val="en-GB"/>
        </w:rPr>
        <w:t xml:space="preserve">The vast majority of anorectal and pharyngeal </w:t>
      </w:r>
      <w:r w:rsidRPr="00B424FD">
        <w:rPr>
          <w:rStyle w:val="Emphasis"/>
          <w:sz w:val="20"/>
          <w:szCs w:val="20"/>
          <w:lang w:val="en-GB"/>
        </w:rPr>
        <w:t>N. gonorrhoeae</w:t>
      </w:r>
      <w:r w:rsidRPr="00B424FD">
        <w:rPr>
          <w:sz w:val="20"/>
          <w:szCs w:val="20"/>
          <w:lang w:val="en-GB"/>
        </w:rPr>
        <w:t xml:space="preserve"> infections are asymptomatic and often self-resolving, and therefore may not come to clinical attention </w:t>
      </w:r>
      <w:r w:rsidRPr="00B424FD">
        <w:rPr>
          <w:sz w:val="20"/>
          <w:szCs w:val="20"/>
          <w:lang w:val="en-GB"/>
        </w:rPr>
        <w:fldChar w:fldCharType="begin"/>
      </w:r>
      <w:r w:rsidR="009F30E1">
        <w:rPr>
          <w:sz w:val="20"/>
          <w:szCs w:val="20"/>
          <w:lang w:val="en-GB"/>
        </w:rPr>
        <w:instrText xml:space="preserve"> ADDIN ZOTERO_ITEM CSL_CITATION {"citationID":"AoMNwVfY","properties":{"unsorted":false,"formattedCitation":"[10]","plainCitation":"[10]","noteIndex":0},"citationItems":[{"id":466,"uris":["http://zotero.org/users/9663344/items/KSZNZDBB"],"itemData":{"id":466,"type":"article-journal","container-title":"The Lancet Regional Health – Europe","DOI":"10.1016/j.lanepe.2023.100743","ISSN":"2666-7762","journalAbbreviation":"The Lancet Regional Health – Europe","language":"English","publisher":"Elsevier","source":"www.thelancet.com","title":"Management of asymptomatic sexually transmitted infections in Europe: towards a differentiated, evidence-based approach","title-short":"Management of asymptomatic sexually transmitted infections in Europe","URL":"https://www.thelancet.com/journals/lanepe/article/PIIS2666-7762%2823%2900162-X/fulltext?utm_source=chatgpt.com","volume":"34","author":[{"family":"Kenyon","given":"Chris"},{"family":"Herrmann","given":"Björn"},{"family":"Hughes","given":"Gwenda"},{"family":"Vries","given":"Henry J. C.","dropping-particle":"de"}],"accessed":{"date-parts":[["2026",3,16]]},"issued":{"date-parts":[["2023",11,1]]}}}],"schema":"https://github.com/citation-style-language/schema/raw/master/csl-citation.json"} </w:instrText>
      </w:r>
      <w:r w:rsidRPr="00B424FD">
        <w:rPr>
          <w:sz w:val="20"/>
          <w:szCs w:val="20"/>
          <w:lang w:val="en-GB"/>
        </w:rPr>
        <w:fldChar w:fldCharType="separate"/>
      </w:r>
      <w:r w:rsidR="009F30E1">
        <w:rPr>
          <w:sz w:val="20"/>
          <w:szCs w:val="20"/>
          <w:lang w:val="en-GB"/>
        </w:rPr>
        <w:t>[10]</w:t>
      </w:r>
      <w:r w:rsidRPr="00B424FD">
        <w:rPr>
          <w:sz w:val="20"/>
          <w:szCs w:val="20"/>
          <w:lang w:val="en-GB"/>
        </w:rPr>
        <w:fldChar w:fldCharType="end"/>
      </w:r>
      <w:r w:rsidRPr="00B424FD">
        <w:rPr>
          <w:sz w:val="20"/>
          <w:szCs w:val="20"/>
          <w:lang w:val="en-GB"/>
        </w:rPr>
        <w:t xml:space="preserve">. In addition, many infections remain undiagnosed because regular screening is not universal, even among high-risk populations. Routine surveillance systems capture only diagnosed cases rather than the true underlying incidence. Consequently, gonorrhoea is widely considered to be substantially underdiagnosed and underreported worldwide </w:t>
      </w:r>
      <w:r w:rsidRPr="00B424FD">
        <w:rPr>
          <w:sz w:val="20"/>
          <w:szCs w:val="20"/>
          <w:lang w:val="en-GB"/>
        </w:rPr>
        <w:fldChar w:fldCharType="begin"/>
      </w:r>
      <w:r w:rsidR="009F30E1">
        <w:rPr>
          <w:sz w:val="20"/>
          <w:szCs w:val="20"/>
          <w:lang w:val="en-GB"/>
        </w:rPr>
        <w:instrText xml:space="preserve"> ADDIN ZOTERO_ITEM CSL_CITATION {"citationID":"swB3iheD","properties":{"unsorted":false,"formattedCitation":"[11]","plainCitation":"[11]","noteIndex":0},"citationItems":[{"id":459,"uris":["http://zotero.org/users/9663344/items/H5QEVIVK"],"itemData":{"id":459,"type":"article-journal","abstract":"Background\nThe World Health Organization (WHO) recommends periodic gonorrhoea prevalence assessments in the general population or proxies thereof (including pregnant women, women attending family planning clinics, military recruits, and men undergoing employment physicals for example) and in population groups at increased risk, including men-who-have-sex-with-men (MSM) and sex workers.\n\nMethod\nWe evaluated reported prevalence data, including estimates from proxy general population samples to reflect the WHO recommendations. We describe the outcomes from the general population country-by-country and extend previous reviews to include MSM, sex workers, and extragenital infections.\n\nResult and conclusion\nIn our systematic search, 2015 titles were reviewed (January 2010–April 2019) and 174 full-text publications were included. National, population-based prevalence data were identified in only four countries (the United States of America, the United Kingdom, Peru, New Caledonia) and local population-based estimates were reported in areas within five countries (China, South Africa, Brazil, Benin, and Malawi). The remaining studies identified only reported test positivity from non-probability, proxy general population samples. Due to the diversity of the reviewed studies, detailed comparison across studies was not possible. In MSM, data were identified from 64 studies in 25 countries. Rectal infection rates were generally higher than urogenital or pharyngeal infection rates, where extragenital testing was conducted. Data on sex workers were identified from 41 studies in 23 countries; rates in female sex workers were high. Current prevalence monitoring was shown to be highly suboptimal worldwide. Serial prevalence monitoring of critical epidemiological variables, and guidelines to optimize prevalence study conduct and reporting beyond antenatal settings are recommended.\n\nSupplementary Information\nThe online version contains supplementary material available at 10.1186/s12879-021-06381-4.","container-title":"BMC Infectious Diseases","DOI":"10.1186/s12879-021-06381-4","ISSN":"1471-2334","journalAbbreviation":"BMC Infect Dis","page":"1152","PMID":"34763670","PMCID":"PMC8582208","source":"PubMed Central","title":"Gonorrhoea: a systematic review of prevalence reporting globally","title-short":"Gonorrhoea","volume":"21","author":[{"family":"Whelan","given":"Jane"},{"family":"Abbing-Karahagopian","given":"Victoria"},{"family":"Serino","given":"Laura"},{"family":"Unemo","given":"Magnus"}],"issued":{"date-parts":[["2021",11,11]]}}}],"schema":"https://github.com/citation-style-language/schema/raw/master/csl-citation.json"} </w:instrText>
      </w:r>
      <w:r w:rsidRPr="00B424FD">
        <w:rPr>
          <w:sz w:val="20"/>
          <w:szCs w:val="20"/>
          <w:lang w:val="en-GB"/>
        </w:rPr>
        <w:fldChar w:fldCharType="separate"/>
      </w:r>
      <w:r w:rsidR="009F30E1">
        <w:rPr>
          <w:sz w:val="20"/>
          <w:szCs w:val="20"/>
          <w:lang w:val="en-GB"/>
        </w:rPr>
        <w:t>[11]</w:t>
      </w:r>
      <w:r w:rsidRPr="00B424FD">
        <w:rPr>
          <w:sz w:val="20"/>
          <w:szCs w:val="20"/>
          <w:lang w:val="en-GB"/>
        </w:rPr>
        <w:fldChar w:fldCharType="end"/>
      </w:r>
      <w:r w:rsidRPr="00B424FD">
        <w:rPr>
          <w:sz w:val="20"/>
          <w:szCs w:val="20"/>
          <w:lang w:val="en-GB"/>
        </w:rPr>
        <w:t xml:space="preserve">. </w:t>
      </w:r>
    </w:p>
    <w:p w14:paraId="0C0E4E81" w14:textId="31DD353F" w:rsidR="00362BD9" w:rsidRPr="00B424FD" w:rsidRDefault="00362BD9" w:rsidP="003B3837">
      <w:pPr>
        <w:pStyle w:val="NormalWeb"/>
        <w:spacing w:line="276" w:lineRule="auto"/>
        <w:jc w:val="both"/>
        <w:rPr>
          <w:sz w:val="20"/>
          <w:szCs w:val="20"/>
          <w:lang w:val="en-GB"/>
        </w:rPr>
        <w:sectPr w:rsidR="00362BD9" w:rsidRPr="00B424FD" w:rsidSect="001725A7">
          <w:pgSz w:w="11906" w:h="16838"/>
          <w:pgMar w:top="1440" w:right="1440" w:bottom="1440" w:left="1440" w:header="708" w:footer="708" w:gutter="0"/>
          <w:cols w:space="708"/>
          <w:docGrid w:linePitch="360"/>
        </w:sectPr>
      </w:pPr>
    </w:p>
    <w:p w14:paraId="0A66F148" w14:textId="3FCC8A4E" w:rsidR="006173E0" w:rsidRPr="00B424FD" w:rsidRDefault="006173E0" w:rsidP="003B3837">
      <w:pPr>
        <w:spacing w:line="276" w:lineRule="auto"/>
        <w:jc w:val="both"/>
        <w:rPr>
          <w:rFonts w:ascii="Times New Roman" w:hAnsi="Times New Roman" w:cs="Times New Roman"/>
          <w:sz w:val="20"/>
          <w:szCs w:val="20"/>
          <w:lang w:val="en-GB"/>
        </w:rPr>
      </w:pPr>
      <w:r w:rsidRPr="00B424FD">
        <w:rPr>
          <w:rFonts w:ascii="Times New Roman" w:hAnsi="Times New Roman" w:cs="Times New Roman"/>
          <w:color w:val="000000"/>
          <w:sz w:val="20"/>
          <w:szCs w:val="20"/>
          <w:lang w:val="en-GB"/>
        </w:rPr>
        <w:lastRenderedPageBreak/>
        <w:t xml:space="preserve">Table 1. </w:t>
      </w:r>
      <w:r w:rsidRPr="00B424FD">
        <w:rPr>
          <w:rFonts w:ascii="Times New Roman" w:hAnsi="Times New Roman" w:cs="Times New Roman"/>
          <w:color w:val="0D0D0D"/>
          <w:sz w:val="20"/>
          <w:szCs w:val="20"/>
          <w:shd w:val="clear" w:color="auto" w:fill="FFFFFF"/>
          <w:lang w:val="en-GB"/>
        </w:rPr>
        <w:t xml:space="preserve">Annual </w:t>
      </w:r>
      <w:r w:rsidR="002D5092" w:rsidRPr="00B424FD">
        <w:rPr>
          <w:rFonts w:ascii="Times New Roman" w:hAnsi="Times New Roman" w:cs="Times New Roman"/>
          <w:color w:val="0D0D0D"/>
          <w:sz w:val="20"/>
          <w:szCs w:val="20"/>
          <w:shd w:val="clear" w:color="auto" w:fill="FFFFFF"/>
          <w:lang w:val="en-GB"/>
        </w:rPr>
        <w:t>gonorrhoea</w:t>
      </w:r>
      <w:r w:rsidRPr="00B424FD">
        <w:rPr>
          <w:rFonts w:ascii="Times New Roman" w:hAnsi="Times New Roman" w:cs="Times New Roman"/>
          <w:color w:val="0D0D0D"/>
          <w:sz w:val="20"/>
          <w:szCs w:val="20"/>
          <w:shd w:val="clear" w:color="auto" w:fill="FFFFFF"/>
          <w:lang w:val="en-GB"/>
        </w:rPr>
        <w:t xml:space="preserve"> diagnose</w:t>
      </w:r>
      <w:r w:rsidR="006108A8" w:rsidRPr="00B424FD">
        <w:rPr>
          <w:rFonts w:ascii="Times New Roman" w:hAnsi="Times New Roman" w:cs="Times New Roman"/>
          <w:color w:val="0D0D0D"/>
          <w:sz w:val="20"/>
          <w:szCs w:val="20"/>
          <w:shd w:val="clear" w:color="auto" w:fill="FFFFFF"/>
          <w:lang w:val="en-GB"/>
        </w:rPr>
        <w:t xml:space="preserve">s, tests, symptomatic diagnoses, asymptomatic diagnoses, percentage ceftriaxone-resistant, and percentage tetracycline-resistant </w:t>
      </w:r>
      <w:r w:rsidRPr="00B424FD">
        <w:rPr>
          <w:rFonts w:ascii="Times New Roman" w:hAnsi="Times New Roman" w:cs="Times New Roman"/>
          <w:color w:val="0D0D0D"/>
          <w:sz w:val="20"/>
          <w:szCs w:val="20"/>
          <w:shd w:val="clear" w:color="auto" w:fill="FFFFFF"/>
          <w:lang w:val="en-GB"/>
        </w:rPr>
        <w:t>among MSM in England.</w:t>
      </w:r>
      <w:r w:rsidR="001010DC" w:rsidRPr="00B424FD">
        <w:rPr>
          <w:rFonts w:ascii="Times New Roman" w:hAnsi="Times New Roman" w:cs="Times New Roman"/>
          <w:color w:val="0D0D0D"/>
          <w:sz w:val="20"/>
          <w:szCs w:val="20"/>
          <w:shd w:val="clear" w:color="auto" w:fill="FFFFFF"/>
          <w:lang w:val="en-GB"/>
        </w:rPr>
        <w:t xml:space="preserve"> </w:t>
      </w:r>
      <w:r w:rsidR="00630081" w:rsidRPr="00B424FD">
        <w:rPr>
          <w:rFonts w:ascii="Times New Roman" w:hAnsi="Times New Roman" w:cs="Times New Roman"/>
          <w:sz w:val="20"/>
          <w:szCs w:val="20"/>
          <w:lang w:val="en-GB"/>
        </w:rPr>
        <w:t xml:space="preserve">Doxycycline susceptibility cannot be directly assessed because doxycycline MICs were not routinely available. Therefore, we used tetracycline MIC </w:t>
      </w:r>
      <m:oMath>
        <m:r>
          <w:rPr>
            <w:rFonts w:ascii="Cambria Math" w:hAnsi="Cambria Math" w:cs="Times New Roman"/>
            <w:sz w:val="20"/>
            <w:szCs w:val="20"/>
            <w:lang w:val="en-GB"/>
          </w:rPr>
          <m:t>&gt;</m:t>
        </m:r>
      </m:oMath>
      <w:r w:rsidR="00630081" w:rsidRPr="00B424FD">
        <w:rPr>
          <w:rFonts w:ascii="Times New Roman" w:hAnsi="Times New Roman" w:cs="Times New Roman"/>
          <w:sz w:val="20"/>
          <w:szCs w:val="20"/>
          <w:lang w:val="en-GB"/>
        </w:rPr>
        <w:t xml:space="preserve"> 1 mg/L among MSM isolates as the primary proxy for doxycycline non-susceptibility, consistent with surveillance practice. High-level plasmid-mediated resistance (tetM), typically associated with tetracycline MIC </w:t>
      </w:r>
      <m:oMath>
        <m:r>
          <w:rPr>
            <w:rFonts w:ascii="Cambria Math" w:hAnsi="Cambria Math" w:cs="Times New Roman"/>
            <w:sz w:val="20"/>
            <w:szCs w:val="20"/>
            <w:lang w:val="en-GB"/>
          </w:rPr>
          <m:t>≥</m:t>
        </m:r>
      </m:oMath>
      <w:r w:rsidR="00630081" w:rsidRPr="00B424FD">
        <w:rPr>
          <w:rFonts w:ascii="Times New Roman" w:hAnsi="Times New Roman" w:cs="Times New Roman"/>
          <w:sz w:val="20"/>
          <w:szCs w:val="20"/>
          <w:lang w:val="en-GB"/>
        </w:rPr>
        <w:t xml:space="preserve"> 8 mg/L, was available only for the general population; these data were used solely for sensitivity analyses to bound the prevalence of high-level doxycycline resistance in MSM.</w:t>
      </w:r>
    </w:p>
    <w:tbl>
      <w:tblPr>
        <w:tblStyle w:val="TableGrid"/>
        <w:tblW w:w="13958" w:type="dxa"/>
        <w:jc w:val="center"/>
        <w:tblBorders>
          <w:insideV w:val="single" w:sz="4" w:space="0" w:color="auto"/>
        </w:tblBorders>
        <w:tblLook w:val="04A0" w:firstRow="1" w:lastRow="0" w:firstColumn="1" w:lastColumn="0" w:noHBand="0" w:noVBand="1"/>
      </w:tblPr>
      <w:tblGrid>
        <w:gridCol w:w="746"/>
        <w:gridCol w:w="1773"/>
        <w:gridCol w:w="1529"/>
        <w:gridCol w:w="1856"/>
        <w:gridCol w:w="1527"/>
        <w:gridCol w:w="1389"/>
        <w:gridCol w:w="1890"/>
        <w:gridCol w:w="1710"/>
        <w:gridCol w:w="1538"/>
      </w:tblGrid>
      <w:tr w:rsidR="00D95BD9" w:rsidRPr="00B424FD" w14:paraId="6EBD6B1A" w14:textId="3F6EA2B6" w:rsidTr="007D28FF">
        <w:trPr>
          <w:jc w:val="center"/>
        </w:trPr>
        <w:tc>
          <w:tcPr>
            <w:tcW w:w="746" w:type="dxa"/>
            <w:tcBorders>
              <w:top w:val="single" w:sz="4" w:space="0" w:color="auto"/>
              <w:bottom w:val="single" w:sz="4" w:space="0" w:color="auto"/>
              <w:right w:val="nil"/>
            </w:tcBorders>
          </w:tcPr>
          <w:p w14:paraId="2A4310C7"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Year</w:t>
            </w:r>
          </w:p>
        </w:tc>
        <w:tc>
          <w:tcPr>
            <w:tcW w:w="1773" w:type="dxa"/>
            <w:tcBorders>
              <w:top w:val="single" w:sz="4" w:space="0" w:color="auto"/>
              <w:left w:val="nil"/>
              <w:bottom w:val="single" w:sz="4" w:space="0" w:color="auto"/>
              <w:right w:val="nil"/>
            </w:tcBorders>
          </w:tcPr>
          <w:p w14:paraId="69E76FEB" w14:textId="523D3CC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diagnoses</w:t>
            </w:r>
          </w:p>
        </w:tc>
        <w:tc>
          <w:tcPr>
            <w:tcW w:w="1529" w:type="dxa"/>
            <w:tcBorders>
              <w:top w:val="single" w:sz="4" w:space="0" w:color="auto"/>
              <w:left w:val="nil"/>
              <w:bottom w:val="single" w:sz="4" w:space="0" w:color="auto"/>
              <w:right w:val="nil"/>
            </w:tcBorders>
          </w:tcPr>
          <w:p w14:paraId="34A265CB" w14:textId="338889D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tests</w:t>
            </w:r>
          </w:p>
        </w:tc>
        <w:tc>
          <w:tcPr>
            <w:tcW w:w="1856" w:type="dxa"/>
            <w:tcBorders>
              <w:top w:val="single" w:sz="4" w:space="0" w:color="auto"/>
              <w:left w:val="nil"/>
              <w:bottom w:val="single" w:sz="4" w:space="0" w:color="auto"/>
              <w:right w:val="nil"/>
            </w:tcBorders>
          </w:tcPr>
          <w:p w14:paraId="20F3F035" w14:textId="6603A37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MSM in GRASP report</w:t>
            </w:r>
          </w:p>
        </w:tc>
        <w:tc>
          <w:tcPr>
            <w:tcW w:w="1527" w:type="dxa"/>
            <w:tcBorders>
              <w:top w:val="single" w:sz="4" w:space="0" w:color="auto"/>
              <w:left w:val="nil"/>
              <w:bottom w:val="single" w:sz="4" w:space="0" w:color="auto"/>
              <w:right w:val="nil"/>
            </w:tcBorders>
          </w:tcPr>
          <w:p w14:paraId="69308E99" w14:textId="261A639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symptomatic diagnoses in GRASP report</w:t>
            </w:r>
          </w:p>
        </w:tc>
        <w:tc>
          <w:tcPr>
            <w:tcW w:w="1389" w:type="dxa"/>
            <w:tcBorders>
              <w:top w:val="single" w:sz="4" w:space="0" w:color="auto"/>
              <w:left w:val="nil"/>
              <w:bottom w:val="single" w:sz="4" w:space="0" w:color="auto"/>
              <w:right w:val="nil"/>
            </w:tcBorders>
          </w:tcPr>
          <w:p w14:paraId="72FD1652" w14:textId="5D6B12A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Number of asymptomatic diagnoses in GRASP report</w:t>
            </w:r>
          </w:p>
        </w:tc>
        <w:tc>
          <w:tcPr>
            <w:tcW w:w="1890" w:type="dxa"/>
            <w:tcBorders>
              <w:top w:val="single" w:sz="4" w:space="0" w:color="auto"/>
              <w:left w:val="nil"/>
              <w:bottom w:val="single" w:sz="4" w:space="0" w:color="auto"/>
              <w:right w:val="nil"/>
            </w:tcBorders>
          </w:tcPr>
          <w:p w14:paraId="5F1223B7" w14:textId="4DBC514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ceftriaxone-resistant </w:t>
            </w:r>
            <w:r w:rsidR="007D28FF" w:rsidRPr="00B424FD">
              <w:rPr>
                <w:rFonts w:cs="Times New Roman"/>
                <w:color w:val="0D0D0D"/>
                <w:szCs w:val="20"/>
                <w:shd w:val="clear" w:color="auto" w:fill="FFFFFF"/>
                <w:lang w:val="en-GB"/>
              </w:rPr>
              <w:t xml:space="preserve">in MSM         </w:t>
            </w:r>
            <w:proofErr w:type="gramStart"/>
            <w:r w:rsidR="007D28FF" w:rsidRPr="00B424FD">
              <w:rPr>
                <w:rFonts w:cs="Times New Roman"/>
                <w:color w:val="0D0D0D"/>
                <w:szCs w:val="20"/>
                <w:shd w:val="clear" w:color="auto" w:fill="FFFFFF"/>
                <w:lang w:val="en-GB"/>
              </w:rPr>
              <w:t xml:space="preserve">   </w:t>
            </w:r>
            <w:r w:rsidRPr="00B424FD">
              <w:rPr>
                <w:rFonts w:cs="Times New Roman"/>
                <w:color w:val="0D0D0D"/>
                <w:szCs w:val="20"/>
                <w:shd w:val="clear" w:color="auto" w:fill="FFFFFF"/>
                <w:lang w:val="en-GB"/>
              </w:rPr>
              <w:t>(</w:t>
            </w:r>
            <w:proofErr w:type="gramEnd"/>
            <w:r w:rsidRPr="00B424FD">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B424FD">
              <w:rPr>
                <w:rFonts w:cs="Times New Roman"/>
                <w:color w:val="0D0D0D"/>
                <w:szCs w:val="20"/>
                <w:shd w:val="clear" w:color="auto" w:fill="FFFFFF"/>
                <w:lang w:val="en-GB"/>
              </w:rPr>
              <w:t xml:space="preserve"> 0.125mg/L)</w:t>
            </w:r>
          </w:p>
        </w:tc>
        <w:tc>
          <w:tcPr>
            <w:tcW w:w="1710" w:type="dxa"/>
            <w:tcBorders>
              <w:top w:val="single" w:sz="4" w:space="0" w:color="auto"/>
              <w:left w:val="nil"/>
              <w:bottom w:val="single" w:sz="4" w:space="0" w:color="auto"/>
            </w:tcBorders>
          </w:tcPr>
          <w:p w14:paraId="5B9ABA7C" w14:textId="1AA7528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tetracycline-resistant </w:t>
            </w:r>
            <w:r w:rsidR="007D28FF" w:rsidRPr="00B424FD">
              <w:rPr>
                <w:rFonts w:cs="Times New Roman"/>
                <w:color w:val="0D0D0D"/>
                <w:szCs w:val="20"/>
                <w:shd w:val="clear" w:color="auto" w:fill="FFFFFF"/>
                <w:lang w:val="en-GB"/>
              </w:rPr>
              <w:t xml:space="preserve">in MSM </w:t>
            </w:r>
            <w:r w:rsidRPr="00B424FD">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B424FD">
              <w:rPr>
                <w:rFonts w:cs="Times New Roman"/>
                <w:color w:val="0D0D0D"/>
                <w:szCs w:val="20"/>
                <w:shd w:val="clear" w:color="auto" w:fill="FFFFFF"/>
                <w:lang w:val="en-GB"/>
              </w:rPr>
              <w:t xml:space="preserve"> 1mg/L)</w:t>
            </w:r>
          </w:p>
        </w:tc>
        <w:tc>
          <w:tcPr>
            <w:tcW w:w="1538" w:type="dxa"/>
            <w:tcBorders>
              <w:top w:val="single" w:sz="4" w:space="0" w:color="auto"/>
              <w:bottom w:val="single" w:sz="4" w:space="0" w:color="auto"/>
            </w:tcBorders>
          </w:tcPr>
          <w:p w14:paraId="1264EBDF" w14:textId="0619623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 xml:space="preserve">Percentage tetracycline-resistant </w:t>
            </w:r>
            <w:r w:rsidR="007D28FF" w:rsidRPr="00B424FD">
              <w:rPr>
                <w:rFonts w:cs="Times New Roman"/>
                <w:color w:val="0D0D0D"/>
                <w:szCs w:val="20"/>
                <w:shd w:val="clear" w:color="auto" w:fill="FFFFFF"/>
                <w:lang w:val="en-GB"/>
              </w:rPr>
              <w:t xml:space="preserve">     </w:t>
            </w:r>
            <w:proofErr w:type="gramStart"/>
            <w:r w:rsidR="007D28FF" w:rsidRPr="00B424FD">
              <w:rPr>
                <w:rFonts w:cs="Times New Roman"/>
                <w:color w:val="0D0D0D"/>
                <w:szCs w:val="20"/>
                <w:shd w:val="clear" w:color="auto" w:fill="FFFFFF"/>
                <w:lang w:val="en-GB"/>
              </w:rPr>
              <w:t xml:space="preserve">   </w:t>
            </w:r>
            <w:r w:rsidRPr="00B424FD">
              <w:rPr>
                <w:rFonts w:cs="Times New Roman"/>
                <w:color w:val="0D0D0D"/>
                <w:szCs w:val="20"/>
                <w:shd w:val="clear" w:color="auto" w:fill="FFFFFF"/>
                <w:lang w:val="en-GB"/>
              </w:rPr>
              <w:t>(</w:t>
            </w:r>
            <w:proofErr w:type="gramEnd"/>
            <w:r w:rsidRPr="00B424FD">
              <w:rPr>
                <w:rFonts w:cs="Times New Roman"/>
                <w:color w:val="0D0D0D"/>
                <w:szCs w:val="20"/>
                <w:shd w:val="clear" w:color="auto" w:fill="FFFFFF"/>
                <w:lang w:val="en-GB"/>
              </w:rPr>
              <w:t>MIC</w:t>
            </w:r>
            <w:r w:rsidR="003E7919" w:rsidRPr="00B424FD">
              <w:rPr>
                <w:rFonts w:cs="Times New Roman"/>
                <w:color w:val="0D0D0D"/>
                <w:szCs w:val="20"/>
                <w:shd w:val="clear" w:color="auto" w:fill="FFFFFF"/>
                <w:lang w:val="en-GB"/>
              </w:rPr>
              <w:t xml:space="preserve"> </w:t>
            </w:r>
            <m:oMath>
              <m:r>
                <w:rPr>
                  <w:rFonts w:ascii="Cambria Math" w:hAnsi="Cambria Math" w:cs="Times New Roman"/>
                  <w:sz w:val="16"/>
                  <w:szCs w:val="16"/>
                  <w:lang w:val="en-GB"/>
                </w:rPr>
                <m:t>≥</m:t>
              </m:r>
            </m:oMath>
            <w:r w:rsidRPr="00B424FD">
              <w:rPr>
                <w:rFonts w:cs="Times New Roman"/>
                <w:color w:val="0D0D0D"/>
                <w:szCs w:val="20"/>
                <w:shd w:val="clear" w:color="auto" w:fill="FFFFFF"/>
                <w:lang w:val="en-GB"/>
              </w:rPr>
              <w:t xml:space="preserve"> 8mg/L)</w:t>
            </w:r>
          </w:p>
        </w:tc>
      </w:tr>
      <w:tr w:rsidR="00D95BD9" w:rsidRPr="00B424FD" w14:paraId="46193362" w14:textId="44B995FD" w:rsidTr="007D28FF">
        <w:trPr>
          <w:jc w:val="center"/>
        </w:trPr>
        <w:tc>
          <w:tcPr>
            <w:tcW w:w="746" w:type="dxa"/>
            <w:tcBorders>
              <w:top w:val="single" w:sz="4" w:space="0" w:color="auto"/>
              <w:right w:val="nil"/>
            </w:tcBorders>
          </w:tcPr>
          <w:p w14:paraId="73C2B163"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2011</w:t>
            </w:r>
          </w:p>
        </w:tc>
        <w:tc>
          <w:tcPr>
            <w:tcW w:w="1773" w:type="dxa"/>
            <w:tcBorders>
              <w:top w:val="single" w:sz="4" w:space="0" w:color="auto"/>
              <w:left w:val="nil"/>
              <w:right w:val="nil"/>
            </w:tcBorders>
          </w:tcPr>
          <w:p w14:paraId="0F1C2737" w14:textId="2FA33D7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7797</w:t>
            </w:r>
          </w:p>
        </w:tc>
        <w:tc>
          <w:tcPr>
            <w:tcW w:w="1529" w:type="dxa"/>
            <w:tcBorders>
              <w:top w:val="single" w:sz="4" w:space="0" w:color="auto"/>
              <w:left w:val="nil"/>
              <w:bottom w:val="nil"/>
              <w:right w:val="nil"/>
            </w:tcBorders>
          </w:tcPr>
          <w:p w14:paraId="78205630" w14:textId="51DDBBC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86472</w:t>
            </w:r>
          </w:p>
        </w:tc>
        <w:tc>
          <w:tcPr>
            <w:tcW w:w="1856" w:type="dxa"/>
            <w:tcBorders>
              <w:top w:val="single" w:sz="4" w:space="0" w:color="auto"/>
              <w:left w:val="nil"/>
              <w:bottom w:val="nil"/>
              <w:right w:val="nil"/>
            </w:tcBorders>
          </w:tcPr>
          <w:p w14:paraId="0A72B334" w14:textId="5527EF9E"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27" w:type="dxa"/>
            <w:tcBorders>
              <w:top w:val="single" w:sz="4" w:space="0" w:color="auto"/>
              <w:left w:val="nil"/>
              <w:bottom w:val="nil"/>
              <w:right w:val="nil"/>
            </w:tcBorders>
          </w:tcPr>
          <w:p w14:paraId="2D9DD03A" w14:textId="13D82206"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389" w:type="dxa"/>
            <w:tcBorders>
              <w:top w:val="single" w:sz="4" w:space="0" w:color="auto"/>
              <w:left w:val="nil"/>
              <w:bottom w:val="nil"/>
              <w:right w:val="nil"/>
            </w:tcBorders>
          </w:tcPr>
          <w:p w14:paraId="4088A8E2" w14:textId="659DEFAF"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890" w:type="dxa"/>
            <w:tcBorders>
              <w:top w:val="single" w:sz="4" w:space="0" w:color="auto"/>
              <w:left w:val="nil"/>
              <w:right w:val="nil"/>
            </w:tcBorders>
          </w:tcPr>
          <w:p w14:paraId="1D3DD5E8" w14:textId="724E4A6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top w:val="single" w:sz="4" w:space="0" w:color="auto"/>
              <w:left w:val="nil"/>
            </w:tcBorders>
          </w:tcPr>
          <w:p w14:paraId="0E656E83" w14:textId="45054DD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38" w:type="dxa"/>
            <w:tcBorders>
              <w:top w:val="single" w:sz="4" w:space="0" w:color="auto"/>
            </w:tcBorders>
          </w:tcPr>
          <w:p w14:paraId="1EBBEBCB" w14:textId="0B3EC42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348D0FEF" w14:textId="2A519F44" w:rsidTr="007D28FF">
        <w:trPr>
          <w:jc w:val="center"/>
        </w:trPr>
        <w:tc>
          <w:tcPr>
            <w:tcW w:w="746" w:type="dxa"/>
            <w:tcBorders>
              <w:right w:val="nil"/>
            </w:tcBorders>
          </w:tcPr>
          <w:p w14:paraId="4FD51E9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2012</w:t>
            </w:r>
          </w:p>
        </w:tc>
        <w:tc>
          <w:tcPr>
            <w:tcW w:w="1773" w:type="dxa"/>
            <w:tcBorders>
              <w:left w:val="nil"/>
              <w:right w:val="nil"/>
            </w:tcBorders>
          </w:tcPr>
          <w:p w14:paraId="3E03D848" w14:textId="3500E6E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10690</w:t>
            </w:r>
          </w:p>
        </w:tc>
        <w:tc>
          <w:tcPr>
            <w:tcW w:w="1529" w:type="dxa"/>
            <w:tcBorders>
              <w:top w:val="nil"/>
              <w:left w:val="nil"/>
              <w:bottom w:val="nil"/>
              <w:right w:val="nil"/>
            </w:tcBorders>
          </w:tcPr>
          <w:p w14:paraId="4B8319AC" w14:textId="112AC85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99558</w:t>
            </w:r>
          </w:p>
        </w:tc>
        <w:tc>
          <w:tcPr>
            <w:tcW w:w="1856" w:type="dxa"/>
            <w:tcBorders>
              <w:top w:val="nil"/>
              <w:left w:val="nil"/>
              <w:bottom w:val="nil"/>
              <w:right w:val="nil"/>
            </w:tcBorders>
          </w:tcPr>
          <w:p w14:paraId="6B7ED86E" w14:textId="0B976ED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27" w:type="dxa"/>
            <w:tcBorders>
              <w:top w:val="nil"/>
              <w:left w:val="nil"/>
              <w:bottom w:val="nil"/>
              <w:right w:val="nil"/>
            </w:tcBorders>
          </w:tcPr>
          <w:p w14:paraId="286A2925" w14:textId="3D9BF799"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389" w:type="dxa"/>
            <w:tcBorders>
              <w:top w:val="nil"/>
              <w:left w:val="nil"/>
              <w:bottom w:val="nil"/>
              <w:right w:val="nil"/>
            </w:tcBorders>
          </w:tcPr>
          <w:p w14:paraId="502063CF" w14:textId="23767E4D"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890" w:type="dxa"/>
            <w:tcBorders>
              <w:left w:val="nil"/>
              <w:right w:val="nil"/>
            </w:tcBorders>
          </w:tcPr>
          <w:p w14:paraId="0FB10733" w14:textId="55C3B5C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02431400" w14:textId="01F8E8B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c>
          <w:tcPr>
            <w:tcW w:w="1538" w:type="dxa"/>
          </w:tcPr>
          <w:p w14:paraId="1857C959" w14:textId="1CEEABB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9.5</w:t>
            </w:r>
          </w:p>
        </w:tc>
      </w:tr>
      <w:tr w:rsidR="00D95BD9" w:rsidRPr="00B424FD" w14:paraId="0EFC8EF0" w14:textId="7AD42668" w:rsidTr="007D28FF">
        <w:trPr>
          <w:jc w:val="center"/>
        </w:trPr>
        <w:tc>
          <w:tcPr>
            <w:tcW w:w="746" w:type="dxa"/>
            <w:tcBorders>
              <w:right w:val="nil"/>
            </w:tcBorders>
          </w:tcPr>
          <w:p w14:paraId="22A90C22"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2013</w:t>
            </w:r>
          </w:p>
        </w:tc>
        <w:tc>
          <w:tcPr>
            <w:tcW w:w="1773" w:type="dxa"/>
            <w:tcBorders>
              <w:left w:val="nil"/>
              <w:right w:val="nil"/>
            </w:tcBorders>
          </w:tcPr>
          <w:p w14:paraId="4A4332B1" w14:textId="2305CD3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13579</w:t>
            </w:r>
          </w:p>
        </w:tc>
        <w:tc>
          <w:tcPr>
            <w:tcW w:w="1529" w:type="dxa"/>
            <w:tcBorders>
              <w:top w:val="nil"/>
              <w:left w:val="nil"/>
              <w:bottom w:val="nil"/>
              <w:right w:val="nil"/>
            </w:tcBorders>
          </w:tcPr>
          <w:p w14:paraId="6F3F1792" w14:textId="60345B4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114282</w:t>
            </w:r>
          </w:p>
        </w:tc>
        <w:tc>
          <w:tcPr>
            <w:tcW w:w="1856" w:type="dxa"/>
            <w:tcBorders>
              <w:top w:val="nil"/>
              <w:left w:val="nil"/>
              <w:bottom w:val="nil"/>
              <w:right w:val="nil"/>
            </w:tcBorders>
          </w:tcPr>
          <w:p w14:paraId="075816FE" w14:textId="7F7CBBD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1090</w:t>
            </w:r>
          </w:p>
        </w:tc>
        <w:tc>
          <w:tcPr>
            <w:tcW w:w="1527" w:type="dxa"/>
            <w:tcBorders>
              <w:top w:val="nil"/>
              <w:left w:val="nil"/>
              <w:bottom w:val="nil"/>
              <w:right w:val="nil"/>
            </w:tcBorders>
          </w:tcPr>
          <w:p w14:paraId="5C9D5243" w14:textId="432DD0C1"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402</w:t>
            </w:r>
          </w:p>
        </w:tc>
        <w:tc>
          <w:tcPr>
            <w:tcW w:w="1389" w:type="dxa"/>
            <w:tcBorders>
              <w:top w:val="nil"/>
              <w:left w:val="nil"/>
              <w:bottom w:val="nil"/>
              <w:right w:val="nil"/>
            </w:tcBorders>
          </w:tcPr>
          <w:p w14:paraId="300CA7BB" w14:textId="1802C7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191</w:t>
            </w:r>
          </w:p>
        </w:tc>
        <w:tc>
          <w:tcPr>
            <w:tcW w:w="1890" w:type="dxa"/>
            <w:tcBorders>
              <w:left w:val="nil"/>
              <w:right w:val="nil"/>
            </w:tcBorders>
          </w:tcPr>
          <w:p w14:paraId="3708C83D" w14:textId="05A1ECF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0AFBE6A5" w14:textId="6079A5C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92.5</w:t>
            </w:r>
            <w:r w:rsidRPr="00B424FD">
              <w:rPr>
                <w:rStyle w:val="FootnoteReference"/>
                <w:rFonts w:cs="Times New Roman"/>
                <w:color w:val="0D0D0D"/>
                <w:szCs w:val="20"/>
                <w:shd w:val="clear" w:color="auto" w:fill="FFFFFF"/>
                <w:lang w:val="en-GB"/>
              </w:rPr>
              <w:footnoteReference w:id="1"/>
            </w:r>
          </w:p>
        </w:tc>
        <w:tc>
          <w:tcPr>
            <w:tcW w:w="1538" w:type="dxa"/>
          </w:tcPr>
          <w:p w14:paraId="37D26422" w14:textId="6498C11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11.2</w:t>
            </w:r>
          </w:p>
        </w:tc>
      </w:tr>
      <w:tr w:rsidR="00D95BD9" w:rsidRPr="00B424FD" w14:paraId="4BC81B48" w14:textId="1D584C0A" w:rsidTr="007D28FF">
        <w:trPr>
          <w:jc w:val="center"/>
        </w:trPr>
        <w:tc>
          <w:tcPr>
            <w:tcW w:w="746" w:type="dxa"/>
            <w:tcBorders>
              <w:right w:val="nil"/>
            </w:tcBorders>
          </w:tcPr>
          <w:p w14:paraId="0A04507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2014</w:t>
            </w:r>
          </w:p>
        </w:tc>
        <w:tc>
          <w:tcPr>
            <w:tcW w:w="1773" w:type="dxa"/>
            <w:tcBorders>
              <w:left w:val="nil"/>
              <w:right w:val="nil"/>
            </w:tcBorders>
          </w:tcPr>
          <w:p w14:paraId="62901024" w14:textId="13AD81B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18017</w:t>
            </w:r>
          </w:p>
        </w:tc>
        <w:tc>
          <w:tcPr>
            <w:tcW w:w="1529" w:type="dxa"/>
            <w:tcBorders>
              <w:top w:val="nil"/>
              <w:left w:val="nil"/>
              <w:bottom w:val="nil"/>
              <w:right w:val="nil"/>
            </w:tcBorders>
          </w:tcPr>
          <w:p w14:paraId="37A0BFCF" w14:textId="65968CD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146991</w:t>
            </w:r>
          </w:p>
        </w:tc>
        <w:tc>
          <w:tcPr>
            <w:tcW w:w="1856" w:type="dxa"/>
            <w:tcBorders>
              <w:top w:val="nil"/>
              <w:left w:val="nil"/>
              <w:bottom w:val="nil"/>
              <w:right w:val="nil"/>
            </w:tcBorders>
          </w:tcPr>
          <w:p w14:paraId="3E71D7B6" w14:textId="62782E9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1073</w:t>
            </w:r>
          </w:p>
        </w:tc>
        <w:tc>
          <w:tcPr>
            <w:tcW w:w="1527" w:type="dxa"/>
            <w:tcBorders>
              <w:top w:val="nil"/>
              <w:left w:val="nil"/>
              <w:bottom w:val="nil"/>
              <w:right w:val="nil"/>
            </w:tcBorders>
          </w:tcPr>
          <w:p w14:paraId="63126EF8" w14:textId="5542DA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573</w:t>
            </w:r>
          </w:p>
        </w:tc>
        <w:tc>
          <w:tcPr>
            <w:tcW w:w="1389" w:type="dxa"/>
            <w:tcBorders>
              <w:top w:val="nil"/>
              <w:left w:val="nil"/>
              <w:bottom w:val="nil"/>
              <w:right w:val="nil"/>
            </w:tcBorders>
          </w:tcPr>
          <w:p w14:paraId="350417D8" w14:textId="39437652"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361</w:t>
            </w:r>
          </w:p>
        </w:tc>
        <w:tc>
          <w:tcPr>
            <w:tcW w:w="1890" w:type="dxa"/>
            <w:tcBorders>
              <w:left w:val="nil"/>
              <w:right w:val="nil"/>
            </w:tcBorders>
          </w:tcPr>
          <w:p w14:paraId="1DEC6F74" w14:textId="708B8F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368A9FCA" w14:textId="3C077C4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B424FD">
              <w:rPr>
                <w:rFonts w:cs="Times New Roman"/>
                <w:color w:val="0D0D0D"/>
                <w:szCs w:val="20"/>
                <w:shd w:val="clear" w:color="auto" w:fill="FFFFFF"/>
                <w:lang w:val="en-GB"/>
              </w:rPr>
              <w:t>91.5</w:t>
            </w:r>
            <w:r w:rsidRPr="00B424FD">
              <w:rPr>
                <w:rFonts w:cs="Times New Roman"/>
                <w:color w:val="0D0D0D"/>
                <w:szCs w:val="20"/>
                <w:shd w:val="clear" w:color="auto" w:fill="FFFFFF"/>
                <w:vertAlign w:val="superscript"/>
                <w:lang w:val="en-GB"/>
              </w:rPr>
              <w:t>*</w:t>
            </w:r>
          </w:p>
        </w:tc>
        <w:tc>
          <w:tcPr>
            <w:tcW w:w="1538" w:type="dxa"/>
          </w:tcPr>
          <w:p w14:paraId="5F69CD62" w14:textId="057EE1E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0C9DCFA6" w14:textId="78F919D1" w:rsidTr="007D28FF">
        <w:trPr>
          <w:jc w:val="center"/>
        </w:trPr>
        <w:tc>
          <w:tcPr>
            <w:tcW w:w="746" w:type="dxa"/>
            <w:tcBorders>
              <w:right w:val="nil"/>
            </w:tcBorders>
          </w:tcPr>
          <w:p w14:paraId="56CB69B4"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2015</w:t>
            </w:r>
          </w:p>
        </w:tc>
        <w:tc>
          <w:tcPr>
            <w:tcW w:w="1773" w:type="dxa"/>
            <w:tcBorders>
              <w:left w:val="nil"/>
              <w:right w:val="nil"/>
            </w:tcBorders>
          </w:tcPr>
          <w:p w14:paraId="54A30258" w14:textId="02D00AB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22042</w:t>
            </w:r>
          </w:p>
        </w:tc>
        <w:tc>
          <w:tcPr>
            <w:tcW w:w="1529" w:type="dxa"/>
            <w:tcBorders>
              <w:top w:val="nil"/>
              <w:left w:val="nil"/>
              <w:bottom w:val="nil"/>
              <w:right w:val="nil"/>
            </w:tcBorders>
          </w:tcPr>
          <w:p w14:paraId="56B63DCC" w14:textId="3F298E7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162071</w:t>
            </w:r>
          </w:p>
        </w:tc>
        <w:tc>
          <w:tcPr>
            <w:tcW w:w="1856" w:type="dxa"/>
            <w:tcBorders>
              <w:top w:val="nil"/>
              <w:left w:val="nil"/>
              <w:bottom w:val="nil"/>
              <w:right w:val="nil"/>
            </w:tcBorders>
          </w:tcPr>
          <w:p w14:paraId="6A4A915D" w14:textId="2CEB375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1226</w:t>
            </w:r>
          </w:p>
        </w:tc>
        <w:tc>
          <w:tcPr>
            <w:tcW w:w="1527" w:type="dxa"/>
            <w:tcBorders>
              <w:top w:val="nil"/>
              <w:left w:val="nil"/>
              <w:bottom w:val="nil"/>
              <w:right w:val="nil"/>
            </w:tcBorders>
          </w:tcPr>
          <w:p w14:paraId="60454E71" w14:textId="15FA1591"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454</w:t>
            </w:r>
          </w:p>
        </w:tc>
        <w:tc>
          <w:tcPr>
            <w:tcW w:w="1389" w:type="dxa"/>
            <w:tcBorders>
              <w:top w:val="nil"/>
              <w:left w:val="nil"/>
              <w:bottom w:val="nil"/>
              <w:right w:val="nil"/>
            </w:tcBorders>
          </w:tcPr>
          <w:p w14:paraId="7C666DA1" w14:textId="2447E9B0"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358</w:t>
            </w:r>
          </w:p>
        </w:tc>
        <w:tc>
          <w:tcPr>
            <w:tcW w:w="1890" w:type="dxa"/>
            <w:tcBorders>
              <w:left w:val="nil"/>
              <w:right w:val="nil"/>
            </w:tcBorders>
          </w:tcPr>
          <w:p w14:paraId="4A5040DD" w14:textId="791381C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287FD9D1" w14:textId="57F7E5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41.6</w:t>
            </w:r>
          </w:p>
        </w:tc>
        <w:tc>
          <w:tcPr>
            <w:tcW w:w="1538" w:type="dxa"/>
          </w:tcPr>
          <w:p w14:paraId="07605260" w14:textId="0E84141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76F246AD" w14:textId="1544F27C" w:rsidTr="007D28FF">
        <w:trPr>
          <w:trHeight w:val="58"/>
          <w:jc w:val="center"/>
        </w:trPr>
        <w:tc>
          <w:tcPr>
            <w:tcW w:w="746" w:type="dxa"/>
            <w:tcBorders>
              <w:right w:val="nil"/>
            </w:tcBorders>
          </w:tcPr>
          <w:p w14:paraId="1D33D971"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2016</w:t>
            </w:r>
          </w:p>
        </w:tc>
        <w:tc>
          <w:tcPr>
            <w:tcW w:w="1773" w:type="dxa"/>
            <w:tcBorders>
              <w:left w:val="nil"/>
              <w:right w:val="nil"/>
            </w:tcBorders>
          </w:tcPr>
          <w:p w14:paraId="69297820" w14:textId="524B399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17297</w:t>
            </w:r>
          </w:p>
        </w:tc>
        <w:tc>
          <w:tcPr>
            <w:tcW w:w="1529" w:type="dxa"/>
            <w:tcBorders>
              <w:top w:val="nil"/>
              <w:left w:val="nil"/>
              <w:bottom w:val="nil"/>
              <w:right w:val="nil"/>
            </w:tcBorders>
          </w:tcPr>
          <w:p w14:paraId="10FA88CE" w14:textId="7980DD4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170936</w:t>
            </w:r>
          </w:p>
        </w:tc>
        <w:tc>
          <w:tcPr>
            <w:tcW w:w="1856" w:type="dxa"/>
            <w:tcBorders>
              <w:top w:val="nil"/>
              <w:left w:val="nil"/>
              <w:bottom w:val="nil"/>
              <w:right w:val="nil"/>
            </w:tcBorders>
          </w:tcPr>
          <w:p w14:paraId="1FC458FD" w14:textId="286DA25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821</w:t>
            </w:r>
          </w:p>
        </w:tc>
        <w:tc>
          <w:tcPr>
            <w:tcW w:w="1527" w:type="dxa"/>
            <w:tcBorders>
              <w:top w:val="nil"/>
              <w:left w:val="nil"/>
              <w:bottom w:val="nil"/>
              <w:right w:val="nil"/>
            </w:tcBorders>
          </w:tcPr>
          <w:p w14:paraId="5662C376" w14:textId="28C714FA"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366</w:t>
            </w:r>
          </w:p>
        </w:tc>
        <w:tc>
          <w:tcPr>
            <w:tcW w:w="1389" w:type="dxa"/>
            <w:tcBorders>
              <w:top w:val="nil"/>
              <w:left w:val="nil"/>
              <w:bottom w:val="nil"/>
              <w:right w:val="nil"/>
            </w:tcBorders>
          </w:tcPr>
          <w:p w14:paraId="190084C6" w14:textId="48B6E7C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325</w:t>
            </w:r>
          </w:p>
        </w:tc>
        <w:tc>
          <w:tcPr>
            <w:tcW w:w="1890" w:type="dxa"/>
            <w:tcBorders>
              <w:left w:val="nil"/>
              <w:right w:val="nil"/>
            </w:tcBorders>
          </w:tcPr>
          <w:p w14:paraId="24DFC06C" w14:textId="0088BE7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1BDB5728" w14:textId="7112132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45.1</w:t>
            </w:r>
          </w:p>
        </w:tc>
        <w:tc>
          <w:tcPr>
            <w:tcW w:w="1538" w:type="dxa"/>
          </w:tcPr>
          <w:p w14:paraId="11174F13" w14:textId="460A26E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w:t>
            </w:r>
          </w:p>
        </w:tc>
      </w:tr>
      <w:tr w:rsidR="00D95BD9" w:rsidRPr="00B424FD" w14:paraId="3BAFCFBC" w14:textId="46413F14" w:rsidTr="007D28FF">
        <w:trPr>
          <w:jc w:val="center"/>
        </w:trPr>
        <w:tc>
          <w:tcPr>
            <w:tcW w:w="746" w:type="dxa"/>
            <w:tcBorders>
              <w:right w:val="nil"/>
            </w:tcBorders>
          </w:tcPr>
          <w:p w14:paraId="478E5FFF"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2017</w:t>
            </w:r>
          </w:p>
        </w:tc>
        <w:tc>
          <w:tcPr>
            <w:tcW w:w="1773" w:type="dxa"/>
            <w:tcBorders>
              <w:left w:val="nil"/>
              <w:right w:val="nil"/>
            </w:tcBorders>
          </w:tcPr>
          <w:p w14:paraId="3C058AEF" w14:textId="13288D6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21209</w:t>
            </w:r>
          </w:p>
        </w:tc>
        <w:tc>
          <w:tcPr>
            <w:tcW w:w="1529" w:type="dxa"/>
            <w:tcBorders>
              <w:top w:val="nil"/>
              <w:left w:val="nil"/>
              <w:bottom w:val="nil"/>
              <w:right w:val="nil"/>
            </w:tcBorders>
          </w:tcPr>
          <w:p w14:paraId="335410A4" w14:textId="10EFAD7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190941</w:t>
            </w:r>
          </w:p>
        </w:tc>
        <w:tc>
          <w:tcPr>
            <w:tcW w:w="1856" w:type="dxa"/>
            <w:tcBorders>
              <w:top w:val="nil"/>
              <w:left w:val="nil"/>
              <w:bottom w:val="nil"/>
              <w:right w:val="nil"/>
            </w:tcBorders>
          </w:tcPr>
          <w:p w14:paraId="0E104717" w14:textId="765EF11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839</w:t>
            </w:r>
          </w:p>
        </w:tc>
        <w:tc>
          <w:tcPr>
            <w:tcW w:w="1527" w:type="dxa"/>
            <w:tcBorders>
              <w:top w:val="nil"/>
              <w:left w:val="nil"/>
              <w:bottom w:val="nil"/>
              <w:right w:val="nil"/>
            </w:tcBorders>
          </w:tcPr>
          <w:p w14:paraId="392226B8" w14:textId="4A3B6032"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355</w:t>
            </w:r>
          </w:p>
        </w:tc>
        <w:tc>
          <w:tcPr>
            <w:tcW w:w="1389" w:type="dxa"/>
            <w:tcBorders>
              <w:top w:val="nil"/>
              <w:left w:val="nil"/>
              <w:bottom w:val="nil"/>
              <w:right w:val="nil"/>
            </w:tcBorders>
          </w:tcPr>
          <w:p w14:paraId="4428A66D" w14:textId="3F4AEA2B"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327</w:t>
            </w:r>
          </w:p>
        </w:tc>
        <w:tc>
          <w:tcPr>
            <w:tcW w:w="1890" w:type="dxa"/>
            <w:tcBorders>
              <w:left w:val="nil"/>
              <w:right w:val="nil"/>
            </w:tcBorders>
          </w:tcPr>
          <w:p w14:paraId="23ED62CA" w14:textId="43F25EB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7339A368" w14:textId="6DF3CB9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54.4</w:t>
            </w:r>
          </w:p>
        </w:tc>
        <w:tc>
          <w:tcPr>
            <w:tcW w:w="1538" w:type="dxa"/>
          </w:tcPr>
          <w:p w14:paraId="501DBE6D" w14:textId="7D0F10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43.7</w:t>
            </w:r>
          </w:p>
        </w:tc>
      </w:tr>
      <w:tr w:rsidR="00D95BD9" w:rsidRPr="00B424FD" w14:paraId="07D7E33D" w14:textId="201F4579" w:rsidTr="007D28FF">
        <w:trPr>
          <w:jc w:val="center"/>
        </w:trPr>
        <w:tc>
          <w:tcPr>
            <w:tcW w:w="746" w:type="dxa"/>
            <w:tcBorders>
              <w:right w:val="nil"/>
            </w:tcBorders>
          </w:tcPr>
          <w:p w14:paraId="62C14220"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2018</w:t>
            </w:r>
          </w:p>
        </w:tc>
        <w:tc>
          <w:tcPr>
            <w:tcW w:w="1773" w:type="dxa"/>
            <w:tcBorders>
              <w:left w:val="nil"/>
              <w:right w:val="nil"/>
            </w:tcBorders>
          </w:tcPr>
          <w:p w14:paraId="2B12B5DF" w14:textId="3B94A24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26748</w:t>
            </w:r>
          </w:p>
        </w:tc>
        <w:tc>
          <w:tcPr>
            <w:tcW w:w="1529" w:type="dxa"/>
            <w:tcBorders>
              <w:top w:val="nil"/>
              <w:left w:val="nil"/>
              <w:bottom w:val="nil"/>
              <w:right w:val="nil"/>
            </w:tcBorders>
          </w:tcPr>
          <w:p w14:paraId="53DEF618" w14:textId="4C9BD398"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228103</w:t>
            </w:r>
          </w:p>
        </w:tc>
        <w:tc>
          <w:tcPr>
            <w:tcW w:w="1856" w:type="dxa"/>
            <w:tcBorders>
              <w:top w:val="nil"/>
              <w:left w:val="nil"/>
              <w:bottom w:val="nil"/>
              <w:right w:val="nil"/>
            </w:tcBorders>
          </w:tcPr>
          <w:p w14:paraId="5C0040F7" w14:textId="3B0F453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799</w:t>
            </w:r>
          </w:p>
        </w:tc>
        <w:tc>
          <w:tcPr>
            <w:tcW w:w="1527" w:type="dxa"/>
            <w:tcBorders>
              <w:top w:val="nil"/>
              <w:left w:val="nil"/>
              <w:bottom w:val="nil"/>
              <w:right w:val="nil"/>
            </w:tcBorders>
          </w:tcPr>
          <w:p w14:paraId="6271B7A0" w14:textId="592C9A14"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361</w:t>
            </w:r>
          </w:p>
        </w:tc>
        <w:tc>
          <w:tcPr>
            <w:tcW w:w="1389" w:type="dxa"/>
            <w:tcBorders>
              <w:top w:val="nil"/>
              <w:left w:val="nil"/>
              <w:bottom w:val="nil"/>
              <w:right w:val="nil"/>
            </w:tcBorders>
          </w:tcPr>
          <w:p w14:paraId="2B075967" w14:textId="21F168AD" w:rsidR="00E5498B" w:rsidRPr="00B424FD"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328</w:t>
            </w:r>
          </w:p>
        </w:tc>
        <w:tc>
          <w:tcPr>
            <w:tcW w:w="1890" w:type="dxa"/>
            <w:tcBorders>
              <w:left w:val="nil"/>
              <w:right w:val="nil"/>
            </w:tcBorders>
          </w:tcPr>
          <w:p w14:paraId="725DF0AC" w14:textId="6685833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542B3E3A" w14:textId="26ABECB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63.6</w:t>
            </w:r>
          </w:p>
        </w:tc>
        <w:tc>
          <w:tcPr>
            <w:tcW w:w="1538" w:type="dxa"/>
          </w:tcPr>
          <w:p w14:paraId="6AB8FFAE" w14:textId="28D241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43.2</w:t>
            </w:r>
          </w:p>
        </w:tc>
      </w:tr>
      <w:tr w:rsidR="00D95BD9" w:rsidRPr="00B424FD" w14:paraId="58ECEB2E" w14:textId="5635B66A" w:rsidTr="00932C73">
        <w:trPr>
          <w:jc w:val="center"/>
        </w:trPr>
        <w:tc>
          <w:tcPr>
            <w:tcW w:w="746" w:type="dxa"/>
            <w:tcBorders>
              <w:bottom w:val="nil"/>
              <w:right w:val="nil"/>
            </w:tcBorders>
          </w:tcPr>
          <w:p w14:paraId="0035499F"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2019</w:t>
            </w:r>
          </w:p>
        </w:tc>
        <w:tc>
          <w:tcPr>
            <w:tcW w:w="1773" w:type="dxa"/>
            <w:tcBorders>
              <w:left w:val="nil"/>
              <w:bottom w:val="nil"/>
              <w:right w:val="nil"/>
            </w:tcBorders>
          </w:tcPr>
          <w:p w14:paraId="1755FD8E" w14:textId="4E81EEA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33634</w:t>
            </w:r>
          </w:p>
        </w:tc>
        <w:tc>
          <w:tcPr>
            <w:tcW w:w="1529" w:type="dxa"/>
            <w:tcBorders>
              <w:top w:val="nil"/>
              <w:left w:val="nil"/>
              <w:bottom w:val="nil"/>
              <w:right w:val="nil"/>
            </w:tcBorders>
          </w:tcPr>
          <w:p w14:paraId="5FA69BC7" w14:textId="694EE94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268605</w:t>
            </w:r>
          </w:p>
        </w:tc>
        <w:tc>
          <w:tcPr>
            <w:tcW w:w="1856" w:type="dxa"/>
            <w:tcBorders>
              <w:top w:val="nil"/>
              <w:left w:val="nil"/>
              <w:bottom w:val="nil"/>
              <w:right w:val="nil"/>
            </w:tcBorders>
          </w:tcPr>
          <w:p w14:paraId="118E188A" w14:textId="2B93C98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971</w:t>
            </w:r>
          </w:p>
        </w:tc>
        <w:tc>
          <w:tcPr>
            <w:tcW w:w="1527" w:type="dxa"/>
            <w:tcBorders>
              <w:top w:val="nil"/>
              <w:left w:val="nil"/>
              <w:bottom w:val="nil"/>
              <w:right w:val="nil"/>
            </w:tcBorders>
          </w:tcPr>
          <w:p w14:paraId="3C782FA8" w14:textId="6C9C3A46" w:rsidR="00E5498B" w:rsidRPr="00B424FD"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408</w:t>
            </w:r>
          </w:p>
        </w:tc>
        <w:tc>
          <w:tcPr>
            <w:tcW w:w="1389" w:type="dxa"/>
            <w:tcBorders>
              <w:top w:val="nil"/>
              <w:left w:val="nil"/>
              <w:bottom w:val="nil"/>
              <w:right w:val="nil"/>
            </w:tcBorders>
          </w:tcPr>
          <w:p w14:paraId="420C4E67" w14:textId="4C25B11D" w:rsidR="00E5498B" w:rsidRPr="00B424FD"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419</w:t>
            </w:r>
          </w:p>
        </w:tc>
        <w:tc>
          <w:tcPr>
            <w:tcW w:w="1890" w:type="dxa"/>
            <w:tcBorders>
              <w:left w:val="nil"/>
              <w:bottom w:val="nil"/>
              <w:right w:val="nil"/>
            </w:tcBorders>
          </w:tcPr>
          <w:p w14:paraId="6F7B90B7" w14:textId="53FD93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bottom w:val="nil"/>
            </w:tcBorders>
          </w:tcPr>
          <w:p w14:paraId="68B73222" w14:textId="6A2BC7D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75.0</w:t>
            </w:r>
          </w:p>
        </w:tc>
        <w:tc>
          <w:tcPr>
            <w:tcW w:w="1538" w:type="dxa"/>
            <w:tcBorders>
              <w:bottom w:val="nil"/>
            </w:tcBorders>
          </w:tcPr>
          <w:p w14:paraId="65A3D22D" w14:textId="62D80AB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45.2</w:t>
            </w:r>
          </w:p>
        </w:tc>
      </w:tr>
      <w:tr w:rsidR="00393D45" w:rsidRPr="00B424FD" w14:paraId="02936333" w14:textId="77777777" w:rsidTr="00932C73">
        <w:trPr>
          <w:jc w:val="center"/>
        </w:trPr>
        <w:tc>
          <w:tcPr>
            <w:tcW w:w="746" w:type="dxa"/>
            <w:tcBorders>
              <w:top w:val="nil"/>
              <w:bottom w:val="nil"/>
              <w:right w:val="nil"/>
            </w:tcBorders>
          </w:tcPr>
          <w:p w14:paraId="77C8A8D0" w14:textId="4CEC4A2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2020</w:t>
            </w:r>
            <w:r w:rsidRPr="00B424FD">
              <w:rPr>
                <w:rStyle w:val="FootnoteReference"/>
                <w:rFonts w:cs="Times New Roman"/>
                <w:color w:val="0D0D0D"/>
                <w:szCs w:val="20"/>
                <w:highlight w:val="yellow"/>
                <w:shd w:val="clear" w:color="auto" w:fill="FFFFFF"/>
                <w:lang w:val="en-GB"/>
              </w:rPr>
              <w:footnoteReference w:customMarkFollows="1" w:id="2"/>
              <w:t>**</w:t>
            </w:r>
          </w:p>
        </w:tc>
        <w:tc>
          <w:tcPr>
            <w:tcW w:w="1773" w:type="dxa"/>
            <w:tcBorders>
              <w:top w:val="nil"/>
              <w:left w:val="nil"/>
              <w:bottom w:val="nil"/>
              <w:right w:val="nil"/>
            </w:tcBorders>
          </w:tcPr>
          <w:p w14:paraId="68011A70" w14:textId="75790F9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24936</w:t>
            </w:r>
          </w:p>
        </w:tc>
        <w:tc>
          <w:tcPr>
            <w:tcW w:w="1529" w:type="dxa"/>
            <w:tcBorders>
              <w:top w:val="nil"/>
              <w:left w:val="nil"/>
              <w:bottom w:val="nil"/>
              <w:right w:val="nil"/>
            </w:tcBorders>
          </w:tcPr>
          <w:p w14:paraId="0ED79356" w14:textId="1465D0F3"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219721</w:t>
            </w:r>
          </w:p>
        </w:tc>
        <w:tc>
          <w:tcPr>
            <w:tcW w:w="1856" w:type="dxa"/>
            <w:tcBorders>
              <w:top w:val="nil"/>
              <w:left w:val="nil"/>
              <w:bottom w:val="nil"/>
              <w:right w:val="nil"/>
            </w:tcBorders>
          </w:tcPr>
          <w:p w14:paraId="01A0169C" w14:textId="15B2FE6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785</w:t>
            </w:r>
          </w:p>
        </w:tc>
        <w:tc>
          <w:tcPr>
            <w:tcW w:w="1527" w:type="dxa"/>
            <w:tcBorders>
              <w:top w:val="nil"/>
              <w:left w:val="nil"/>
              <w:bottom w:val="nil"/>
              <w:right w:val="nil"/>
            </w:tcBorders>
          </w:tcPr>
          <w:p w14:paraId="5F437C1A" w14:textId="7DA0F0A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410</w:t>
            </w:r>
          </w:p>
        </w:tc>
        <w:tc>
          <w:tcPr>
            <w:tcW w:w="1389" w:type="dxa"/>
            <w:tcBorders>
              <w:top w:val="nil"/>
              <w:left w:val="nil"/>
              <w:bottom w:val="nil"/>
              <w:right w:val="nil"/>
            </w:tcBorders>
          </w:tcPr>
          <w:p w14:paraId="47F1757D" w14:textId="5D64053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265</w:t>
            </w:r>
          </w:p>
        </w:tc>
        <w:tc>
          <w:tcPr>
            <w:tcW w:w="1890" w:type="dxa"/>
            <w:tcBorders>
              <w:top w:val="nil"/>
              <w:left w:val="nil"/>
              <w:bottom w:val="nil"/>
              <w:right w:val="nil"/>
            </w:tcBorders>
          </w:tcPr>
          <w:p w14:paraId="0D6023AA" w14:textId="6D288E8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0.0</w:t>
            </w:r>
          </w:p>
        </w:tc>
        <w:tc>
          <w:tcPr>
            <w:tcW w:w="1710" w:type="dxa"/>
            <w:tcBorders>
              <w:top w:val="nil"/>
              <w:left w:val="nil"/>
              <w:bottom w:val="nil"/>
              <w:right w:val="single" w:sz="4" w:space="0" w:color="auto"/>
            </w:tcBorders>
          </w:tcPr>
          <w:p w14:paraId="3C44F697" w14:textId="07E7A13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79.2</w:t>
            </w:r>
          </w:p>
        </w:tc>
        <w:tc>
          <w:tcPr>
            <w:tcW w:w="1538" w:type="dxa"/>
            <w:tcBorders>
              <w:top w:val="nil"/>
              <w:left w:val="single" w:sz="4" w:space="0" w:color="auto"/>
              <w:bottom w:val="nil"/>
            </w:tcBorders>
          </w:tcPr>
          <w:p w14:paraId="3CB4E3C9" w14:textId="3080CEB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30.7</w:t>
            </w:r>
          </w:p>
        </w:tc>
      </w:tr>
      <w:tr w:rsidR="00393D45" w:rsidRPr="00B424FD" w14:paraId="58DA3189" w14:textId="77777777" w:rsidTr="00932C73">
        <w:trPr>
          <w:jc w:val="center"/>
        </w:trPr>
        <w:tc>
          <w:tcPr>
            <w:tcW w:w="746" w:type="dxa"/>
            <w:tcBorders>
              <w:top w:val="nil"/>
              <w:bottom w:val="nil"/>
              <w:right w:val="nil"/>
            </w:tcBorders>
          </w:tcPr>
          <w:p w14:paraId="54ECB8AC" w14:textId="32C3FFF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vertAlign w:val="superscript"/>
                <w:lang w:val="en-GB"/>
              </w:rPr>
            </w:pPr>
            <w:r w:rsidRPr="00B424FD">
              <w:rPr>
                <w:rFonts w:cs="Times New Roman"/>
                <w:color w:val="0D0D0D"/>
                <w:szCs w:val="20"/>
                <w:highlight w:val="yellow"/>
                <w:shd w:val="clear" w:color="auto" w:fill="FFFFFF"/>
                <w:lang w:val="en-GB"/>
              </w:rPr>
              <w:t>2021</w:t>
            </w:r>
            <w:r w:rsidRPr="00B424FD">
              <w:rPr>
                <w:rFonts w:cs="Times New Roman"/>
                <w:color w:val="0D0D0D"/>
                <w:szCs w:val="20"/>
                <w:highlight w:val="yellow"/>
                <w:shd w:val="clear" w:color="auto" w:fill="FFFFFF"/>
                <w:vertAlign w:val="superscript"/>
                <w:lang w:val="en-GB"/>
              </w:rPr>
              <w:t>**</w:t>
            </w:r>
          </w:p>
        </w:tc>
        <w:tc>
          <w:tcPr>
            <w:tcW w:w="1773" w:type="dxa"/>
            <w:tcBorders>
              <w:top w:val="nil"/>
              <w:left w:val="nil"/>
              <w:bottom w:val="nil"/>
              <w:right w:val="nil"/>
            </w:tcBorders>
          </w:tcPr>
          <w:p w14:paraId="1875855D" w14:textId="1ECE70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24830</w:t>
            </w:r>
          </w:p>
        </w:tc>
        <w:tc>
          <w:tcPr>
            <w:tcW w:w="1529" w:type="dxa"/>
            <w:tcBorders>
              <w:top w:val="nil"/>
              <w:left w:val="nil"/>
              <w:bottom w:val="nil"/>
              <w:right w:val="nil"/>
            </w:tcBorders>
          </w:tcPr>
          <w:p w14:paraId="3D027C30" w14:textId="2CDE2FE9"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260778</w:t>
            </w:r>
          </w:p>
        </w:tc>
        <w:tc>
          <w:tcPr>
            <w:tcW w:w="1856" w:type="dxa"/>
            <w:tcBorders>
              <w:top w:val="nil"/>
              <w:left w:val="nil"/>
              <w:bottom w:val="nil"/>
              <w:right w:val="nil"/>
            </w:tcBorders>
          </w:tcPr>
          <w:p w14:paraId="3126A3B9" w14:textId="7F3C07C1"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894</w:t>
            </w:r>
          </w:p>
        </w:tc>
        <w:tc>
          <w:tcPr>
            <w:tcW w:w="1527" w:type="dxa"/>
            <w:tcBorders>
              <w:top w:val="nil"/>
              <w:left w:val="nil"/>
              <w:bottom w:val="nil"/>
              <w:right w:val="nil"/>
            </w:tcBorders>
          </w:tcPr>
          <w:p w14:paraId="10573274" w14:textId="211643D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411</w:t>
            </w:r>
          </w:p>
        </w:tc>
        <w:tc>
          <w:tcPr>
            <w:tcW w:w="1389" w:type="dxa"/>
            <w:tcBorders>
              <w:top w:val="nil"/>
              <w:left w:val="nil"/>
              <w:bottom w:val="nil"/>
              <w:right w:val="nil"/>
            </w:tcBorders>
          </w:tcPr>
          <w:p w14:paraId="3052EA8B" w14:textId="738BB2C4"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483</w:t>
            </w:r>
          </w:p>
        </w:tc>
        <w:tc>
          <w:tcPr>
            <w:tcW w:w="1890" w:type="dxa"/>
            <w:tcBorders>
              <w:top w:val="nil"/>
              <w:left w:val="nil"/>
              <w:bottom w:val="nil"/>
              <w:right w:val="nil"/>
            </w:tcBorders>
          </w:tcPr>
          <w:p w14:paraId="6F8A0352" w14:textId="1535142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0.0</w:t>
            </w:r>
          </w:p>
        </w:tc>
        <w:tc>
          <w:tcPr>
            <w:tcW w:w="1710" w:type="dxa"/>
            <w:tcBorders>
              <w:top w:val="nil"/>
              <w:left w:val="nil"/>
              <w:bottom w:val="nil"/>
              <w:right w:val="single" w:sz="4" w:space="0" w:color="auto"/>
            </w:tcBorders>
          </w:tcPr>
          <w:p w14:paraId="1CAE4605" w14:textId="508F3415"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86.0</w:t>
            </w:r>
          </w:p>
        </w:tc>
        <w:tc>
          <w:tcPr>
            <w:tcW w:w="1538" w:type="dxa"/>
            <w:tcBorders>
              <w:top w:val="nil"/>
              <w:left w:val="single" w:sz="4" w:space="0" w:color="auto"/>
              <w:bottom w:val="nil"/>
            </w:tcBorders>
          </w:tcPr>
          <w:p w14:paraId="64C0F093" w14:textId="2596E23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highlight w:val="yellow"/>
                <w:shd w:val="clear" w:color="auto" w:fill="FFFFFF"/>
                <w:lang w:val="en-GB"/>
              </w:rPr>
            </w:pPr>
            <w:r w:rsidRPr="00B424FD">
              <w:rPr>
                <w:rFonts w:cs="Times New Roman"/>
                <w:color w:val="0D0D0D"/>
                <w:szCs w:val="20"/>
                <w:highlight w:val="yellow"/>
                <w:shd w:val="clear" w:color="auto" w:fill="FFFFFF"/>
                <w:lang w:val="en-GB"/>
              </w:rPr>
              <w:t>33.6</w:t>
            </w:r>
          </w:p>
        </w:tc>
      </w:tr>
      <w:tr w:rsidR="00D95BD9" w:rsidRPr="00B424FD" w14:paraId="30BA7BAE" w14:textId="58C30819" w:rsidTr="007D28FF">
        <w:trPr>
          <w:jc w:val="center"/>
        </w:trPr>
        <w:tc>
          <w:tcPr>
            <w:tcW w:w="746" w:type="dxa"/>
            <w:tcBorders>
              <w:top w:val="nil"/>
              <w:right w:val="nil"/>
            </w:tcBorders>
          </w:tcPr>
          <w:p w14:paraId="14072D92"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2022</w:t>
            </w:r>
          </w:p>
        </w:tc>
        <w:tc>
          <w:tcPr>
            <w:tcW w:w="1773" w:type="dxa"/>
            <w:tcBorders>
              <w:top w:val="nil"/>
              <w:left w:val="nil"/>
              <w:right w:val="nil"/>
            </w:tcBorders>
          </w:tcPr>
          <w:p w14:paraId="726BE844" w14:textId="122BD8C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36933</w:t>
            </w:r>
          </w:p>
        </w:tc>
        <w:tc>
          <w:tcPr>
            <w:tcW w:w="1529" w:type="dxa"/>
            <w:tcBorders>
              <w:top w:val="nil"/>
              <w:left w:val="nil"/>
              <w:bottom w:val="nil"/>
              <w:right w:val="nil"/>
            </w:tcBorders>
          </w:tcPr>
          <w:p w14:paraId="292AEB5E" w14:textId="1DD4152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323012</w:t>
            </w:r>
          </w:p>
        </w:tc>
        <w:tc>
          <w:tcPr>
            <w:tcW w:w="1856" w:type="dxa"/>
            <w:tcBorders>
              <w:top w:val="nil"/>
              <w:left w:val="nil"/>
              <w:bottom w:val="nil"/>
              <w:right w:val="nil"/>
            </w:tcBorders>
          </w:tcPr>
          <w:p w14:paraId="37F20F8D" w14:textId="236307B2"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852</w:t>
            </w:r>
          </w:p>
        </w:tc>
        <w:tc>
          <w:tcPr>
            <w:tcW w:w="1527" w:type="dxa"/>
            <w:tcBorders>
              <w:top w:val="nil"/>
              <w:left w:val="nil"/>
              <w:bottom w:val="nil"/>
              <w:right w:val="nil"/>
            </w:tcBorders>
          </w:tcPr>
          <w:p w14:paraId="6D14F324" w14:textId="5CC0B759"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367</w:t>
            </w:r>
          </w:p>
        </w:tc>
        <w:tc>
          <w:tcPr>
            <w:tcW w:w="1389" w:type="dxa"/>
            <w:tcBorders>
              <w:top w:val="nil"/>
              <w:left w:val="nil"/>
              <w:bottom w:val="nil"/>
              <w:right w:val="nil"/>
            </w:tcBorders>
          </w:tcPr>
          <w:p w14:paraId="33FFE52C" w14:textId="4E2A5E23"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481</w:t>
            </w:r>
          </w:p>
        </w:tc>
        <w:tc>
          <w:tcPr>
            <w:tcW w:w="1890" w:type="dxa"/>
            <w:tcBorders>
              <w:top w:val="nil"/>
              <w:left w:val="nil"/>
              <w:right w:val="nil"/>
            </w:tcBorders>
          </w:tcPr>
          <w:p w14:paraId="2A5D754F" w14:textId="77FCB02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top w:val="nil"/>
              <w:left w:val="nil"/>
            </w:tcBorders>
          </w:tcPr>
          <w:p w14:paraId="64FF7F06" w14:textId="435CD04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68.5</w:t>
            </w:r>
          </w:p>
        </w:tc>
        <w:tc>
          <w:tcPr>
            <w:tcW w:w="1538" w:type="dxa"/>
            <w:tcBorders>
              <w:top w:val="nil"/>
            </w:tcBorders>
          </w:tcPr>
          <w:p w14:paraId="4D1A9BAC" w14:textId="7E97DEE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18.3</w:t>
            </w:r>
          </w:p>
        </w:tc>
      </w:tr>
      <w:tr w:rsidR="00D95BD9" w:rsidRPr="00B424FD" w14:paraId="79866FA1" w14:textId="10D2E13D" w:rsidTr="007D28FF">
        <w:trPr>
          <w:jc w:val="center"/>
        </w:trPr>
        <w:tc>
          <w:tcPr>
            <w:tcW w:w="746" w:type="dxa"/>
            <w:tcBorders>
              <w:right w:val="nil"/>
            </w:tcBorders>
          </w:tcPr>
          <w:p w14:paraId="7D27892A"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2023</w:t>
            </w:r>
          </w:p>
        </w:tc>
        <w:tc>
          <w:tcPr>
            <w:tcW w:w="1773" w:type="dxa"/>
            <w:tcBorders>
              <w:left w:val="nil"/>
              <w:bottom w:val="nil"/>
              <w:right w:val="nil"/>
            </w:tcBorders>
          </w:tcPr>
          <w:p w14:paraId="70C610FB" w14:textId="35C5531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40344</w:t>
            </w:r>
          </w:p>
        </w:tc>
        <w:tc>
          <w:tcPr>
            <w:tcW w:w="1529" w:type="dxa"/>
            <w:tcBorders>
              <w:top w:val="nil"/>
              <w:left w:val="nil"/>
              <w:bottom w:val="nil"/>
              <w:right w:val="nil"/>
            </w:tcBorders>
          </w:tcPr>
          <w:p w14:paraId="46CFFDD0" w14:textId="13886E64"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364015</w:t>
            </w:r>
          </w:p>
        </w:tc>
        <w:tc>
          <w:tcPr>
            <w:tcW w:w="1856" w:type="dxa"/>
            <w:tcBorders>
              <w:top w:val="nil"/>
              <w:left w:val="nil"/>
              <w:bottom w:val="nil"/>
              <w:right w:val="nil"/>
            </w:tcBorders>
          </w:tcPr>
          <w:p w14:paraId="5417F580" w14:textId="6E94355C"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1052</w:t>
            </w:r>
          </w:p>
        </w:tc>
        <w:tc>
          <w:tcPr>
            <w:tcW w:w="1527" w:type="dxa"/>
            <w:tcBorders>
              <w:top w:val="nil"/>
              <w:left w:val="nil"/>
              <w:bottom w:val="nil"/>
              <w:right w:val="nil"/>
            </w:tcBorders>
          </w:tcPr>
          <w:p w14:paraId="10D58F00" w14:textId="2D1BDF8B"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406</w:t>
            </w:r>
          </w:p>
        </w:tc>
        <w:tc>
          <w:tcPr>
            <w:tcW w:w="1389" w:type="dxa"/>
            <w:tcBorders>
              <w:top w:val="nil"/>
              <w:left w:val="nil"/>
              <w:bottom w:val="nil"/>
              <w:right w:val="nil"/>
            </w:tcBorders>
          </w:tcPr>
          <w:p w14:paraId="70293CDF" w14:textId="7CDBE650"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646</w:t>
            </w:r>
          </w:p>
        </w:tc>
        <w:tc>
          <w:tcPr>
            <w:tcW w:w="1890" w:type="dxa"/>
            <w:tcBorders>
              <w:left w:val="nil"/>
              <w:right w:val="nil"/>
            </w:tcBorders>
          </w:tcPr>
          <w:p w14:paraId="276935EF" w14:textId="7B07AA9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2C4DF5EC" w14:textId="5FA83730"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85.9</w:t>
            </w:r>
            <w:r w:rsidRPr="00B424FD">
              <w:rPr>
                <w:rStyle w:val="FootnoteReference"/>
                <w:rFonts w:cs="Times New Roman"/>
                <w:color w:val="0D0D0D"/>
                <w:szCs w:val="20"/>
                <w:shd w:val="clear" w:color="auto" w:fill="FFFFFF"/>
                <w:lang w:val="en-GB"/>
              </w:rPr>
              <w:footnoteReference w:customMarkFollows="1" w:id="3"/>
              <w:t>***</w:t>
            </w:r>
          </w:p>
        </w:tc>
        <w:tc>
          <w:tcPr>
            <w:tcW w:w="1538" w:type="dxa"/>
          </w:tcPr>
          <w:p w14:paraId="0517AD24" w14:textId="4087043D"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16.8</w:t>
            </w:r>
          </w:p>
        </w:tc>
      </w:tr>
      <w:tr w:rsidR="00D95BD9" w:rsidRPr="00B424FD" w14:paraId="59166660" w14:textId="7859F898" w:rsidTr="007D28FF">
        <w:trPr>
          <w:jc w:val="center"/>
        </w:trPr>
        <w:tc>
          <w:tcPr>
            <w:tcW w:w="746" w:type="dxa"/>
            <w:tcBorders>
              <w:bottom w:val="single" w:sz="4" w:space="0" w:color="auto"/>
              <w:right w:val="nil"/>
            </w:tcBorders>
          </w:tcPr>
          <w:p w14:paraId="35757CD5" w14:textId="77777777"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2024</w:t>
            </w:r>
          </w:p>
        </w:tc>
        <w:tc>
          <w:tcPr>
            <w:tcW w:w="1773" w:type="dxa"/>
            <w:tcBorders>
              <w:top w:val="nil"/>
              <w:left w:val="nil"/>
              <w:bottom w:val="single" w:sz="4" w:space="0" w:color="auto"/>
              <w:right w:val="nil"/>
            </w:tcBorders>
          </w:tcPr>
          <w:p w14:paraId="7742CF44" w14:textId="43FE69C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38647</w:t>
            </w:r>
          </w:p>
        </w:tc>
        <w:tc>
          <w:tcPr>
            <w:tcW w:w="1529" w:type="dxa"/>
            <w:tcBorders>
              <w:top w:val="nil"/>
              <w:left w:val="nil"/>
              <w:bottom w:val="single" w:sz="4" w:space="0" w:color="auto"/>
              <w:right w:val="nil"/>
            </w:tcBorders>
          </w:tcPr>
          <w:p w14:paraId="6B5C4931" w14:textId="15183096"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372371</w:t>
            </w:r>
          </w:p>
        </w:tc>
        <w:tc>
          <w:tcPr>
            <w:tcW w:w="1856" w:type="dxa"/>
            <w:tcBorders>
              <w:top w:val="nil"/>
              <w:left w:val="nil"/>
              <w:bottom w:val="single" w:sz="4" w:space="0" w:color="auto"/>
              <w:right w:val="nil"/>
            </w:tcBorders>
          </w:tcPr>
          <w:p w14:paraId="3C577557" w14:textId="3448E3E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971</w:t>
            </w:r>
          </w:p>
        </w:tc>
        <w:tc>
          <w:tcPr>
            <w:tcW w:w="1527" w:type="dxa"/>
            <w:tcBorders>
              <w:top w:val="nil"/>
              <w:left w:val="nil"/>
              <w:bottom w:val="single" w:sz="4" w:space="0" w:color="auto"/>
              <w:right w:val="nil"/>
            </w:tcBorders>
          </w:tcPr>
          <w:p w14:paraId="6429CC84" w14:textId="7F971C24"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437</w:t>
            </w:r>
          </w:p>
        </w:tc>
        <w:tc>
          <w:tcPr>
            <w:tcW w:w="1389" w:type="dxa"/>
            <w:tcBorders>
              <w:top w:val="nil"/>
              <w:left w:val="nil"/>
              <w:bottom w:val="single" w:sz="4" w:space="0" w:color="auto"/>
              <w:right w:val="nil"/>
            </w:tcBorders>
          </w:tcPr>
          <w:p w14:paraId="2371D6E3" w14:textId="3200A165" w:rsidR="00E5498B" w:rsidRPr="00B424FD"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530</w:t>
            </w:r>
          </w:p>
        </w:tc>
        <w:tc>
          <w:tcPr>
            <w:tcW w:w="1890" w:type="dxa"/>
            <w:tcBorders>
              <w:left w:val="nil"/>
              <w:bottom w:val="single" w:sz="4" w:space="0" w:color="auto"/>
              <w:right w:val="nil"/>
            </w:tcBorders>
          </w:tcPr>
          <w:p w14:paraId="58E662D1" w14:textId="7911302B"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0.0</w:t>
            </w:r>
          </w:p>
        </w:tc>
        <w:tc>
          <w:tcPr>
            <w:tcW w:w="1710" w:type="dxa"/>
            <w:tcBorders>
              <w:left w:val="nil"/>
            </w:tcBorders>
          </w:tcPr>
          <w:p w14:paraId="45D311FB" w14:textId="4476A86A"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B424FD">
              <w:rPr>
                <w:rFonts w:cs="Times New Roman"/>
                <w:color w:val="0D0D0D"/>
                <w:szCs w:val="20"/>
                <w:shd w:val="clear" w:color="auto" w:fill="FFFFFF"/>
                <w:lang w:val="en-GB"/>
              </w:rPr>
              <w:t>-</w:t>
            </w:r>
          </w:p>
        </w:tc>
        <w:tc>
          <w:tcPr>
            <w:tcW w:w="1538" w:type="dxa"/>
          </w:tcPr>
          <w:p w14:paraId="2EA2DA1A" w14:textId="4548146F" w:rsidR="00E5498B" w:rsidRPr="00B424FD"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B424FD">
              <w:rPr>
                <w:rFonts w:cs="Times New Roman"/>
                <w:color w:val="0D0D0D"/>
                <w:szCs w:val="20"/>
                <w:shd w:val="clear" w:color="auto" w:fill="FFFFFF"/>
                <w:lang w:val="en-GB"/>
              </w:rPr>
              <w:t>30.1</w:t>
            </w:r>
          </w:p>
        </w:tc>
      </w:tr>
    </w:tbl>
    <w:p w14:paraId="204B28BC" w14:textId="3BA6B258" w:rsidR="007864C5" w:rsidRPr="00B424FD" w:rsidRDefault="00AE58D0" w:rsidP="003B3837">
      <w:pPr>
        <w:pStyle w:val="NormalWeb"/>
        <w:spacing w:line="276" w:lineRule="auto"/>
        <w:jc w:val="center"/>
        <w:rPr>
          <w:sz w:val="20"/>
          <w:szCs w:val="20"/>
          <w:lang w:val="en-GB"/>
        </w:rPr>
      </w:pPr>
      <w:r>
        <w:rPr>
          <w:noProof/>
          <w:sz w:val="20"/>
          <w:szCs w:val="20"/>
          <w:lang w:val="en-GB"/>
          <w14:ligatures w14:val="standardContextual"/>
        </w:rPr>
        <w:lastRenderedPageBreak/>
        <w:drawing>
          <wp:inline distT="0" distB="0" distL="0" distR="0" wp14:anchorId="0514A43A" wp14:editId="5A9FA755">
            <wp:extent cx="5329576" cy="5486400"/>
            <wp:effectExtent l="0" t="0" r="4445" b="0"/>
            <wp:docPr id="12026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806" name="Picture 120262806"/>
                    <pic:cNvPicPr/>
                  </pic:nvPicPr>
                  <pic:blipFill>
                    <a:blip r:embed="rId11"/>
                    <a:stretch>
                      <a:fillRect/>
                    </a:stretch>
                  </pic:blipFill>
                  <pic:spPr>
                    <a:xfrm>
                      <a:off x="0" y="0"/>
                      <a:ext cx="5329576" cy="5486400"/>
                    </a:xfrm>
                    <a:prstGeom prst="rect">
                      <a:avLst/>
                    </a:prstGeom>
                  </pic:spPr>
                </pic:pic>
              </a:graphicData>
            </a:graphic>
          </wp:inline>
        </w:drawing>
      </w:r>
    </w:p>
    <w:p w14:paraId="414EAC70" w14:textId="78B45B4D" w:rsidR="009E1546" w:rsidRPr="00B424FD" w:rsidRDefault="00AE58D0" w:rsidP="003B3837">
      <w:pPr>
        <w:pStyle w:val="NormalWeb"/>
        <w:spacing w:line="276" w:lineRule="auto"/>
        <w:jc w:val="center"/>
        <w:rPr>
          <w:sz w:val="20"/>
          <w:szCs w:val="20"/>
          <w:lang w:val="en-GB"/>
        </w:rPr>
      </w:pPr>
      <w:r>
        <w:rPr>
          <w:noProof/>
          <w:sz w:val="20"/>
          <w:szCs w:val="20"/>
          <w:lang w:val="en-GB"/>
          <w14:ligatures w14:val="standardContextual"/>
        </w:rPr>
        <w:lastRenderedPageBreak/>
        <w:drawing>
          <wp:inline distT="0" distB="0" distL="0" distR="0" wp14:anchorId="7B9CE2BB" wp14:editId="7D17F58E">
            <wp:extent cx="4389120" cy="4389120"/>
            <wp:effectExtent l="0" t="0" r="5080" b="5080"/>
            <wp:docPr id="99164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7787" name="Picture 991647787"/>
                    <pic:cNvPicPr/>
                  </pic:nvPicPr>
                  <pic:blipFill>
                    <a:blip r:embed="rId12"/>
                    <a:stretch>
                      <a:fillRect/>
                    </a:stretch>
                  </pic:blipFill>
                  <pic:spPr>
                    <a:xfrm>
                      <a:off x="0" y="0"/>
                      <a:ext cx="4389120" cy="4389120"/>
                    </a:xfrm>
                    <a:prstGeom prst="rect">
                      <a:avLst/>
                    </a:prstGeom>
                  </pic:spPr>
                </pic:pic>
              </a:graphicData>
            </a:graphic>
          </wp:inline>
        </w:drawing>
      </w:r>
      <w:r>
        <w:rPr>
          <w:noProof/>
          <w:sz w:val="20"/>
          <w:szCs w:val="20"/>
          <w:lang w:val="en-GB"/>
          <w14:ligatures w14:val="standardContextual"/>
        </w:rPr>
        <w:drawing>
          <wp:inline distT="0" distB="0" distL="0" distR="0" wp14:anchorId="3A1F8073" wp14:editId="15651D94">
            <wp:extent cx="4389120" cy="4389120"/>
            <wp:effectExtent l="0" t="0" r="5080" b="5080"/>
            <wp:docPr id="48229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7053" name="Picture 482297053"/>
                    <pic:cNvPicPr/>
                  </pic:nvPicPr>
                  <pic:blipFill>
                    <a:blip r:embed="rId13"/>
                    <a:stretch>
                      <a:fillRect/>
                    </a:stretch>
                  </pic:blipFill>
                  <pic:spPr>
                    <a:xfrm>
                      <a:off x="0" y="0"/>
                      <a:ext cx="4389120" cy="4389120"/>
                    </a:xfrm>
                    <a:prstGeom prst="rect">
                      <a:avLst/>
                    </a:prstGeom>
                  </pic:spPr>
                </pic:pic>
              </a:graphicData>
            </a:graphic>
          </wp:inline>
        </w:drawing>
      </w:r>
    </w:p>
    <w:p w14:paraId="378BEE0F" w14:textId="06CA991F" w:rsidR="00284E15" w:rsidRPr="00B424FD" w:rsidRDefault="00284E15" w:rsidP="003B3837">
      <w:pPr>
        <w:pStyle w:val="NormalWeb"/>
        <w:spacing w:line="276" w:lineRule="auto"/>
        <w:jc w:val="both"/>
        <w:rPr>
          <w:sz w:val="20"/>
          <w:szCs w:val="20"/>
          <w:lang w:val="en-GB"/>
        </w:rPr>
      </w:pPr>
      <w:r w:rsidRPr="00B424FD">
        <w:rPr>
          <w:sz w:val="20"/>
          <w:szCs w:val="20"/>
          <w:lang w:val="en-GB"/>
        </w:rPr>
        <w:t xml:space="preserve">Fig. </w:t>
      </w:r>
      <w:r w:rsidR="00D43596">
        <w:rPr>
          <w:sz w:val="20"/>
          <w:szCs w:val="20"/>
          <w:lang w:val="en-GB"/>
        </w:rPr>
        <w:t>3</w:t>
      </w:r>
      <w:r w:rsidRPr="00B424FD">
        <w:rPr>
          <w:sz w:val="20"/>
          <w:szCs w:val="20"/>
          <w:lang w:val="en-GB"/>
        </w:rPr>
        <w:t xml:space="preserve">: </w:t>
      </w:r>
      <w:proofErr w:type="spellStart"/>
      <w:r w:rsidRPr="00B424FD">
        <w:rPr>
          <w:sz w:val="20"/>
          <w:szCs w:val="20"/>
          <w:lang w:val="en-GB"/>
        </w:rPr>
        <w:t>Traceplots</w:t>
      </w:r>
      <w:proofErr w:type="spellEnd"/>
      <w:r w:rsidRPr="00B424FD">
        <w:rPr>
          <w:sz w:val="20"/>
          <w:szCs w:val="20"/>
          <w:lang w:val="en-GB"/>
        </w:rPr>
        <w:t xml:space="preserve"> (left column) and marginal posterior densities (right column) of parameter estimates. </w:t>
      </w:r>
      <w:proofErr w:type="spellStart"/>
      <w:r w:rsidRPr="00B424FD">
        <w:rPr>
          <w:sz w:val="20"/>
          <w:szCs w:val="20"/>
          <w:lang w:val="en-GB"/>
        </w:rPr>
        <w:t>Traceplots</w:t>
      </w:r>
      <w:proofErr w:type="spellEnd"/>
      <w:r w:rsidRPr="00B424FD">
        <w:rPr>
          <w:sz w:val="20"/>
          <w:szCs w:val="20"/>
          <w:lang w:val="en-GB"/>
        </w:rPr>
        <w:t xml:space="preserve"> show MCMC samples from </w:t>
      </w:r>
      <w:r w:rsidR="00E14D5D" w:rsidRPr="00B424FD">
        <w:rPr>
          <w:sz w:val="20"/>
          <w:szCs w:val="20"/>
          <w:lang w:val="en-GB"/>
        </w:rPr>
        <w:t>five</w:t>
      </w:r>
      <w:r w:rsidRPr="00B424FD">
        <w:rPr>
          <w:sz w:val="20"/>
          <w:szCs w:val="20"/>
          <w:lang w:val="en-GB"/>
        </w:rPr>
        <w:t xml:space="preserve"> chains, each with 2,000 iterations, with the first 1,000 discarded as burn-in. Coloured lines represent individual chains.</w:t>
      </w:r>
    </w:p>
    <w:p w14:paraId="733FBA18" w14:textId="1980C08E" w:rsidR="009E1546" w:rsidRPr="00B424FD" w:rsidRDefault="009E1546" w:rsidP="003B3837">
      <w:pPr>
        <w:pStyle w:val="NormalWeb"/>
        <w:spacing w:line="276" w:lineRule="auto"/>
        <w:jc w:val="both"/>
        <w:rPr>
          <w:sz w:val="20"/>
          <w:szCs w:val="20"/>
          <w:lang w:val="en-GB"/>
        </w:rPr>
      </w:pPr>
    </w:p>
    <w:p w14:paraId="243C680A" w14:textId="77777777" w:rsidR="00284E15" w:rsidRPr="00B424FD" w:rsidRDefault="00284E1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p>
    <w:p w14:paraId="6B978E84" w14:textId="2E7C8770" w:rsidR="002F1936" w:rsidRPr="00B424FD" w:rsidRDefault="002F1936"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 xml:space="preserve">Table 2: Fitted parameters: notation, definitions, prior distributions, and posterior estimates. </w:t>
      </w:r>
      <w:r w:rsidRPr="00B424FD">
        <w:rPr>
          <w:rFonts w:ascii="Times New Roman" w:hAnsi="Times New Roman"/>
          <w:sz w:val="20"/>
          <w:szCs w:val="20"/>
          <w:lang w:val="en-GB"/>
        </w:rPr>
        <w:t>Transition rate parameters (</w:t>
      </w:r>
      <m:oMath>
        <m:r>
          <w:rPr>
            <w:rFonts w:ascii="Cambria Math" w:hAnsi="Cambria Math"/>
            <w:sz w:val="20"/>
            <w:szCs w:val="20"/>
            <w:lang w:val="en-GB"/>
          </w:rPr>
          <m:t>θ∈</m:t>
        </m:r>
        <m:r>
          <m:rPr>
            <m:lit/>
          </m:rPr>
          <w:rPr>
            <w:rFonts w:ascii="Cambria Math" w:hAnsi="Cambria Math"/>
            <w:sz w:val="20"/>
            <w:szCs w:val="20"/>
            <w:lang w:val="en-GB"/>
          </w:rPr>
          <m:t>{</m:t>
        </m:r>
        <m:r>
          <w:rPr>
            <w:rFonts w:ascii="Cambria Math" w:hAnsi="Cambria Math"/>
            <w:sz w:val="20"/>
            <w:szCs w:val="20"/>
            <w:lang w:val="en-GB"/>
          </w:rPr>
          <m:t>σ,μ,ρ,</m:t>
        </m:r>
        <m:r>
          <w:rPr>
            <w:rFonts w:ascii="Cambria Math" w:eastAsia="Times New Roman" w:hAnsi="Cambria Math" w:cs="Times New Roman"/>
            <w:color w:val="000000" w:themeColor="text1"/>
            <w:kern w:val="0"/>
            <w:sz w:val="20"/>
            <w:szCs w:val="20"/>
            <w:lang w:val="en-GB"/>
            <w14:ligatures w14:val="none"/>
          </w:rPr>
          <m:t>ν</m:t>
        </m:r>
        <m:r>
          <m:rPr>
            <m:lit/>
          </m:rPr>
          <w:rPr>
            <w:rFonts w:ascii="Cambria Math" w:hAnsi="Cambria Math"/>
            <w:sz w:val="20"/>
            <w:szCs w:val="20"/>
            <w:lang w:val="en-GB"/>
          </w:rPr>
          <m:t>}</m:t>
        </m:r>
      </m:oMath>
      <w:r w:rsidRPr="00B424FD">
        <w:rPr>
          <w:rFonts w:ascii="Times New Roman" w:hAnsi="Times New Roman"/>
          <w:sz w:val="20"/>
          <w:szCs w:val="20"/>
          <w:lang w:val="en-GB"/>
        </w:rPr>
        <w:t xml:space="preserve">) are presented in an annual basis, giving a mean time to transition of </w:t>
      </w:r>
      <m:oMath>
        <m:r>
          <w:rPr>
            <w:rFonts w:ascii="Cambria Math" w:hAnsi="Cambria Math"/>
            <w:sz w:val="20"/>
            <w:szCs w:val="20"/>
            <w:lang w:val="en-GB"/>
          </w:rPr>
          <m:t>365/θ</m:t>
        </m:r>
      </m:oMath>
      <w:r w:rsidRPr="00B424FD">
        <w:rPr>
          <w:rFonts w:ascii="Times New Roman" w:hAnsi="Times New Roman"/>
          <w:sz w:val="20"/>
          <w:szCs w:val="20"/>
          <w:lang w:val="en-GB"/>
        </w:rPr>
        <w:t xml:space="preserve"> days. Posterior estimates are taken as the median, with 95% credible interval presented in </w:t>
      </w:r>
      <w:r w:rsidR="00AD0C45" w:rsidRPr="00B424FD">
        <w:rPr>
          <w:rFonts w:ascii="Times New Roman" w:hAnsi="Times New Roman"/>
          <w:sz w:val="20"/>
          <w:szCs w:val="20"/>
          <w:lang w:val="en-GB"/>
        </w:rPr>
        <w:t>parentheses</w:t>
      </w:r>
      <w:r w:rsidRPr="00B424FD">
        <w:rPr>
          <w:rFonts w:ascii="Times New Roman" w:hAnsi="Times New Roman"/>
          <w:sz w:val="20"/>
          <w:szCs w:val="20"/>
          <w:lang w:val="en-GB"/>
        </w:rPr>
        <w:t>.</w:t>
      </w:r>
    </w:p>
    <w:tbl>
      <w:tblPr>
        <w:tblStyle w:val="TableGrid"/>
        <w:tblW w:w="0" w:type="auto"/>
        <w:tblLook w:val="04A0" w:firstRow="1" w:lastRow="0" w:firstColumn="1" w:lastColumn="0" w:noHBand="0" w:noVBand="1"/>
      </w:tblPr>
      <w:tblGrid>
        <w:gridCol w:w="771"/>
        <w:gridCol w:w="4269"/>
        <w:gridCol w:w="3150"/>
        <w:gridCol w:w="1320"/>
        <w:gridCol w:w="3611"/>
        <w:gridCol w:w="837"/>
      </w:tblGrid>
      <w:tr w:rsidR="002F1936" w:rsidRPr="00B424FD" w14:paraId="0F87F18E" w14:textId="77777777" w:rsidTr="00D803EF">
        <w:tc>
          <w:tcPr>
            <w:tcW w:w="771" w:type="dxa"/>
            <w:tcBorders>
              <w:top w:val="single" w:sz="4" w:space="0" w:color="auto"/>
              <w:bottom w:val="single" w:sz="4" w:space="0" w:color="auto"/>
            </w:tcBorders>
          </w:tcPr>
          <w:p w14:paraId="3043422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269" w:type="dxa"/>
            <w:tcBorders>
              <w:top w:val="single" w:sz="4" w:space="0" w:color="auto"/>
              <w:bottom w:val="single" w:sz="4" w:space="0" w:color="auto"/>
            </w:tcBorders>
          </w:tcPr>
          <w:p w14:paraId="1F4CE6A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3150" w:type="dxa"/>
            <w:tcBorders>
              <w:top w:val="single" w:sz="4" w:space="0" w:color="auto"/>
              <w:bottom w:val="single" w:sz="4" w:space="0" w:color="auto"/>
            </w:tcBorders>
          </w:tcPr>
          <w:p w14:paraId="64392F0A" w14:textId="3861CAAD"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Prior distribution</w:t>
            </w:r>
          </w:p>
        </w:tc>
        <w:tc>
          <w:tcPr>
            <w:tcW w:w="1320" w:type="dxa"/>
            <w:tcBorders>
              <w:top w:val="single" w:sz="4" w:space="0" w:color="auto"/>
              <w:bottom w:val="single" w:sz="4" w:space="0" w:color="auto"/>
            </w:tcBorders>
          </w:tcPr>
          <w:p w14:paraId="0367FFB3" w14:textId="56266C41"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Parameter bound</w:t>
            </w:r>
          </w:p>
        </w:tc>
        <w:tc>
          <w:tcPr>
            <w:tcW w:w="3611" w:type="dxa"/>
            <w:tcBorders>
              <w:top w:val="single" w:sz="4" w:space="0" w:color="auto"/>
              <w:bottom w:val="single" w:sz="4" w:space="0" w:color="auto"/>
            </w:tcBorders>
          </w:tcPr>
          <w:p w14:paraId="761A3B2D" w14:textId="0D481E7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Posterior estimate</w:t>
            </w:r>
          </w:p>
        </w:tc>
        <w:tc>
          <w:tcPr>
            <w:tcW w:w="837" w:type="dxa"/>
            <w:tcBorders>
              <w:top w:val="single" w:sz="4" w:space="0" w:color="auto"/>
              <w:bottom w:val="single" w:sz="4" w:space="0" w:color="auto"/>
            </w:tcBorders>
          </w:tcPr>
          <w:p w14:paraId="00CE9071" w14:textId="79519482"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r w:rsidR="006C157E" w:rsidRPr="00B424FD">
              <w:rPr>
                <w:rStyle w:val="FootnoteReference"/>
                <w:rFonts w:eastAsia="Times New Roman" w:cs="Times New Roman"/>
                <w:color w:val="000000" w:themeColor="text1"/>
                <w:kern w:val="0"/>
                <w:szCs w:val="20"/>
                <w:lang w:val="en-GB"/>
                <w14:ligatures w14:val="none"/>
              </w:rPr>
              <w:footnoteReference w:id="4"/>
            </w:r>
          </w:p>
        </w:tc>
      </w:tr>
      <w:tr w:rsidR="002F1936" w:rsidRPr="00B424FD" w14:paraId="77488645" w14:textId="77777777" w:rsidTr="00D803EF">
        <w:tc>
          <w:tcPr>
            <w:tcW w:w="771" w:type="dxa"/>
            <w:tcBorders>
              <w:top w:val="single" w:sz="4" w:space="0" w:color="auto"/>
            </w:tcBorders>
          </w:tcPr>
          <w:p w14:paraId="6D4A9865"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β</m:t>
                </m:r>
              </m:oMath>
            </m:oMathPara>
          </w:p>
        </w:tc>
        <w:tc>
          <w:tcPr>
            <w:tcW w:w="4269" w:type="dxa"/>
            <w:tcBorders>
              <w:top w:val="single" w:sz="4" w:space="0" w:color="auto"/>
            </w:tcBorders>
          </w:tcPr>
          <w:p w14:paraId="61C54ECB"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of transmission per-partnership</w:t>
            </w:r>
          </w:p>
        </w:tc>
        <w:tc>
          <w:tcPr>
            <w:tcW w:w="3150" w:type="dxa"/>
            <w:tcBorders>
              <w:top w:val="single" w:sz="4" w:space="0" w:color="auto"/>
            </w:tcBorders>
          </w:tcPr>
          <w:p w14:paraId="696C99C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Borders>
              <w:top w:val="single" w:sz="4" w:space="0" w:color="auto"/>
            </w:tcBorders>
          </w:tcPr>
          <w:p w14:paraId="0B4A0B8A" w14:textId="76908778"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Borders>
              <w:top w:val="single" w:sz="4" w:space="0" w:color="auto"/>
            </w:tcBorders>
          </w:tcPr>
          <w:p w14:paraId="7AD4C0F9" w14:textId="77777777" w:rsidR="002F1936" w:rsidRPr="00B424FD" w:rsidRDefault="002F1936" w:rsidP="003B3837">
            <w:pPr>
              <w:spacing w:before="100" w:beforeAutospacing="1" w:after="100" w:afterAutospacing="1" w:line="276" w:lineRule="auto"/>
              <w:rPr>
                <w:szCs w:val="20"/>
                <w:lang w:val="en-GB"/>
              </w:rPr>
            </w:pPr>
          </w:p>
        </w:tc>
        <w:tc>
          <w:tcPr>
            <w:tcW w:w="837" w:type="dxa"/>
            <w:tcBorders>
              <w:top w:val="single" w:sz="4" w:space="0" w:color="auto"/>
            </w:tcBorders>
          </w:tcPr>
          <w:p w14:paraId="06549E46" w14:textId="38A9A7A9"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{"citationID":"jWnqThrZ","properties":{"formattedCitation":"[12]","plainCitation":"[12]","noteIndex":0},"citationItems":[{"id":297,"uris":["http://zotero.org/users/9663344/items/KC9H5ARD"],"itemData":{"id":297,"type":"article-journal","abstract":"Gonorrhea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4B64048E" w14:textId="77777777" w:rsidTr="00D803EF">
        <w:tc>
          <w:tcPr>
            <w:tcW w:w="771" w:type="dxa"/>
          </w:tcPr>
          <w:p w14:paraId="3453F0AA"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β</m:t>
                    </m:r>
                  </m:sub>
                </m:sSub>
              </m:oMath>
            </m:oMathPara>
          </w:p>
        </w:tc>
        <w:tc>
          <w:tcPr>
            <w:tcW w:w="4269" w:type="dxa"/>
          </w:tcPr>
          <w:p w14:paraId="13447D4E"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increase in transmission risk behaviour</w:t>
            </w:r>
          </w:p>
        </w:tc>
        <w:tc>
          <w:tcPr>
            <w:tcW w:w="3150" w:type="dxa"/>
          </w:tcPr>
          <w:p w14:paraId="4587E11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26DAD31F" w14:textId="76F09D0D" w:rsidR="002F1936" w:rsidRPr="00B424FD" w:rsidRDefault="00D803EF" w:rsidP="003B3837">
            <w:pPr>
              <w:spacing w:before="100" w:beforeAutospacing="1" w:after="100" w:afterAutospacing="1" w:line="276" w:lineRule="auto"/>
              <w:rPr>
                <w:szCs w:val="20"/>
                <w:lang w:val="en-GB"/>
              </w:rPr>
            </w:pPr>
            <w:r w:rsidRPr="00B424FD">
              <w:rPr>
                <w:szCs w:val="20"/>
                <w:lang w:val="en-GB"/>
              </w:rPr>
              <w:t>[0, 0.5]</w:t>
            </w:r>
          </w:p>
        </w:tc>
        <w:tc>
          <w:tcPr>
            <w:tcW w:w="3611" w:type="dxa"/>
          </w:tcPr>
          <w:p w14:paraId="3435364E"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08D41631" w14:textId="2D44881D"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{"citationID":"09jqa9HJ","properties":{"formattedCitation":"[12]","plainCitation":"[12]","noteIndex":0},"citationItems":[{"id":297,"uris":["http://zotero.org/users/9663344/items/KC9H5ARD"],"itemData":{"id":297,"type":"article-journal","abstract":"Gonorrhea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23E038A2" w14:textId="77777777" w:rsidTr="00D803EF">
        <w:tc>
          <w:tcPr>
            <w:tcW w:w="771" w:type="dxa"/>
          </w:tcPr>
          <w:p w14:paraId="570FA29C"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ϵ</m:t>
                </m:r>
              </m:oMath>
            </m:oMathPara>
          </w:p>
        </w:tc>
        <w:tc>
          <w:tcPr>
            <w:tcW w:w="4269" w:type="dxa"/>
          </w:tcPr>
          <w:p w14:paraId="0DDE318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Level of </w:t>
            </w:r>
            <w:proofErr w:type="spellStart"/>
            <w:r w:rsidRPr="00B424FD">
              <w:rPr>
                <w:rFonts w:eastAsia="Times New Roman" w:cs="Times New Roman"/>
                <w:color w:val="000000" w:themeColor="text1"/>
                <w:kern w:val="0"/>
                <w:szCs w:val="20"/>
                <w:lang w:val="en-GB"/>
                <w14:ligatures w14:val="none"/>
              </w:rPr>
              <w:t>assotativity</w:t>
            </w:r>
            <w:proofErr w:type="spellEnd"/>
            <w:r w:rsidRPr="00B424FD">
              <w:rPr>
                <w:rFonts w:eastAsia="Times New Roman" w:cs="Times New Roman"/>
                <w:color w:val="000000" w:themeColor="text1"/>
                <w:kern w:val="0"/>
                <w:szCs w:val="20"/>
                <w:lang w:val="en-GB"/>
                <w14:ligatures w14:val="none"/>
              </w:rPr>
              <w:t xml:space="preserve"> in sexual mixing</w:t>
            </w:r>
          </w:p>
        </w:tc>
        <w:tc>
          <w:tcPr>
            <w:tcW w:w="3150" w:type="dxa"/>
          </w:tcPr>
          <w:p w14:paraId="201E2537"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03C01D6F" w14:textId="385109D5"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Pr>
          <w:p w14:paraId="25CC12CB"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F86726B" w14:textId="70E17ED4"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{"citationID":"qZtQyyFj","properties":{"formattedCitation":"[12]","plainCitation":"[12]","noteIndex":0},"citationItems":[{"id":297,"uris":["http://zotero.org/users/9663344/items/KC9H5ARD"],"itemData":{"id":297,"type":"article-journal","abstract":"Gonorrhea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4947E055" w14:textId="77777777" w:rsidTr="00D803EF">
        <w:tc>
          <w:tcPr>
            <w:tcW w:w="771" w:type="dxa"/>
          </w:tcPr>
          <w:p w14:paraId="6BE95672"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σ</m:t>
                </m:r>
              </m:oMath>
            </m:oMathPara>
          </w:p>
        </w:tc>
        <w:tc>
          <w:tcPr>
            <w:tcW w:w="4269" w:type="dxa"/>
          </w:tcPr>
          <w:p w14:paraId="71A64B12"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leaving incubation period</w:t>
            </w:r>
          </w:p>
        </w:tc>
        <w:tc>
          <w:tcPr>
            <w:tcW w:w="3150" w:type="dxa"/>
          </w:tcPr>
          <w:p w14:paraId="139AF4E4"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 </w:t>
            </w: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4.60, 0.29]</w:t>
            </w:r>
          </w:p>
        </w:tc>
        <w:tc>
          <w:tcPr>
            <w:tcW w:w="1320" w:type="dxa"/>
          </w:tcPr>
          <w:p w14:paraId="3ABF63FD" w14:textId="2B831168" w:rsidR="002F1936" w:rsidRPr="00B424FD" w:rsidRDefault="00D803EF" w:rsidP="003B3837">
            <w:pPr>
              <w:spacing w:before="100" w:beforeAutospacing="1" w:after="100" w:afterAutospacing="1" w:line="276" w:lineRule="auto"/>
              <w:rPr>
                <w:szCs w:val="20"/>
                <w:lang w:val="en-GB"/>
              </w:rPr>
            </w:pPr>
            <w:r w:rsidRPr="00B424FD">
              <w:rPr>
                <w:szCs w:val="20"/>
                <w:lang w:val="en-GB"/>
              </w:rPr>
              <w:t>[0, 1000]</w:t>
            </w:r>
          </w:p>
        </w:tc>
        <w:tc>
          <w:tcPr>
            <w:tcW w:w="3611" w:type="dxa"/>
          </w:tcPr>
          <w:p w14:paraId="262B3261"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AB19257" w14:textId="1DF781C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{"citationID":"TIJSJcID","properties":{"formattedCitation":"[12]","plainCitation":"[12]","noteIndex":0},"citationItems":[{"id":297,"uris":["http://zotero.org/users/9663344/items/KC9H5ARD"],"itemData":{"id":297,"type":"article-journal","abstract":"Gonorrhea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5EE9A2C9" w14:textId="77777777" w:rsidTr="00D803EF">
        <w:tc>
          <w:tcPr>
            <w:tcW w:w="771" w:type="dxa"/>
          </w:tcPr>
          <w:p w14:paraId="6575F6B7"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ψ</m:t>
                </m:r>
              </m:oMath>
            </m:oMathPara>
          </w:p>
        </w:tc>
        <w:tc>
          <w:tcPr>
            <w:tcW w:w="4269" w:type="dxa"/>
          </w:tcPr>
          <w:p w14:paraId="7986C28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Probability that incident infection is symptomatic</w:t>
            </w:r>
          </w:p>
        </w:tc>
        <w:tc>
          <w:tcPr>
            <w:tcW w:w="3150" w:type="dxa"/>
          </w:tcPr>
          <w:p w14:paraId="41E11B58"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4E4730AA" w14:textId="78096A23" w:rsidR="002F1936" w:rsidRPr="00B424FD" w:rsidRDefault="00D803EF" w:rsidP="003B3837">
            <w:pPr>
              <w:spacing w:before="100" w:beforeAutospacing="1" w:after="100" w:afterAutospacing="1" w:line="276" w:lineRule="auto"/>
              <w:rPr>
                <w:szCs w:val="20"/>
                <w:lang w:val="en-GB"/>
              </w:rPr>
            </w:pPr>
            <w:r w:rsidRPr="00B424FD">
              <w:rPr>
                <w:szCs w:val="20"/>
                <w:lang w:val="en-GB"/>
              </w:rPr>
              <w:t>[0, 1]</w:t>
            </w:r>
          </w:p>
        </w:tc>
        <w:tc>
          <w:tcPr>
            <w:tcW w:w="3611" w:type="dxa"/>
          </w:tcPr>
          <w:p w14:paraId="2BD1693C"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73E2CD44" w14:textId="53CB10A5"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{"citationID":"eZSERn4C","properties":{"formattedCitation":"[12]","plainCitation":"[12]","noteIndex":0},"citationItems":[{"id":297,"uris":["http://zotero.org/users/9663344/items/KC9H5ARD"],"itemData":{"id":297,"type":"article-journal","abstract":"Gonorrhea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5A31CCAC" w14:textId="77777777" w:rsidTr="00D803EF">
        <w:tc>
          <w:tcPr>
            <w:tcW w:w="771" w:type="dxa"/>
          </w:tcPr>
          <w:p w14:paraId="4416E73D"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μ</m:t>
                </m:r>
              </m:oMath>
            </m:oMathPara>
          </w:p>
        </w:tc>
        <w:tc>
          <w:tcPr>
            <w:tcW w:w="4269" w:type="dxa"/>
          </w:tcPr>
          <w:p w14:paraId="3DB1F06B"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seeking treatment due to symptom</w:t>
            </w:r>
          </w:p>
        </w:tc>
        <w:tc>
          <w:tcPr>
            <w:tcW w:w="3150" w:type="dxa"/>
          </w:tcPr>
          <w:p w14:paraId="6E6109D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 </w:t>
            </w: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5.38, 0.44]</w:t>
            </w:r>
          </w:p>
        </w:tc>
        <w:tc>
          <w:tcPr>
            <w:tcW w:w="1320" w:type="dxa"/>
          </w:tcPr>
          <w:p w14:paraId="7CBC55FE" w14:textId="0E45A9F3" w:rsidR="002F1936" w:rsidRPr="00B424FD" w:rsidRDefault="00D803EF" w:rsidP="003B3837">
            <w:pPr>
              <w:spacing w:before="100" w:beforeAutospacing="1" w:after="100" w:afterAutospacing="1" w:line="276" w:lineRule="auto"/>
              <w:rPr>
                <w:szCs w:val="20"/>
                <w:lang w:val="en-GB"/>
              </w:rPr>
            </w:pPr>
            <w:r w:rsidRPr="00B424FD">
              <w:rPr>
                <w:szCs w:val="20"/>
                <w:lang w:val="en-GB"/>
              </w:rPr>
              <w:t>[0, 2000]</w:t>
            </w:r>
          </w:p>
        </w:tc>
        <w:tc>
          <w:tcPr>
            <w:tcW w:w="3611" w:type="dxa"/>
          </w:tcPr>
          <w:p w14:paraId="08D7CBED"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1BC4710D" w14:textId="2D89C7F6"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{"citationID":"ugcbcWQ3","properties":{"formattedCitation":"[12]","plainCitation":"[12]","noteIndex":0},"citationItems":[{"id":297,"uris":["http://zotero.org/users/9663344/items/KC9H5ARD"],"itemData":{"id":297,"type":"article-journal","abstract":"Gonorrhea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44732B69" w14:textId="77777777" w:rsidTr="00D803EF">
        <w:tc>
          <w:tcPr>
            <w:tcW w:w="771" w:type="dxa"/>
          </w:tcPr>
          <w:p w14:paraId="4385D13A"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η</m:t>
                    </m:r>
                  </m:e>
                  <m:sub>
                    <m:r>
                      <w:rPr>
                        <w:rFonts w:ascii="Cambria Math" w:eastAsia="Times New Roman" w:hAnsi="Cambria Math" w:cs="Times New Roman"/>
                        <w:color w:val="000000" w:themeColor="text1"/>
                        <w:kern w:val="0"/>
                        <w:szCs w:val="20"/>
                        <w:lang w:val="en-GB"/>
                        <w14:ligatures w14:val="none"/>
                      </w:rPr>
                      <m:t>H</m:t>
                    </m:r>
                  </m:sub>
                </m:sSub>
                <m:d>
                  <m:dPr>
                    <m:ctrlPr>
                      <w:rPr>
                        <w:rFonts w:ascii="Cambria Math" w:eastAsia="Times New Roman" w:hAnsi="Cambria Math" w:cs="Times New Roman"/>
                        <w:i/>
                        <w:iCs/>
                        <w:color w:val="000000" w:themeColor="text1"/>
                        <w:kern w:val="0"/>
                        <w:szCs w:val="20"/>
                        <w:lang w:val="en-GB"/>
                        <w14:ligatures w14:val="none"/>
                      </w:rPr>
                    </m:ctrlPr>
                  </m:dPr>
                  <m:e>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269" w:type="dxa"/>
          </w:tcPr>
          <w:p w14:paraId="7FB889B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Initial rate of asymptomatic screening in group </w:t>
            </w:r>
            <m:oMath>
              <m:r>
                <w:rPr>
                  <w:rFonts w:ascii="Cambria Math" w:eastAsia="Times New Roman" w:hAnsi="Cambria Math" w:cs="Times New Roman"/>
                  <w:color w:val="000000" w:themeColor="text1"/>
                  <w:kern w:val="0"/>
                  <w:szCs w:val="20"/>
                  <w:lang w:val="en-GB"/>
                  <w14:ligatures w14:val="none"/>
                </w:rPr>
                <m:t>H</m:t>
              </m:r>
            </m:oMath>
          </w:p>
        </w:tc>
        <w:tc>
          <w:tcPr>
            <w:tcW w:w="3150" w:type="dxa"/>
          </w:tcPr>
          <w:p w14:paraId="6589188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4]</w:t>
            </w:r>
          </w:p>
        </w:tc>
        <w:tc>
          <w:tcPr>
            <w:tcW w:w="1320" w:type="dxa"/>
          </w:tcPr>
          <w:p w14:paraId="755E3611" w14:textId="2C193358" w:rsidR="002F1936" w:rsidRPr="00B424FD" w:rsidRDefault="00D803EF" w:rsidP="003B3837">
            <w:pPr>
              <w:spacing w:before="100" w:beforeAutospacing="1" w:after="100" w:afterAutospacing="1" w:line="276" w:lineRule="auto"/>
              <w:rPr>
                <w:szCs w:val="20"/>
                <w:lang w:val="en-GB"/>
              </w:rPr>
            </w:pPr>
            <w:r w:rsidRPr="00B424FD">
              <w:rPr>
                <w:szCs w:val="20"/>
                <w:lang w:val="en-GB"/>
              </w:rPr>
              <w:t>[0, 2]</w:t>
            </w:r>
          </w:p>
        </w:tc>
        <w:tc>
          <w:tcPr>
            <w:tcW w:w="3611" w:type="dxa"/>
          </w:tcPr>
          <w:p w14:paraId="5A3E0129"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577F29CB" w14:textId="264665FB"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{"citationID":"nDqqyIAO","properties":{"formattedCitation":"[12]","plainCitation":"[12]","noteIndex":0},"citationItems":[{"id":297,"uris":["http://zotero.org/users/9663344/items/KC9H5ARD"],"itemData":{"id":297,"type":"article-journal","abstract":"Gonorrhea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739969D7" w14:textId="77777777" w:rsidTr="00D803EF">
        <w:tc>
          <w:tcPr>
            <w:tcW w:w="771" w:type="dxa"/>
          </w:tcPr>
          <w:p w14:paraId="11552CBF"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ω</m:t>
                </m:r>
              </m:oMath>
            </m:oMathPara>
          </w:p>
        </w:tc>
        <w:tc>
          <w:tcPr>
            <w:tcW w:w="4269" w:type="dxa"/>
          </w:tcPr>
          <w:p w14:paraId="0BA24773"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Ratio of screening rate in group </w:t>
            </w:r>
            <m:oMath>
              <m:r>
                <w:rPr>
                  <w:rFonts w:ascii="Cambria Math" w:eastAsia="Times New Roman" w:hAnsi="Cambria Math" w:cs="Times New Roman"/>
                  <w:color w:val="000000" w:themeColor="text1"/>
                  <w:kern w:val="0"/>
                  <w:szCs w:val="20"/>
                  <w:lang w:val="en-GB"/>
                  <w14:ligatures w14:val="none"/>
                </w:rPr>
                <m:t>L</m:t>
              </m:r>
            </m:oMath>
            <w:r w:rsidRPr="00B424FD">
              <w:rPr>
                <w:rFonts w:eastAsia="Times New Roman" w:cs="Times New Roman"/>
                <w:color w:val="000000" w:themeColor="text1"/>
                <w:kern w:val="0"/>
                <w:szCs w:val="20"/>
                <w:lang w:val="en-GB"/>
                <w14:ligatures w14:val="none"/>
              </w:rPr>
              <w:t xml:space="preserve"> vs </w:t>
            </w:r>
            <m:oMath>
              <m:r>
                <w:rPr>
                  <w:rFonts w:ascii="Cambria Math" w:eastAsia="Times New Roman" w:hAnsi="Cambria Math" w:cs="Times New Roman"/>
                  <w:color w:val="000000" w:themeColor="text1"/>
                  <w:kern w:val="0"/>
                  <w:szCs w:val="20"/>
                  <w:lang w:val="en-GB"/>
                  <w14:ligatures w14:val="none"/>
                </w:rPr>
                <m:t>H</m:t>
              </m:r>
            </m:oMath>
          </w:p>
        </w:tc>
        <w:tc>
          <w:tcPr>
            <w:tcW w:w="3150" w:type="dxa"/>
          </w:tcPr>
          <w:p w14:paraId="6B9BB2C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szCs w:val="20"/>
                <w:lang w:val="en-GB"/>
              </w:rPr>
              <w:t>logN</w:t>
            </w:r>
            <w:proofErr w:type="spellEnd"/>
            <w:r w:rsidRPr="00B424FD">
              <w:rPr>
                <w:szCs w:val="20"/>
                <w:lang w:val="en-GB"/>
              </w:rPr>
              <w:t>[</w:t>
            </w:r>
            <w:proofErr w:type="gramEnd"/>
            <w:r w:rsidRPr="00B424FD">
              <w:rPr>
                <w:szCs w:val="20"/>
                <w:lang w:val="en-GB"/>
              </w:rPr>
              <w:t>-0.87, 0.39]</w:t>
            </w:r>
          </w:p>
        </w:tc>
        <w:tc>
          <w:tcPr>
            <w:tcW w:w="1320" w:type="dxa"/>
          </w:tcPr>
          <w:p w14:paraId="3B40555A" w14:textId="42ACFDBE" w:rsidR="002F1936" w:rsidRPr="00B424FD" w:rsidRDefault="00D803EF" w:rsidP="003B3837">
            <w:pPr>
              <w:spacing w:before="100" w:beforeAutospacing="1" w:after="100" w:afterAutospacing="1" w:line="276" w:lineRule="auto"/>
              <w:rPr>
                <w:szCs w:val="20"/>
                <w:lang w:val="en-GB"/>
              </w:rPr>
            </w:pPr>
            <w:r w:rsidRPr="00B424FD">
              <w:rPr>
                <w:szCs w:val="20"/>
                <w:lang w:val="en-GB"/>
              </w:rPr>
              <w:t>[0.1, 1]</w:t>
            </w:r>
          </w:p>
        </w:tc>
        <w:tc>
          <w:tcPr>
            <w:tcW w:w="3611" w:type="dxa"/>
          </w:tcPr>
          <w:p w14:paraId="254B74A8"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4F25AE38" w14:textId="190C4837" w:rsidR="002F1936" w:rsidRPr="00B424FD" w:rsidRDefault="002F1936" w:rsidP="003B3837">
            <w:pPr>
              <w:spacing w:before="100" w:beforeAutospacing="1" w:after="100" w:afterAutospacing="1" w:line="276" w:lineRule="auto"/>
              <w:rPr>
                <w:szCs w:val="20"/>
                <w:lang w:val="en-GB"/>
              </w:rPr>
            </w:pPr>
            <w:r w:rsidRPr="00B424FD">
              <w:rPr>
                <w:szCs w:val="20"/>
                <w:lang w:val="en-GB"/>
              </w:rPr>
              <w:fldChar w:fldCharType="begin"/>
            </w:r>
            <w:r w:rsidR="009F30E1">
              <w:rPr>
                <w:szCs w:val="20"/>
                <w:lang w:val="en-GB"/>
              </w:rPr>
              <w:instrText xml:space="preserve"> ADDIN ZOTERO_ITEM CSL_CITATION {"citationID":"87w9wO7R","properties":{"formattedCitation":"[12]","plainCitation":"[12]","noteIndex":0},"citationItems":[{"id":297,"uris":["http://zotero.org/users/9663344/items/KC9H5ARD"],"itemData":{"id":297,"type":"article-journal","abstract":"Gonorrhea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7390F76D" w14:textId="77777777" w:rsidTr="00D803EF">
        <w:tc>
          <w:tcPr>
            <w:tcW w:w="771" w:type="dxa"/>
          </w:tcPr>
          <w:p w14:paraId="5F7E5297" w14:textId="77777777" w:rsidR="002F1936" w:rsidRPr="00B424FD" w:rsidRDefault="00000000"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η</m:t>
                    </m:r>
                  </m:sub>
                </m:sSub>
              </m:oMath>
            </m:oMathPara>
          </w:p>
        </w:tc>
        <w:tc>
          <w:tcPr>
            <w:tcW w:w="4269" w:type="dxa"/>
          </w:tcPr>
          <w:p w14:paraId="0C3363DE"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Annual increase in screening rate</w:t>
            </w:r>
          </w:p>
        </w:tc>
        <w:tc>
          <w:tcPr>
            <w:tcW w:w="3150" w:type="dxa"/>
          </w:tcPr>
          <w:p w14:paraId="2A8AFC8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 1]</w:t>
            </w:r>
          </w:p>
        </w:tc>
        <w:tc>
          <w:tcPr>
            <w:tcW w:w="1320" w:type="dxa"/>
          </w:tcPr>
          <w:p w14:paraId="4D66A12C" w14:textId="0156C99B" w:rsidR="002F1936" w:rsidRPr="00B424FD" w:rsidRDefault="00D803EF" w:rsidP="003B3837">
            <w:pPr>
              <w:spacing w:before="100" w:beforeAutospacing="1" w:after="100" w:afterAutospacing="1" w:line="276" w:lineRule="auto"/>
              <w:rPr>
                <w:szCs w:val="20"/>
                <w:lang w:val="en-GB"/>
              </w:rPr>
            </w:pPr>
            <w:r w:rsidRPr="00B424FD">
              <w:rPr>
                <w:szCs w:val="20"/>
                <w:lang w:val="en-GB"/>
              </w:rPr>
              <w:t>[0, 0.3]</w:t>
            </w:r>
          </w:p>
        </w:tc>
        <w:tc>
          <w:tcPr>
            <w:tcW w:w="3611" w:type="dxa"/>
          </w:tcPr>
          <w:p w14:paraId="2493CC65"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3106F926" w14:textId="322C6B54"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{"citationID":"sl4pPGPK","properties":{"formattedCitation":"[12]","plainCitation":"[12]","noteIndex":0},"citationItems":[{"id":297,"uris":["http://zotero.org/users/9663344/items/KC9H5ARD"],"itemData":{"id":297,"type":"article-journal","abstract":"Gonorrhea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6662E478" w14:textId="77777777" w:rsidTr="00D803EF">
        <w:tc>
          <w:tcPr>
            <w:tcW w:w="771" w:type="dxa"/>
          </w:tcPr>
          <w:p w14:paraId="1B70FB86"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ρ</m:t>
                </m:r>
              </m:oMath>
            </m:oMathPara>
          </w:p>
        </w:tc>
        <w:tc>
          <w:tcPr>
            <w:tcW w:w="4269" w:type="dxa"/>
          </w:tcPr>
          <w:p w14:paraId="586DFEF2"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recovery after treatment</w:t>
            </w:r>
          </w:p>
        </w:tc>
        <w:tc>
          <w:tcPr>
            <w:tcW w:w="3150" w:type="dxa"/>
          </w:tcPr>
          <w:p w14:paraId="0EDA7DC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logN</m:t>
              </m:r>
            </m:oMath>
            <w:r w:rsidRPr="00B424FD">
              <w:rPr>
                <w:rFonts w:eastAsia="Times New Roman" w:cs="Times New Roman"/>
                <w:color w:val="000000" w:themeColor="text1"/>
                <w:kern w:val="0"/>
                <w:szCs w:val="20"/>
                <w:lang w:val="en-GB"/>
                <w14:ligatures w14:val="none"/>
              </w:rPr>
              <w:t>[3.99, 0.11]</w:t>
            </w:r>
          </w:p>
        </w:tc>
        <w:tc>
          <w:tcPr>
            <w:tcW w:w="1320" w:type="dxa"/>
          </w:tcPr>
          <w:p w14:paraId="7D5A077C" w14:textId="4209360C" w:rsidR="002F1936" w:rsidRPr="00B424FD" w:rsidRDefault="00D803EF" w:rsidP="003B3837">
            <w:pPr>
              <w:spacing w:before="100" w:beforeAutospacing="1" w:after="100" w:afterAutospacing="1" w:line="276" w:lineRule="auto"/>
              <w:rPr>
                <w:szCs w:val="20"/>
                <w:lang w:val="en-GB"/>
              </w:rPr>
            </w:pPr>
            <w:r w:rsidRPr="00B424FD">
              <w:rPr>
                <w:szCs w:val="20"/>
                <w:lang w:val="en-GB"/>
              </w:rPr>
              <w:t>[0, 200]</w:t>
            </w:r>
          </w:p>
        </w:tc>
        <w:tc>
          <w:tcPr>
            <w:tcW w:w="3611" w:type="dxa"/>
          </w:tcPr>
          <w:p w14:paraId="21C31477"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6F1727E8" w14:textId="69D03B00"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{"citationID":"J5ExjMLp","properties":{"formattedCitation":"[12]","plainCitation":"[12]","noteIndex":0},"citationItems":[{"id":297,"uris":["http://zotero.org/users/9663344/items/KC9H5ARD"],"itemData":{"id":297,"type":"article-journal","abstract":"Gonorrhea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7E624F8D" w14:textId="77777777" w:rsidTr="00D803EF">
        <w:tc>
          <w:tcPr>
            <w:tcW w:w="771" w:type="dxa"/>
          </w:tcPr>
          <w:p w14:paraId="7AE3ACBA" w14:textId="77777777" w:rsidR="002F1936" w:rsidRPr="00B424FD" w:rsidRDefault="002F1936" w:rsidP="003B3837">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ν</m:t>
                </m:r>
              </m:oMath>
            </m:oMathPara>
          </w:p>
        </w:tc>
        <w:tc>
          <w:tcPr>
            <w:tcW w:w="4269" w:type="dxa"/>
          </w:tcPr>
          <w:p w14:paraId="0B66534F"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Rate of natural recovery</w:t>
            </w:r>
          </w:p>
        </w:tc>
        <w:tc>
          <w:tcPr>
            <w:tcW w:w="3150" w:type="dxa"/>
          </w:tcPr>
          <w:p w14:paraId="6F96BB3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1.13, 0.34]</w:t>
            </w:r>
          </w:p>
        </w:tc>
        <w:tc>
          <w:tcPr>
            <w:tcW w:w="1320" w:type="dxa"/>
          </w:tcPr>
          <w:p w14:paraId="4148CBD8" w14:textId="3059676C" w:rsidR="002F1936" w:rsidRPr="00B424FD" w:rsidRDefault="00D803EF" w:rsidP="003B3837">
            <w:pPr>
              <w:spacing w:before="100" w:beforeAutospacing="1" w:after="100" w:afterAutospacing="1" w:line="276" w:lineRule="auto"/>
              <w:rPr>
                <w:szCs w:val="20"/>
                <w:lang w:val="en-GB"/>
              </w:rPr>
            </w:pPr>
            <w:r w:rsidRPr="00B424FD">
              <w:rPr>
                <w:szCs w:val="20"/>
                <w:lang w:val="en-GB"/>
              </w:rPr>
              <w:t>[0, 50]</w:t>
            </w:r>
          </w:p>
        </w:tc>
        <w:tc>
          <w:tcPr>
            <w:tcW w:w="3611" w:type="dxa"/>
          </w:tcPr>
          <w:p w14:paraId="7374B55E" w14:textId="77777777" w:rsidR="002F1936" w:rsidRPr="00B424FD" w:rsidRDefault="002F1936" w:rsidP="003B3837">
            <w:pPr>
              <w:spacing w:before="100" w:beforeAutospacing="1" w:after="100" w:afterAutospacing="1" w:line="276" w:lineRule="auto"/>
              <w:rPr>
                <w:szCs w:val="20"/>
                <w:lang w:val="en-GB"/>
              </w:rPr>
            </w:pPr>
          </w:p>
        </w:tc>
        <w:tc>
          <w:tcPr>
            <w:tcW w:w="837" w:type="dxa"/>
          </w:tcPr>
          <w:p w14:paraId="04990BB2" w14:textId="3616929B"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szCs w:val="20"/>
                <w:lang w:val="en-GB"/>
              </w:rPr>
              <w:fldChar w:fldCharType="begin"/>
            </w:r>
            <w:r w:rsidR="009F30E1">
              <w:rPr>
                <w:szCs w:val="20"/>
                <w:lang w:val="en-GB"/>
              </w:rPr>
              <w:instrText xml:space="preserve"> ADDIN ZOTERO_ITEM CSL_CITATION {"citationID":"AGPC9Qni","properties":{"formattedCitation":"[12]","plainCitation":"[12]","noteIndex":0},"citationItems":[{"id":297,"uris":["http://zotero.org/users/9663344/items/KC9H5ARD"],"itemData":{"id":297,"type":"article-journal","abstract":"Gonorrhea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9F30E1">
              <w:rPr>
                <w:rFonts w:hint="eastAsia"/>
                <w:szCs w:val="20"/>
                <w:lang w:val="en-GB"/>
              </w:rPr>
              <w:instrText>≥</w:instrText>
            </w:r>
            <w:r w:rsidR="009F30E1">
              <w:rPr>
                <w:szCs w:val="20"/>
                <w:lang w:val="en-GB"/>
              </w:rPr>
              <w:instrText xml:space="preserve"> 52% protection for </w:instrText>
            </w:r>
            <w:r w:rsidR="009F30E1">
              <w:rPr>
                <w:rFonts w:hint="eastAsia"/>
                <w:szCs w:val="20"/>
                <w:lang w:val="en-GB"/>
              </w:rPr>
              <w:instrText>≥</w:instrText>
            </w:r>
            <w:r w:rsidR="009F30E1">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B424FD">
              <w:rPr>
                <w:szCs w:val="20"/>
                <w:lang w:val="en-GB"/>
              </w:rPr>
              <w:fldChar w:fldCharType="separate"/>
            </w:r>
            <w:r w:rsidR="009F30E1">
              <w:rPr>
                <w:szCs w:val="20"/>
                <w:lang w:val="en-GB"/>
              </w:rPr>
              <w:t>[12]</w:t>
            </w:r>
            <w:r w:rsidRPr="00B424FD">
              <w:rPr>
                <w:szCs w:val="20"/>
                <w:lang w:val="en-GB"/>
              </w:rPr>
              <w:fldChar w:fldCharType="end"/>
            </w:r>
          </w:p>
        </w:tc>
      </w:tr>
      <w:tr w:rsidR="002F1936" w:rsidRPr="00B424FD" w14:paraId="17AE1CCC" w14:textId="77777777" w:rsidTr="00D803EF">
        <w:tc>
          <w:tcPr>
            <w:tcW w:w="771" w:type="dxa"/>
          </w:tcPr>
          <w:p w14:paraId="1C92D4A7" w14:textId="77777777" w:rsidR="002F1936" w:rsidRPr="00B424FD" w:rsidRDefault="002F1936" w:rsidP="003B3837">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ϕ</m:t>
                </m:r>
              </m:oMath>
            </m:oMathPara>
          </w:p>
        </w:tc>
        <w:tc>
          <w:tcPr>
            <w:tcW w:w="4269" w:type="dxa"/>
          </w:tcPr>
          <w:p w14:paraId="47F4CAE2" w14:textId="08E985B4"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Treatment failure rate for ceftriaxone-</w:t>
            </w:r>
            <w:r w:rsidR="00924173">
              <w:rPr>
                <w:rFonts w:eastAsia="Times New Roman" w:cs="Times New Roman"/>
                <w:color w:val="000000" w:themeColor="text1"/>
                <w:kern w:val="0"/>
                <w:szCs w:val="20"/>
                <w:lang w:val="en-GB"/>
                <w14:ligatures w14:val="none"/>
              </w:rPr>
              <w:t xml:space="preserve"> or dual </w:t>
            </w:r>
            <w:r w:rsidRPr="00B424FD">
              <w:rPr>
                <w:rFonts w:eastAsia="Times New Roman" w:cs="Times New Roman"/>
                <w:color w:val="000000" w:themeColor="text1"/>
                <w:kern w:val="0"/>
                <w:szCs w:val="20"/>
                <w:lang w:val="en-GB"/>
                <w14:ligatures w14:val="none"/>
              </w:rPr>
              <w:t>resistant infections treated with ceftriaxone</w:t>
            </w:r>
          </w:p>
        </w:tc>
        <w:tc>
          <w:tcPr>
            <w:tcW w:w="3150" w:type="dxa"/>
          </w:tcPr>
          <w:p w14:paraId="15180D21"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B424FD">
              <w:rPr>
                <w:rFonts w:eastAsia="Times New Roman" w:cs="Times New Roman"/>
                <w:color w:val="000000" w:themeColor="text1"/>
                <w:kern w:val="0"/>
                <w:szCs w:val="20"/>
                <w:lang w:val="en-GB"/>
                <w14:ligatures w14:val="none"/>
              </w:rPr>
              <w:t>[0.001, 1000]</w:t>
            </w:r>
          </w:p>
        </w:tc>
        <w:tc>
          <w:tcPr>
            <w:tcW w:w="1320" w:type="dxa"/>
          </w:tcPr>
          <w:p w14:paraId="232D7949" w14:textId="043B18A0"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 0.2]</w:t>
            </w:r>
          </w:p>
        </w:tc>
        <w:tc>
          <w:tcPr>
            <w:tcW w:w="3611" w:type="dxa"/>
          </w:tcPr>
          <w:p w14:paraId="5483E8ED"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56BC7A56" w14:textId="45E8A66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{"citationID":"byXQfm3S","properties":{"formattedCitation":"[13]","plainCitation":"[13]","noteIndex":0},"citationItems":[{"id":420,"uris":["http://zotero.org/users/9663344/items/ZQGG9PCA"],"itemData":{"id":420,"type":"webpage","container-title":"UK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[13]</w:t>
            </w:r>
            <w:r w:rsidRPr="00B424FD">
              <w:rPr>
                <w:rFonts w:eastAsia="Times New Roman" w:cs="Times New Roman"/>
                <w:color w:val="000000" w:themeColor="text1"/>
                <w:kern w:val="0"/>
                <w:szCs w:val="20"/>
                <w:lang w:val="en-GB"/>
                <w14:ligatures w14:val="none"/>
              </w:rPr>
              <w:fldChar w:fldCharType="end"/>
            </w:r>
          </w:p>
        </w:tc>
      </w:tr>
      <w:tr w:rsidR="002F1936" w:rsidRPr="00B424FD" w14:paraId="72F60B31" w14:textId="77777777" w:rsidTr="00D803EF">
        <w:tc>
          <w:tcPr>
            <w:tcW w:w="771" w:type="dxa"/>
          </w:tcPr>
          <w:p w14:paraId="0D9372A3" w14:textId="77777777" w:rsidR="002F1936" w:rsidRPr="00B424FD" w:rsidRDefault="00000000" w:rsidP="003B3837">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c</m:t>
                    </m:r>
                  </m:sub>
                </m:sSub>
              </m:oMath>
            </m:oMathPara>
          </w:p>
        </w:tc>
        <w:tc>
          <w:tcPr>
            <w:tcW w:w="4269" w:type="dxa"/>
          </w:tcPr>
          <w:p w14:paraId="6CA1975A"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ceftriaxone-resistant bacteria, compared with susceptible</w:t>
            </w:r>
          </w:p>
        </w:tc>
        <w:tc>
          <w:tcPr>
            <w:tcW w:w="3150" w:type="dxa"/>
          </w:tcPr>
          <w:p w14:paraId="0E38441F"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-0.0204, 0.02]</w:t>
            </w:r>
          </w:p>
        </w:tc>
        <w:tc>
          <w:tcPr>
            <w:tcW w:w="1320" w:type="dxa"/>
          </w:tcPr>
          <w:p w14:paraId="6F76E41D" w14:textId="77DAE338"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[0.7, 1.1]</w:t>
            </w:r>
          </w:p>
        </w:tc>
        <w:tc>
          <w:tcPr>
            <w:tcW w:w="3611" w:type="dxa"/>
          </w:tcPr>
          <w:p w14:paraId="7DEB6B0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1F9A0672" w14:textId="7C6A4378"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{"citationID":"4PPeZTZN","properties":{"formattedCitation":"[14]","plainCitation":"[14]","noteIndex":0},"citationItems":[{"id":187,"uris":["http://zotero.org/users/9663344/items/HYSVKZR9"],"itemData":{"id":187,"type":"article-journal","abstract":"Background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[14]</w:t>
            </w:r>
            <w:r w:rsidRPr="00B424FD">
              <w:rPr>
                <w:rFonts w:eastAsia="Times New Roman" w:cs="Times New Roman"/>
                <w:color w:val="000000" w:themeColor="text1"/>
                <w:kern w:val="0"/>
                <w:szCs w:val="20"/>
                <w:lang w:val="en-GB"/>
                <w14:ligatures w14:val="none"/>
              </w:rPr>
              <w:fldChar w:fldCharType="end"/>
            </w:r>
          </w:p>
        </w:tc>
      </w:tr>
      <w:tr w:rsidR="002F1936" w:rsidRPr="00B424FD" w14:paraId="46E619EE" w14:textId="77777777" w:rsidTr="00D803EF">
        <w:tc>
          <w:tcPr>
            <w:tcW w:w="771" w:type="dxa"/>
          </w:tcPr>
          <w:p w14:paraId="64185773"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t</m:t>
                    </m:r>
                  </m:sub>
                </m:sSub>
              </m:oMath>
            </m:oMathPara>
          </w:p>
        </w:tc>
        <w:tc>
          <w:tcPr>
            <w:tcW w:w="4269" w:type="dxa"/>
          </w:tcPr>
          <w:p w14:paraId="14DFD256"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tetracycline-resistant bacteria, compared with susceptible</w:t>
            </w:r>
          </w:p>
        </w:tc>
        <w:tc>
          <w:tcPr>
            <w:tcW w:w="3150" w:type="dxa"/>
          </w:tcPr>
          <w:p w14:paraId="6994F4DF"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-0.0204, 0.02]</w:t>
            </w:r>
          </w:p>
        </w:tc>
        <w:tc>
          <w:tcPr>
            <w:tcW w:w="1320" w:type="dxa"/>
          </w:tcPr>
          <w:p w14:paraId="67BABCDB" w14:textId="677A18C6"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[0.7, 1.1]</w:t>
            </w:r>
          </w:p>
        </w:tc>
        <w:tc>
          <w:tcPr>
            <w:tcW w:w="3611" w:type="dxa"/>
          </w:tcPr>
          <w:p w14:paraId="2FB54E52"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128301BB" w14:textId="3388FAB5"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{"citationID":"w3hdUG4f","properties":{"formattedCitation":"[14]","plainCitation":"[14]","noteIndex":0},"citationItems":[{"id":187,"uris":["http://zotero.org/users/9663344/items/HYSVKZR9"],"itemData":{"id":187,"type":"article-journal","abstract":"Background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[14]</w:t>
            </w:r>
            <w:r w:rsidRPr="00B424FD">
              <w:rPr>
                <w:rFonts w:eastAsia="Times New Roman" w:cs="Times New Roman"/>
                <w:color w:val="000000" w:themeColor="text1"/>
                <w:kern w:val="0"/>
                <w:szCs w:val="20"/>
                <w:lang w:val="en-GB"/>
                <w14:ligatures w14:val="none"/>
              </w:rPr>
              <w:fldChar w:fldCharType="end"/>
            </w:r>
          </w:p>
        </w:tc>
      </w:tr>
      <w:tr w:rsidR="002F1936" w:rsidRPr="00B424FD" w14:paraId="27F818D1" w14:textId="77777777" w:rsidTr="00D803EF">
        <w:tc>
          <w:tcPr>
            <w:tcW w:w="771" w:type="dxa"/>
          </w:tcPr>
          <w:p w14:paraId="047DA5BE" w14:textId="77777777" w:rsidR="002F1936"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d2</m:t>
                    </m:r>
                  </m:sub>
                </m:sSub>
              </m:oMath>
            </m:oMathPara>
          </w:p>
        </w:tc>
        <w:tc>
          <w:tcPr>
            <w:tcW w:w="4269" w:type="dxa"/>
          </w:tcPr>
          <w:p w14:paraId="634C1B2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Relative fitness of dual resistant bacteria, compared with susceptible</w:t>
            </w:r>
          </w:p>
        </w:tc>
        <w:tc>
          <w:tcPr>
            <w:tcW w:w="3150" w:type="dxa"/>
          </w:tcPr>
          <w:p w14:paraId="79BB6D2E"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-0.0408, 0.02]</w:t>
            </w:r>
          </w:p>
        </w:tc>
        <w:tc>
          <w:tcPr>
            <w:tcW w:w="1320" w:type="dxa"/>
          </w:tcPr>
          <w:p w14:paraId="591C4093" w14:textId="6A19B0F4"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[0.5, 1]</w:t>
            </w:r>
          </w:p>
        </w:tc>
        <w:tc>
          <w:tcPr>
            <w:tcW w:w="3611" w:type="dxa"/>
          </w:tcPr>
          <w:p w14:paraId="2F8011A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65863C4" w14:textId="154D6ABB"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{"citationID":"wPKQhZXB","properties":{"formattedCitation":"[14]","plainCitation":"[14]","noteIndex":0},"citationItems":[{"id":187,"uris":["http://zotero.org/users/9663344/items/HYSVKZR9"],"itemData":{"id":187,"type":"article-journal","abstract":"Background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[14]</w:t>
            </w:r>
            <w:r w:rsidRPr="00B424FD">
              <w:rPr>
                <w:rFonts w:eastAsia="Times New Roman" w:cs="Times New Roman"/>
                <w:color w:val="000000" w:themeColor="text1"/>
                <w:kern w:val="0"/>
                <w:szCs w:val="20"/>
                <w:lang w:val="en-GB"/>
                <w14:ligatures w14:val="none"/>
              </w:rPr>
              <w:fldChar w:fldCharType="end"/>
            </w:r>
          </w:p>
        </w:tc>
      </w:tr>
      <w:tr w:rsidR="002F1936" w:rsidRPr="00B424FD" w14:paraId="5656C7F4" w14:textId="77777777" w:rsidTr="00D803EF">
        <w:tc>
          <w:tcPr>
            <w:tcW w:w="771" w:type="dxa"/>
          </w:tcPr>
          <w:p w14:paraId="73DCCFC2" w14:textId="77777777" w:rsidR="002F1936" w:rsidRPr="00703A7C" w:rsidRDefault="00000000" w:rsidP="003B3837">
            <w:pPr>
              <w:spacing w:before="100" w:beforeAutospacing="1" w:after="100" w:afterAutospacing="1" w:line="276" w:lineRule="auto"/>
              <w:rPr>
                <w:rFonts w:ascii="Aptos" w:eastAsia="DengXian" w:hAnsi="Aptos" w:cs="Times New Roman"/>
                <w:iCs/>
                <w:color w:val="000000" w:themeColor="text1"/>
                <w:kern w:val="0"/>
                <w:szCs w:val="20"/>
                <w:highlight w:val="yellow"/>
                <w:lang w:val="en-GB"/>
                <w14:ligatures w14:val="none"/>
              </w:rPr>
            </w:pPr>
            <m:oMathPara>
              <m:oMath>
                <m:sSub>
                  <m:sSubPr>
                    <m:ctrlPr>
                      <w:rPr>
                        <w:rFonts w:ascii="Cambria Math" w:eastAsia="Times New Roman" w:hAnsi="Cambria Math" w:cs="Times New Roman"/>
                        <w:i/>
                        <w:iCs/>
                        <w:color w:val="000000" w:themeColor="text1"/>
                        <w:kern w:val="0"/>
                        <w:szCs w:val="20"/>
                        <w:highlight w:val="yellow"/>
                        <w:lang w:val="en-GB"/>
                        <w14:ligatures w14:val="none"/>
                      </w:rPr>
                    </m:ctrlPr>
                  </m:sSubPr>
                  <m:e>
                    <m:r>
                      <w:rPr>
                        <w:rFonts w:ascii="Cambria Math" w:eastAsia="Times New Roman" w:hAnsi="Cambria Math" w:cs="Times New Roman"/>
                        <w:color w:val="000000" w:themeColor="text1"/>
                        <w:kern w:val="0"/>
                        <w:szCs w:val="20"/>
                        <w:highlight w:val="yellow"/>
                        <w:lang w:val="en-GB"/>
                        <w14:ligatures w14:val="none"/>
                      </w:rPr>
                      <m:t>w</m:t>
                    </m:r>
                  </m:e>
                  <m:sub>
                    <m:r>
                      <w:rPr>
                        <w:rFonts w:ascii="Cambria Math" w:eastAsia="Times New Roman" w:hAnsi="Cambria Math" w:cs="Times New Roman"/>
                        <w:color w:val="000000" w:themeColor="text1"/>
                        <w:kern w:val="0"/>
                        <w:szCs w:val="20"/>
                        <w:highlight w:val="yellow"/>
                        <w:lang w:val="en-GB"/>
                        <w14:ligatures w14:val="none"/>
                      </w:rPr>
                      <m:t>c</m:t>
                    </m:r>
                  </m:sub>
                </m:sSub>
              </m:oMath>
            </m:oMathPara>
          </w:p>
        </w:tc>
        <w:tc>
          <w:tcPr>
            <w:tcW w:w="4269" w:type="dxa"/>
          </w:tcPr>
          <w:p w14:paraId="791B2A67" w14:textId="77777777" w:rsidR="002F1936" w:rsidRPr="00703A7C" w:rsidRDefault="002F1936" w:rsidP="003B3837">
            <w:pPr>
              <w:spacing w:before="100" w:beforeAutospacing="1" w:after="100" w:afterAutospacing="1" w:line="276" w:lineRule="auto"/>
              <w:jc w:val="both"/>
              <w:rPr>
                <w:rFonts w:eastAsia="Times New Roman" w:cs="Times New Roman"/>
                <w:color w:val="000000" w:themeColor="text1"/>
                <w:kern w:val="0"/>
                <w:szCs w:val="20"/>
                <w:highlight w:val="yellow"/>
                <w:lang w:val="en-GB"/>
                <w14:ligatures w14:val="none"/>
              </w:rPr>
            </w:pPr>
            <w:r w:rsidRPr="00703A7C">
              <w:rPr>
                <w:rFonts w:eastAsia="Times New Roman" w:cs="Times New Roman"/>
                <w:color w:val="000000" w:themeColor="text1"/>
                <w:kern w:val="0"/>
                <w:szCs w:val="20"/>
                <w:highlight w:val="yellow"/>
                <w:lang w:val="en-GB"/>
                <w14:ligatures w14:val="none"/>
              </w:rPr>
              <w:t>Probability of emergence of ceftriaxone resistance upon treatment with ceftriaxone</w:t>
            </w:r>
          </w:p>
        </w:tc>
        <w:tc>
          <w:tcPr>
            <w:tcW w:w="3150" w:type="dxa"/>
          </w:tcPr>
          <w:p w14:paraId="2236A509"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spellStart"/>
            <w:proofErr w:type="gramStart"/>
            <w:r w:rsidRPr="00B424FD">
              <w:rPr>
                <w:rFonts w:eastAsia="Times New Roman" w:cs="Times New Roman"/>
                <w:color w:val="000000" w:themeColor="text1"/>
                <w:kern w:val="0"/>
                <w:szCs w:val="20"/>
                <w:lang w:val="en-GB"/>
                <w14:ligatures w14:val="none"/>
              </w:rPr>
              <w:t>logN</w:t>
            </w:r>
            <w:proofErr w:type="spellEnd"/>
            <w:r w:rsidRPr="00B424FD">
              <w:rPr>
                <w:rFonts w:eastAsia="Times New Roman" w:cs="Times New Roman"/>
                <w:color w:val="000000" w:themeColor="text1"/>
                <w:kern w:val="0"/>
                <w:szCs w:val="20"/>
                <w:lang w:val="en-GB"/>
                <w14:ligatures w14:val="none"/>
              </w:rPr>
              <w:t>[</w:t>
            </w:r>
            <w:proofErr w:type="gramEnd"/>
            <w:r w:rsidRPr="00B424FD">
              <w:rPr>
                <w:rFonts w:eastAsia="Times New Roman" w:cs="Times New Roman"/>
                <w:color w:val="000000" w:themeColor="text1"/>
                <w:kern w:val="0"/>
                <w:szCs w:val="20"/>
                <w:lang w:val="en-GB"/>
                <w14:ligatures w14:val="none"/>
              </w:rPr>
              <w:t>log10</w:t>
            </w:r>
            <w:r w:rsidRPr="00B424FD">
              <w:rPr>
                <w:rFonts w:eastAsia="Times New Roman" w:cs="Times New Roman"/>
                <w:color w:val="000000" w:themeColor="text1"/>
                <w:kern w:val="0"/>
                <w:szCs w:val="20"/>
                <w:vertAlign w:val="superscript"/>
                <w:lang w:val="en-GB"/>
                <w14:ligatures w14:val="none"/>
              </w:rPr>
              <w:t>-8</w:t>
            </w:r>
            <w:r w:rsidRPr="00B424FD">
              <w:rPr>
                <w:rFonts w:eastAsia="Times New Roman" w:cs="Times New Roman"/>
                <w:color w:val="000000" w:themeColor="text1"/>
                <w:kern w:val="0"/>
                <w:szCs w:val="20"/>
                <w:lang w:val="en-GB"/>
                <w14:ligatures w14:val="none"/>
              </w:rPr>
              <w:t>, 0.01]</w:t>
            </w:r>
          </w:p>
        </w:tc>
        <w:tc>
          <w:tcPr>
            <w:tcW w:w="1320" w:type="dxa"/>
          </w:tcPr>
          <w:p w14:paraId="35A79AEF" w14:textId="2505B0B8"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[10</w:t>
            </w:r>
            <w:r w:rsidRPr="00B424FD">
              <w:rPr>
                <w:rFonts w:eastAsia="Times New Roman" w:cs="Times New Roman"/>
                <w:color w:val="000000" w:themeColor="text1"/>
                <w:kern w:val="0"/>
                <w:szCs w:val="20"/>
                <w:vertAlign w:val="superscript"/>
                <w:lang w:val="en-GB"/>
                <w14:ligatures w14:val="none"/>
              </w:rPr>
              <w:t>-10</w:t>
            </w:r>
            <w:r w:rsidRPr="00B424FD">
              <w:rPr>
                <w:rFonts w:eastAsia="Times New Roman" w:cs="Times New Roman"/>
                <w:color w:val="000000" w:themeColor="text1"/>
                <w:kern w:val="0"/>
                <w:szCs w:val="20"/>
                <w:lang w:val="en-GB"/>
                <w14:ligatures w14:val="none"/>
              </w:rPr>
              <w:t>, 10</w:t>
            </w:r>
            <w:r w:rsidRPr="00B424FD">
              <w:rPr>
                <w:rFonts w:eastAsia="Times New Roman" w:cs="Times New Roman"/>
                <w:color w:val="000000" w:themeColor="text1"/>
                <w:kern w:val="0"/>
                <w:szCs w:val="20"/>
                <w:vertAlign w:val="superscript"/>
                <w:lang w:val="en-GB"/>
                <w14:ligatures w14:val="none"/>
              </w:rPr>
              <w:t>-5</w:t>
            </w:r>
            <w:r w:rsidRPr="00B424FD">
              <w:rPr>
                <w:rFonts w:eastAsia="Times New Roman" w:cs="Times New Roman"/>
                <w:color w:val="000000" w:themeColor="text1"/>
                <w:kern w:val="0"/>
                <w:szCs w:val="20"/>
                <w:lang w:val="en-GB"/>
                <w14:ligatures w14:val="none"/>
              </w:rPr>
              <w:t>]</w:t>
            </w:r>
          </w:p>
        </w:tc>
        <w:tc>
          <w:tcPr>
            <w:tcW w:w="3611" w:type="dxa"/>
          </w:tcPr>
          <w:p w14:paraId="0575035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566083D" w14:textId="74FE2A2D"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{"citationID":"spVCCqJ8","properties":{"formattedCitation":"[14]","plainCitation":"[14]","noteIndex":0},"citationItems":[{"id":187,"uris":["http://zotero.org/users/9663344/items/HYSVKZR9"],"itemData":{"id":187,"type":"article-journal","abstract":"Background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[14]</w:t>
            </w:r>
            <w:r w:rsidRPr="00B424FD">
              <w:rPr>
                <w:rFonts w:eastAsia="Times New Roman" w:cs="Times New Roman"/>
                <w:color w:val="000000" w:themeColor="text1"/>
                <w:kern w:val="0"/>
                <w:szCs w:val="20"/>
                <w:lang w:val="en-GB"/>
                <w14:ligatures w14:val="none"/>
              </w:rPr>
              <w:fldChar w:fldCharType="end"/>
            </w:r>
          </w:p>
        </w:tc>
      </w:tr>
      <w:tr w:rsidR="002F1936" w:rsidRPr="00B424FD" w14:paraId="08881587" w14:textId="77777777" w:rsidTr="00D803EF">
        <w:tc>
          <w:tcPr>
            <w:tcW w:w="771" w:type="dxa"/>
          </w:tcPr>
          <w:p w14:paraId="5A41B388" w14:textId="77777777" w:rsidR="002F1936" w:rsidRPr="00703A7C" w:rsidRDefault="00000000" w:rsidP="003B3837">
            <w:pPr>
              <w:spacing w:before="100" w:beforeAutospacing="1" w:after="100" w:afterAutospacing="1" w:line="276" w:lineRule="auto"/>
              <w:rPr>
                <w:rFonts w:ascii="Aptos" w:eastAsia="DengXian" w:hAnsi="Aptos" w:cs="Times New Roman"/>
                <w:iCs/>
                <w:color w:val="000000" w:themeColor="text1"/>
                <w:kern w:val="0"/>
                <w:szCs w:val="20"/>
                <w:highlight w:val="yellow"/>
                <w:lang w:val="en-GB"/>
                <w14:ligatures w14:val="none"/>
              </w:rPr>
            </w:pPr>
            <m:oMathPara>
              <m:oMath>
                <m:sSub>
                  <m:sSubPr>
                    <m:ctrlPr>
                      <w:rPr>
                        <w:rFonts w:ascii="Cambria Math" w:eastAsia="Times New Roman" w:hAnsi="Cambria Math" w:cs="Times New Roman"/>
                        <w:i/>
                        <w:iCs/>
                        <w:color w:val="000000" w:themeColor="text1"/>
                        <w:kern w:val="0"/>
                        <w:szCs w:val="20"/>
                        <w:highlight w:val="yellow"/>
                        <w:lang w:val="en-GB"/>
                        <w14:ligatures w14:val="none"/>
                      </w:rPr>
                    </m:ctrlPr>
                  </m:sSubPr>
                  <m:e>
                    <m:r>
                      <w:rPr>
                        <w:rFonts w:ascii="Cambria Math" w:eastAsia="Times New Roman" w:hAnsi="Cambria Math" w:cs="Times New Roman"/>
                        <w:color w:val="000000" w:themeColor="text1"/>
                        <w:kern w:val="0"/>
                        <w:szCs w:val="20"/>
                        <w:highlight w:val="yellow"/>
                        <w:lang w:val="en-GB"/>
                        <w14:ligatures w14:val="none"/>
                      </w:rPr>
                      <m:t>w</m:t>
                    </m:r>
                  </m:e>
                  <m:sub>
                    <m:r>
                      <w:rPr>
                        <w:rFonts w:ascii="Cambria Math" w:eastAsia="Times New Roman" w:hAnsi="Cambria Math" w:cs="Times New Roman"/>
                        <w:color w:val="000000" w:themeColor="text1"/>
                        <w:kern w:val="0"/>
                        <w:szCs w:val="20"/>
                        <w:highlight w:val="yellow"/>
                        <w:lang w:val="en-GB"/>
                        <w14:ligatures w14:val="none"/>
                      </w:rPr>
                      <m:t>t</m:t>
                    </m:r>
                  </m:sub>
                </m:sSub>
              </m:oMath>
            </m:oMathPara>
          </w:p>
        </w:tc>
        <w:tc>
          <w:tcPr>
            <w:tcW w:w="4269" w:type="dxa"/>
          </w:tcPr>
          <w:p w14:paraId="259144B8" w14:textId="77777777" w:rsidR="002F1936" w:rsidRPr="00703A7C" w:rsidRDefault="002F1936" w:rsidP="003B3837">
            <w:pPr>
              <w:spacing w:before="100" w:beforeAutospacing="1" w:after="100" w:afterAutospacing="1" w:line="276" w:lineRule="auto"/>
              <w:jc w:val="both"/>
              <w:rPr>
                <w:rFonts w:eastAsia="Times New Roman" w:cs="Times New Roman"/>
                <w:color w:val="000000" w:themeColor="text1"/>
                <w:kern w:val="0"/>
                <w:szCs w:val="20"/>
                <w:highlight w:val="yellow"/>
                <w:lang w:val="en-GB"/>
                <w14:ligatures w14:val="none"/>
              </w:rPr>
            </w:pPr>
            <w:r w:rsidRPr="00703A7C">
              <w:rPr>
                <w:rFonts w:eastAsia="Times New Roman" w:cs="Times New Roman"/>
                <w:color w:val="000000" w:themeColor="text1"/>
                <w:kern w:val="0"/>
                <w:szCs w:val="20"/>
                <w:highlight w:val="yellow"/>
                <w:lang w:val="en-GB"/>
                <w14:ligatures w14:val="none"/>
              </w:rPr>
              <w:t>Probability of emergence of tetracycline resistance upon taking doxy-PEP for syphilis after gonorrhoea infection</w:t>
            </w:r>
          </w:p>
        </w:tc>
        <w:tc>
          <w:tcPr>
            <w:tcW w:w="3150" w:type="dxa"/>
          </w:tcPr>
          <w:p w14:paraId="5106184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B424FD">
              <w:rPr>
                <w:rFonts w:eastAsia="Times New Roman" w:cs="Times New Roman"/>
                <w:color w:val="000000" w:themeColor="text1"/>
                <w:kern w:val="0"/>
                <w:szCs w:val="20"/>
                <w:lang w:val="en-GB"/>
                <w14:ligatures w14:val="none"/>
              </w:rPr>
              <w:t>[0.001, 1000]</w:t>
            </w:r>
          </w:p>
        </w:tc>
        <w:tc>
          <w:tcPr>
            <w:tcW w:w="1320" w:type="dxa"/>
          </w:tcPr>
          <w:p w14:paraId="76714D69" w14:textId="65754BDE"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[10</w:t>
            </w:r>
            <w:r w:rsidRPr="00B424FD">
              <w:rPr>
                <w:rFonts w:eastAsia="Times New Roman" w:cs="Times New Roman"/>
                <w:color w:val="000000" w:themeColor="text1"/>
                <w:kern w:val="0"/>
                <w:szCs w:val="20"/>
                <w:vertAlign w:val="superscript"/>
                <w:lang w:val="en-GB"/>
                <w14:ligatures w14:val="none"/>
              </w:rPr>
              <w:t>-6</w:t>
            </w:r>
            <w:r w:rsidRPr="00B424FD">
              <w:rPr>
                <w:rFonts w:eastAsia="Times New Roman" w:cs="Times New Roman"/>
                <w:color w:val="000000" w:themeColor="text1"/>
                <w:kern w:val="0"/>
                <w:szCs w:val="20"/>
                <w:lang w:val="en-GB"/>
                <w14:ligatures w14:val="none"/>
              </w:rPr>
              <w:t>, 10</w:t>
            </w:r>
            <w:r w:rsidRPr="00B424FD">
              <w:rPr>
                <w:rFonts w:eastAsia="Times New Roman" w:cs="Times New Roman"/>
                <w:color w:val="000000" w:themeColor="text1"/>
                <w:kern w:val="0"/>
                <w:szCs w:val="20"/>
                <w:vertAlign w:val="superscript"/>
                <w:lang w:val="en-GB"/>
                <w14:ligatures w14:val="none"/>
              </w:rPr>
              <w:t>-2</w:t>
            </w:r>
            <w:r w:rsidRPr="00B424FD">
              <w:rPr>
                <w:rFonts w:eastAsia="Times New Roman" w:cs="Times New Roman"/>
                <w:color w:val="000000" w:themeColor="text1"/>
                <w:kern w:val="0"/>
                <w:szCs w:val="20"/>
                <w:lang w:val="en-GB"/>
                <w14:ligatures w14:val="none"/>
              </w:rPr>
              <w:t>]</w:t>
            </w:r>
          </w:p>
        </w:tc>
        <w:tc>
          <w:tcPr>
            <w:tcW w:w="3611" w:type="dxa"/>
          </w:tcPr>
          <w:p w14:paraId="17F39FA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71DEB9BA" w14:textId="78C6FD1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{"citationID":"ZT9FOlgN","properties":{"formattedCitation":"[14]","plainCitation":"[14]","noteIndex":0},"citationItems":[{"id":187,"uris":["http://zotero.org/users/9663344/items/HYSVKZR9"],"itemData":{"id":187,"type":"article-journal","abstract":"Background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[14]</w:t>
            </w:r>
            <w:r w:rsidRPr="00B424FD">
              <w:rPr>
                <w:rFonts w:eastAsia="Times New Roman" w:cs="Times New Roman"/>
                <w:color w:val="000000" w:themeColor="text1"/>
                <w:kern w:val="0"/>
                <w:szCs w:val="20"/>
                <w:lang w:val="en-GB"/>
                <w14:ligatures w14:val="none"/>
              </w:rPr>
              <w:fldChar w:fldCharType="end"/>
            </w:r>
          </w:p>
        </w:tc>
      </w:tr>
      <w:tr w:rsidR="002F1936" w:rsidRPr="00B424FD" w14:paraId="71CC0CBD" w14:textId="77777777" w:rsidTr="00D803EF">
        <w:tc>
          <w:tcPr>
            <w:tcW w:w="771" w:type="dxa"/>
          </w:tcPr>
          <w:p w14:paraId="67AE8062" w14:textId="77777777" w:rsidR="002F1936" w:rsidRPr="00B424FD" w:rsidRDefault="00000000" w:rsidP="003B3837">
            <w:pPr>
              <w:spacing w:before="100" w:beforeAutospacing="1" w:after="100" w:afterAutospacing="1" w:line="276" w:lineRule="auto"/>
              <w:rPr>
                <w:rFonts w:ascii="Aptos" w:eastAsia="DengXian" w:hAnsi="Aptos" w:cs="Times New Roman"/>
                <w:i/>
                <w:color w:val="000000" w:themeColor="text1"/>
                <w:kern w:val="0"/>
                <w:szCs w:val="20"/>
                <w:lang w:val="en-GB"/>
                <w14:ligatures w14:val="none"/>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T</m:t>
                    </m:r>
                  </m:sub>
                </m:sSub>
              </m:oMath>
            </m:oMathPara>
          </w:p>
        </w:tc>
        <w:tc>
          <w:tcPr>
            <w:tcW w:w="4269" w:type="dxa"/>
          </w:tcPr>
          <w:p w14:paraId="2C800D1D"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 xml:space="preserve">Shape parameter of GUMCAD dataset </w:t>
            </w:r>
          </w:p>
        </w:tc>
        <w:tc>
          <w:tcPr>
            <w:tcW w:w="3150" w:type="dxa"/>
          </w:tcPr>
          <w:p w14:paraId="4783DF63"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0,1]</w:t>
            </w:r>
          </w:p>
        </w:tc>
        <w:tc>
          <w:tcPr>
            <w:tcW w:w="1320" w:type="dxa"/>
          </w:tcPr>
          <w:p w14:paraId="51B0D886" w14:textId="357B9F3B"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[0.05, 1]</w:t>
            </w:r>
          </w:p>
        </w:tc>
        <w:tc>
          <w:tcPr>
            <w:tcW w:w="3611" w:type="dxa"/>
          </w:tcPr>
          <w:p w14:paraId="4761FFB6"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291DA83E" w14:textId="783FEC8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2F1936" w:rsidRPr="00B424FD" w14:paraId="13990896" w14:textId="77777777" w:rsidTr="00D803EF">
        <w:tc>
          <w:tcPr>
            <w:tcW w:w="771" w:type="dxa"/>
          </w:tcPr>
          <w:p w14:paraId="3C11B408" w14:textId="77777777" w:rsidR="002F1936" w:rsidRPr="00B424FD" w:rsidRDefault="00000000" w:rsidP="003B3837">
            <w:pPr>
              <w:spacing w:before="100" w:beforeAutospacing="1" w:after="100" w:afterAutospacing="1" w:line="276" w:lineRule="auto"/>
              <w:rPr>
                <w:rFonts w:ascii="Aptos" w:eastAsia="DengXian" w:hAnsi="Aptos" w:cs="Times New Roman"/>
                <w:i/>
                <w:color w:val="0D0D0D"/>
                <w:szCs w:val="20"/>
                <w:shd w:val="clear" w:color="auto" w:fill="FFFFFF"/>
                <w:lang w:val="en-GB"/>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S</m:t>
                    </m:r>
                  </m:sub>
                </m:sSub>
              </m:oMath>
            </m:oMathPara>
          </w:p>
        </w:tc>
        <w:tc>
          <w:tcPr>
            <w:tcW w:w="4269" w:type="dxa"/>
          </w:tcPr>
          <w:p w14:paraId="0E347D09" w14:textId="77777777" w:rsidR="002F1936" w:rsidRPr="00B424FD" w:rsidRDefault="002F1936"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Shape parameter of GRASP dataset</w:t>
            </w:r>
          </w:p>
        </w:tc>
        <w:tc>
          <w:tcPr>
            <w:tcW w:w="3150" w:type="dxa"/>
          </w:tcPr>
          <w:p w14:paraId="0EAD8BDA"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roofErr w:type="gramStart"/>
            <w:r w:rsidRPr="00B424FD">
              <w:rPr>
                <w:rFonts w:eastAsia="Times New Roman" w:cs="Times New Roman"/>
                <w:color w:val="000000" w:themeColor="text1"/>
                <w:kern w:val="0"/>
                <w:szCs w:val="20"/>
                <w:lang w:val="en-GB"/>
                <w14:ligatures w14:val="none"/>
              </w:rPr>
              <w:t>U[</w:t>
            </w:r>
            <w:proofErr w:type="gramEnd"/>
            <w:r w:rsidRPr="00B424FD">
              <w:rPr>
                <w:rFonts w:eastAsia="Times New Roman" w:cs="Times New Roman"/>
                <w:color w:val="000000" w:themeColor="text1"/>
                <w:kern w:val="0"/>
                <w:szCs w:val="20"/>
                <w:lang w:val="en-GB"/>
                <w14:ligatures w14:val="none"/>
              </w:rPr>
              <w:t>0,1]</w:t>
            </w:r>
          </w:p>
        </w:tc>
        <w:tc>
          <w:tcPr>
            <w:tcW w:w="1320" w:type="dxa"/>
          </w:tcPr>
          <w:p w14:paraId="3729B20E" w14:textId="148558B4" w:rsidR="002F1936" w:rsidRPr="00B424FD" w:rsidRDefault="00D803EF"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[0.05, 1]</w:t>
            </w:r>
          </w:p>
        </w:tc>
        <w:tc>
          <w:tcPr>
            <w:tcW w:w="3611" w:type="dxa"/>
          </w:tcPr>
          <w:p w14:paraId="155EEDFD" w14:textId="77777777"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837" w:type="dxa"/>
          </w:tcPr>
          <w:p w14:paraId="32DAEBE9" w14:textId="159BCEF3" w:rsidR="002F1936" w:rsidRPr="00B424FD" w:rsidRDefault="002F1936"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bl>
    <w:p w14:paraId="3058A82B" w14:textId="78BF278A" w:rsidR="002F1936" w:rsidRPr="00B424FD" w:rsidRDefault="002F1936" w:rsidP="003B3837">
      <w:pPr>
        <w:pStyle w:val="NormalWeb"/>
        <w:spacing w:line="276" w:lineRule="auto"/>
        <w:jc w:val="both"/>
        <w:rPr>
          <w:sz w:val="20"/>
          <w:szCs w:val="20"/>
          <w:lang w:val="en-GB"/>
        </w:rPr>
        <w:sectPr w:rsidR="002F1936" w:rsidRPr="00B424FD" w:rsidSect="00263500">
          <w:pgSz w:w="16838" w:h="11906" w:orient="landscape"/>
          <w:pgMar w:top="1440" w:right="1440" w:bottom="1440" w:left="1440" w:header="708" w:footer="708" w:gutter="0"/>
          <w:cols w:space="708"/>
          <w:docGrid w:linePitch="360"/>
        </w:sectPr>
      </w:pPr>
    </w:p>
    <w:p w14:paraId="2499838E" w14:textId="77777777" w:rsidR="007864C5" w:rsidRPr="00B424FD" w:rsidRDefault="007864C5" w:rsidP="003B3837">
      <w:pPr>
        <w:pStyle w:val="NormalWeb"/>
        <w:spacing w:line="276" w:lineRule="auto"/>
        <w:jc w:val="both"/>
        <w:rPr>
          <w:sz w:val="20"/>
          <w:szCs w:val="20"/>
          <w:lang w:val="en-GB"/>
        </w:rPr>
      </w:pPr>
    </w:p>
    <w:p w14:paraId="1FFF3A91" w14:textId="2C02DD5F" w:rsidR="00276DCE" w:rsidRPr="00BF4DCA" w:rsidRDefault="00BF4DCA" w:rsidP="003B3837">
      <w:pPr>
        <w:pStyle w:val="NormalWeb"/>
        <w:spacing w:line="276" w:lineRule="auto"/>
        <w:jc w:val="both"/>
        <w:rPr>
          <w:sz w:val="20"/>
          <w:szCs w:val="20"/>
          <w:lang w:val="en-GB"/>
        </w:rPr>
      </w:pPr>
      <w:r>
        <w:rPr>
          <w:noProof/>
          <w:sz w:val="20"/>
          <w:szCs w:val="20"/>
          <w:lang w:val="en-GB"/>
          <w14:ligatures w14:val="standardContextual"/>
        </w:rPr>
        <w:drawing>
          <wp:inline distT="0" distB="0" distL="0" distR="0" wp14:anchorId="2BEF8111" wp14:editId="7982DA6F">
            <wp:extent cx="8863330" cy="3553460"/>
            <wp:effectExtent l="0" t="0" r="1270" b="0"/>
            <wp:docPr id="338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246" name="Picture 33807246"/>
                    <pic:cNvPicPr/>
                  </pic:nvPicPr>
                  <pic:blipFill>
                    <a:blip r:embed="rId14"/>
                    <a:stretch>
                      <a:fillRect/>
                    </a:stretch>
                  </pic:blipFill>
                  <pic:spPr>
                    <a:xfrm>
                      <a:off x="0" y="0"/>
                      <a:ext cx="8863330" cy="3553460"/>
                    </a:xfrm>
                    <a:prstGeom prst="rect">
                      <a:avLst/>
                    </a:prstGeom>
                  </pic:spPr>
                </pic:pic>
              </a:graphicData>
            </a:graphic>
          </wp:inline>
        </w:drawing>
      </w:r>
      <w:r w:rsidR="00276DCE" w:rsidRPr="00B424FD">
        <w:rPr>
          <w:color w:val="000000" w:themeColor="text1"/>
          <w:sz w:val="20"/>
          <w:szCs w:val="20"/>
          <w:lang w:val="en-GB"/>
        </w:rPr>
        <w:t xml:space="preserve">Fig. </w:t>
      </w:r>
      <w:r w:rsidR="00D43596">
        <w:rPr>
          <w:color w:val="000000" w:themeColor="text1"/>
          <w:sz w:val="20"/>
          <w:szCs w:val="20"/>
          <w:lang w:val="en-GB"/>
        </w:rPr>
        <w:t>4</w:t>
      </w:r>
      <w:r w:rsidR="00276DCE" w:rsidRPr="00B424FD">
        <w:rPr>
          <w:color w:val="000000" w:themeColor="text1"/>
          <w:sz w:val="20"/>
          <w:szCs w:val="20"/>
          <w:lang w:val="en-GB"/>
        </w:rPr>
        <w:t xml:space="preserve">: Model architecture of gonorrhoea AMR emergence under doxy-PEP for syphilis and 4CMenB for gonorrhoea. The model stratifies MSM population into low-activity (orange) and high-activity (red) groups, which share the same compartmental structure but differ in transition rates. For clarity, only transitions in and out of the high-activity group (upper layer) are shown. The model further divides MSM population into four strata </w:t>
      </w:r>
      <m:oMath>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N,D,V,M</m:t>
            </m:r>
          </m:e>
        </m:d>
      </m:oMath>
      <w:r w:rsidR="00276DCE" w:rsidRPr="00B424FD">
        <w:rPr>
          <w:color w:val="000000" w:themeColor="text1"/>
          <w:sz w:val="20"/>
          <w:szCs w:val="20"/>
          <w:lang w:val="en-GB"/>
        </w:rPr>
        <w:t xml:space="preserve"> based on their uptake status of doxy-PEP and 4CMenB, </w:t>
      </w:r>
      <w:r w:rsidR="00276DCE" w:rsidRPr="00B424FD">
        <w:rPr>
          <w:sz w:val="20"/>
          <w:szCs w:val="20"/>
          <w:lang w:val="en-GB"/>
        </w:rPr>
        <w:t>representing individuals who take neither intervention, doxy-PEP only, 4CMenB only, or both, respectively</w:t>
      </w:r>
      <w:r w:rsidR="00276DCE" w:rsidRPr="00B424FD">
        <w:rPr>
          <w:color w:val="000000" w:themeColor="text1"/>
          <w:sz w:val="20"/>
          <w:szCs w:val="20"/>
          <w:lang w:val="en-GB"/>
        </w:rPr>
        <w:t>. Individuals enter the sexually active population as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xml:space="preserve">) in stratum </w:t>
      </w:r>
      <m:oMath>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and may exit the sexually active population due to aging at any stage. Infections progress from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to exposed (</w:t>
      </w:r>
      <m:oMath>
        <m:r>
          <w:rPr>
            <w:rFonts w:ascii="Cambria Math" w:hAnsi="Cambria Math"/>
            <w:color w:val="000000" w:themeColor="text1"/>
            <w:sz w:val="20"/>
            <w:szCs w:val="20"/>
            <w:lang w:val="en-GB"/>
          </w:rPr>
          <m:t>E</m:t>
        </m:r>
      </m:oMath>
      <w:r w:rsidR="00276DCE" w:rsidRPr="00B424FD">
        <w:rPr>
          <w:color w:val="000000" w:themeColor="text1"/>
          <w:sz w:val="20"/>
          <w:szCs w:val="20"/>
          <w:lang w:val="en-GB"/>
        </w:rPr>
        <w:t>), then to asymptomatic (</w:t>
      </w:r>
      <m:oMath>
        <m:r>
          <w:rPr>
            <w:rFonts w:ascii="Cambria Math" w:hAnsi="Cambria Math"/>
            <w:color w:val="000000" w:themeColor="text1"/>
            <w:sz w:val="20"/>
            <w:szCs w:val="20"/>
            <w:lang w:val="en-GB"/>
          </w:rPr>
          <m:t>A</m:t>
        </m:r>
      </m:oMath>
      <w:r w:rsidR="00276DCE" w:rsidRPr="00B424FD">
        <w:rPr>
          <w:color w:val="000000" w:themeColor="text1"/>
          <w:sz w:val="20"/>
          <w:szCs w:val="20"/>
          <w:lang w:val="en-GB"/>
        </w:rPr>
        <w:t>) or symptomatic (</w:t>
      </w:r>
      <m:oMath>
        <m:r>
          <w:rPr>
            <w:rFonts w:ascii="Cambria Math" w:hAnsi="Cambria Math"/>
            <w:color w:val="000000" w:themeColor="text1"/>
            <w:sz w:val="20"/>
            <w:szCs w:val="20"/>
            <w:lang w:val="en-GB"/>
          </w:rPr>
          <m:t>S</m:t>
        </m:r>
      </m:oMath>
      <w:r w:rsidR="00276DCE" w:rsidRPr="00B424FD">
        <w:rPr>
          <w:color w:val="000000" w:themeColor="text1"/>
          <w:sz w:val="20"/>
          <w:szCs w:val="20"/>
          <w:lang w:val="en-GB"/>
        </w:rPr>
        <w:t>), following with treatment (</w:t>
      </w:r>
      <m:oMath>
        <m:r>
          <w:rPr>
            <w:rFonts w:ascii="Cambria Math" w:hAnsi="Cambria Math"/>
            <w:color w:val="000000" w:themeColor="text1"/>
            <w:sz w:val="20"/>
            <w:szCs w:val="20"/>
            <w:lang w:val="en-GB"/>
          </w:rPr>
          <m:t>T</m:t>
        </m:r>
      </m:oMath>
      <w:r w:rsidR="00276DCE" w:rsidRPr="00B424FD">
        <w:rPr>
          <w:color w:val="000000" w:themeColor="text1"/>
          <w:sz w:val="20"/>
          <w:szCs w:val="20"/>
          <w:lang w:val="en-GB"/>
        </w:rPr>
        <w:t xml:space="preserve">) and possible natural recovery from </w:t>
      </w:r>
      <m:oMath>
        <m:r>
          <w:rPr>
            <w:rFonts w:ascii="Cambria Math" w:hAnsi="Cambria Math"/>
            <w:color w:val="000000" w:themeColor="text1"/>
            <w:sz w:val="20"/>
            <w:szCs w:val="20"/>
            <w:lang w:val="en-GB"/>
          </w:rPr>
          <m:t>A</m:t>
        </m:r>
      </m:oMath>
      <w:r w:rsidR="00276DCE" w:rsidRPr="00B424FD">
        <w:rPr>
          <w:color w:val="000000" w:themeColor="text1"/>
          <w:sz w:val="20"/>
          <w:szCs w:val="20"/>
          <w:lang w:val="en-GB"/>
        </w:rPr>
        <w:t xml:space="preserve"> to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xml:space="preserve">. For each stratum </w:t>
      </w:r>
      <m:oMath>
        <m:r>
          <w:rPr>
            <w:rFonts w:ascii="Cambria Math" w:hAnsi="Cambria Math"/>
            <w:color w:val="000000" w:themeColor="text1"/>
            <w:sz w:val="20"/>
            <w:szCs w:val="20"/>
            <w:lang w:val="en-GB"/>
          </w:rPr>
          <m:t>i∈</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N,D,V,M</m:t>
            </m:r>
          </m:e>
        </m:d>
      </m:oMath>
      <w:r w:rsidR="00276DCE" w:rsidRPr="00B424FD">
        <w:rPr>
          <w:color w:val="000000" w:themeColor="text1"/>
          <w:sz w:val="20"/>
          <w:szCs w:val="20"/>
          <w:lang w:val="en-GB"/>
        </w:rPr>
        <w:t xml:space="preserve">, infections are further stratified by resistance profiles. Within each stratum (refer to stratum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four gonorrhoea strains are considered (denoted by superscript): </w:t>
      </w:r>
      <m:oMath>
        <m:r>
          <w:rPr>
            <w:rFonts w:ascii="Cambria Math" w:hAnsi="Cambria Math"/>
            <w:color w:val="000000" w:themeColor="text1"/>
            <w:sz w:val="20"/>
            <w:szCs w:val="20"/>
            <w:lang w:val="en-GB"/>
          </w:rPr>
          <m:t>0=</m:t>
        </m:r>
      </m:oMath>
      <w:r w:rsidR="00276DCE" w:rsidRPr="00B424FD">
        <w:rPr>
          <w:color w:val="000000" w:themeColor="text1"/>
          <w:sz w:val="20"/>
          <w:szCs w:val="20"/>
          <w:lang w:val="en-GB"/>
        </w:rPr>
        <w:t xml:space="preserve"> susceptible, </w:t>
      </w:r>
      <m:oMath>
        <m:r>
          <w:rPr>
            <w:rFonts w:ascii="Cambria Math" w:hAnsi="Cambria Math"/>
            <w:color w:val="000000" w:themeColor="text1"/>
            <w:sz w:val="20"/>
            <w:szCs w:val="20"/>
            <w:lang w:val="en-GB"/>
          </w:rPr>
          <m:t>c=</m:t>
        </m:r>
      </m:oMath>
      <w:r w:rsidR="00276DCE" w:rsidRPr="00B424FD">
        <w:rPr>
          <w:color w:val="000000" w:themeColor="text1"/>
          <w:sz w:val="20"/>
          <w:szCs w:val="20"/>
          <w:lang w:val="en-GB"/>
        </w:rPr>
        <w:t xml:space="preserve"> ceftriaxone resistant, </w:t>
      </w:r>
      <m:oMath>
        <m:r>
          <w:rPr>
            <w:rFonts w:ascii="Cambria Math" w:hAnsi="Cambria Math"/>
            <w:color w:val="000000" w:themeColor="text1"/>
            <w:sz w:val="20"/>
            <w:szCs w:val="20"/>
            <w:lang w:val="en-GB"/>
          </w:rPr>
          <m:t>t=</m:t>
        </m:r>
      </m:oMath>
      <w:r w:rsidR="00276DCE" w:rsidRPr="00B424FD">
        <w:rPr>
          <w:color w:val="000000" w:themeColor="text1"/>
          <w:sz w:val="20"/>
          <w:szCs w:val="20"/>
          <w:lang w:val="en-GB"/>
        </w:rPr>
        <w:t xml:space="preserve"> tetracycline resistant, and </w:t>
      </w:r>
      <m:oMath>
        <m:r>
          <w:rPr>
            <w:rFonts w:ascii="Cambria Math" w:hAnsi="Cambria Math"/>
            <w:color w:val="000000" w:themeColor="text1"/>
            <w:sz w:val="20"/>
            <w:szCs w:val="20"/>
            <w:lang w:val="en-GB"/>
          </w:rPr>
          <m:t>d2=</m:t>
        </m:r>
      </m:oMath>
      <w:r w:rsidR="00276DCE" w:rsidRPr="00B424FD">
        <w:rPr>
          <w:color w:val="000000" w:themeColor="text1"/>
          <w:sz w:val="20"/>
          <w:szCs w:val="20"/>
          <w:lang w:val="en-GB"/>
        </w:rPr>
        <w:t xml:space="preserve"> dual resistant. Ceftriaxone is assumed to be the sole first-line therapy, with probabilities of resistance emergence upon treatment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0</m:t>
            </m:r>
          </m:sup>
        </m:sSup>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e>
          <m:sup>
            <m:r>
              <w:rPr>
                <w:rFonts w:ascii="Cambria Math" w:hAnsi="Cambria Math"/>
                <w:color w:val="000000" w:themeColor="text1"/>
                <w:sz w:val="20"/>
                <w:szCs w:val="20"/>
                <w:lang w:val="en-GB"/>
              </w:rPr>
              <m:t>t</m:t>
            </m:r>
          </m:sup>
        </m:sSup>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T</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Doxy-PEP and 4CMenB together reduce the effective force of infection for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4CMenB alone reduces the effective force of infection for</w:t>
      </w:r>
      <w:r w:rsidR="00276DCE" w:rsidRPr="00B424FD">
        <w:rPr>
          <w:i/>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Doxy-PEP alone reduces the effective force of infection for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276DCE" w:rsidRPr="00B424FD">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w:t>
      </w:r>
      <w:r w:rsidR="00276DCE" w:rsidRPr="00B424FD">
        <w:rPr>
          <w:color w:val="000000" w:themeColor="text1"/>
          <w:sz w:val="20"/>
          <w:szCs w:val="20"/>
          <w:lang w:val="en-GB"/>
        </w:rPr>
        <w:lastRenderedPageBreak/>
        <w:t xml:space="preserve">Without doxy-PEP, or with doxy-PEP only, the absolute effective force of infection for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276DCE" w:rsidRPr="00B424FD">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276DCE" w:rsidRPr="00B424FD">
        <w:rPr>
          <w:color w:val="000000" w:themeColor="text1"/>
          <w:sz w:val="20"/>
          <w:szCs w:val="20"/>
          <w:lang w:val="en-GB"/>
        </w:rPr>
        <w:t xml:space="preserve"> remains unchanged (black arrows in strata </w:t>
      </w:r>
      <m:oMath>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Additionally, doxy-PEP introduces a nonzero probability of </w:t>
      </w:r>
      <w:r w:rsidR="00276DCE" w:rsidRPr="00B424FD">
        <w:rPr>
          <w:i/>
          <w:iCs/>
          <w:color w:val="000000" w:themeColor="text1"/>
          <w:sz w:val="20"/>
          <w:szCs w:val="20"/>
          <w:lang w:val="en-GB"/>
        </w:rPr>
        <w:t>de novo</w:t>
      </w:r>
      <w:r w:rsidR="00276DCE" w:rsidRPr="00B424FD">
        <w:rPr>
          <w:color w:val="000000" w:themeColor="text1"/>
          <w:sz w:val="20"/>
          <w:szCs w:val="20"/>
          <w:lang w:val="en-GB"/>
        </w:rPr>
        <w:t xml:space="preserve"> resistance emergence (dotted red arrows in strata </w:t>
      </w:r>
      <m:oMath>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Based on the uptake status of doxy-PEP and 4CMenB, between-stratum transitions occur as follows: </w:t>
      </w:r>
      <m:oMath>
        <m:r>
          <w:rPr>
            <w:rFonts w:ascii="Cambria Math" w:hAnsi="Cambria Math"/>
            <w:color w:val="000000" w:themeColor="text1"/>
            <w:sz w:val="20"/>
            <w:szCs w:val="20"/>
            <w:lang w:val="en-GB"/>
          </w:rPr>
          <m:t>N</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M</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upon initiation of doxy-PEP (pink arrows); </w:t>
      </w:r>
      <m:oMath>
        <m:r>
          <w:rPr>
            <w:rFonts w:ascii="Cambria Math" w:hAnsi="Cambria Math"/>
            <w:color w:val="000000" w:themeColor="text1"/>
            <w:sz w:val="20"/>
            <w:szCs w:val="20"/>
            <w:lang w:val="en-GB"/>
          </w:rPr>
          <m:t>N</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and </w:t>
      </w:r>
      <m:oMath>
        <m:r>
          <w:rPr>
            <w:rFonts w:ascii="Cambria Math" w:hAnsi="Cambria Math"/>
            <w:color w:val="000000" w:themeColor="text1"/>
            <w:sz w:val="20"/>
            <w:szCs w:val="20"/>
            <w:lang w:val="en-GB"/>
          </w:rPr>
          <m:t>D</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V</m:t>
        </m:r>
      </m:oMath>
      <w:r w:rsidR="00276DCE" w:rsidRPr="00B424FD">
        <w:rPr>
          <w:color w:val="000000" w:themeColor="text1"/>
          <w:sz w:val="20"/>
          <w:szCs w:val="20"/>
          <w:lang w:val="en-GB"/>
        </w:rPr>
        <w:t xml:space="preserve"> upon initiation of 4CMenB (dark green arrows); </w:t>
      </w:r>
      <m:oMath>
        <m:r>
          <w:rPr>
            <w:rFonts w:ascii="Cambria Math" w:hAnsi="Cambria Math"/>
            <w:color w:val="000000" w:themeColor="text1"/>
            <w:sz w:val="20"/>
            <w:szCs w:val="20"/>
            <w:lang w:val="en-GB"/>
          </w:rPr>
          <m:t>D</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or </w:t>
      </w:r>
      <m:oMath>
        <m:r>
          <w:rPr>
            <w:rFonts w:ascii="Cambria Math" w:hAnsi="Cambria Math"/>
            <w:color w:val="000000" w:themeColor="text1"/>
            <w:sz w:val="20"/>
            <w:szCs w:val="20"/>
            <w:lang w:val="en-GB"/>
          </w:rPr>
          <m:t>V</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M</m:t>
        </m:r>
      </m:oMath>
      <w:r w:rsidR="00276DCE" w:rsidRPr="00B424FD">
        <w:rPr>
          <w:color w:val="000000" w:themeColor="text1"/>
          <w:sz w:val="20"/>
          <w:szCs w:val="20"/>
          <w:lang w:val="en-GB"/>
        </w:rPr>
        <w:t xml:space="preserve"> upon discontinuation of doxy-PEP (dark blue arrows); and </w:t>
      </w:r>
      <m:oMath>
        <m:r>
          <w:rPr>
            <w:rFonts w:ascii="Cambria Math" w:hAnsi="Cambria Math"/>
            <w:color w:val="000000" w:themeColor="text1"/>
            <w:sz w:val="20"/>
            <w:szCs w:val="20"/>
            <w:lang w:val="en-GB"/>
          </w:rPr>
          <m:t>V</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D</m:t>
        </m:r>
      </m:oMath>
      <w:r w:rsidR="00276DCE" w:rsidRPr="00B424FD">
        <w:rPr>
          <w:color w:val="000000" w:themeColor="text1"/>
          <w:sz w:val="20"/>
          <w:szCs w:val="20"/>
          <w:lang w:val="en-GB"/>
        </w:rPr>
        <w:t xml:space="preserve"> or </w:t>
      </w:r>
      <m:oMath>
        <m:r>
          <w:rPr>
            <w:rFonts w:ascii="Cambria Math" w:hAnsi="Cambria Math"/>
            <w:color w:val="000000" w:themeColor="text1"/>
            <w:sz w:val="20"/>
            <w:szCs w:val="20"/>
            <w:lang w:val="en-GB"/>
          </w:rPr>
          <m:t>M</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N</m:t>
        </m:r>
      </m:oMath>
      <w:r w:rsidR="00276DCE" w:rsidRPr="00B424FD">
        <w:rPr>
          <w:color w:val="000000" w:themeColor="text1"/>
          <w:sz w:val="20"/>
          <w:szCs w:val="20"/>
          <w:lang w:val="en-GB"/>
        </w:rPr>
        <w:t xml:space="preserve"> upon waning of 4CMenB (dark orange arrows). For simplicity, uptake of doxy-PEP and 4CMenB occur only at the uninfected (</w:t>
      </w:r>
      <m:oMath>
        <m:r>
          <w:rPr>
            <w:rFonts w:ascii="Cambria Math" w:hAnsi="Cambria Math"/>
            <w:color w:val="000000" w:themeColor="text1"/>
            <w:sz w:val="20"/>
            <w:szCs w:val="20"/>
            <w:lang w:val="en-GB"/>
          </w:rPr>
          <m:t>U</m:t>
        </m:r>
      </m:oMath>
      <w:r w:rsidR="00276DCE" w:rsidRPr="00B424FD">
        <w:rPr>
          <w:color w:val="000000" w:themeColor="text1"/>
          <w:sz w:val="20"/>
          <w:szCs w:val="20"/>
          <w:lang w:val="en-GB"/>
        </w:rPr>
        <w:t>) state.</w:t>
      </w:r>
    </w:p>
    <w:p w14:paraId="6AF8F1F8" w14:textId="77777777" w:rsidR="004F3D14" w:rsidRPr="00B424FD"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p w14:paraId="34173FC7" w14:textId="77777777" w:rsidR="004F3D14" w:rsidRPr="00B424FD"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sectPr w:rsidR="004F3D14" w:rsidRPr="00B424FD" w:rsidSect="00276DCE">
          <w:pgSz w:w="16838" w:h="11906" w:orient="landscape"/>
          <w:pgMar w:top="1440" w:right="1440" w:bottom="1440" w:left="1440" w:header="708" w:footer="708" w:gutter="0"/>
          <w:cols w:space="708"/>
          <w:docGrid w:linePitch="360"/>
        </w:sectPr>
      </w:pPr>
    </w:p>
    <w:p w14:paraId="1CC09B59" w14:textId="1655666E" w:rsidR="004F3D14" w:rsidRPr="00B424FD" w:rsidRDefault="002C1F7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lastRenderedPageBreak/>
        <w:t xml:space="preserve">Table 2: </w:t>
      </w:r>
      <w:r w:rsidR="008576F9" w:rsidRPr="00B424FD">
        <w:rPr>
          <w:rFonts w:ascii="Times New Roman" w:eastAsia="Times New Roman" w:hAnsi="Times New Roman" w:cs="Times New Roman"/>
          <w:color w:val="000000" w:themeColor="text1"/>
          <w:kern w:val="0"/>
          <w:sz w:val="20"/>
          <w:szCs w:val="20"/>
          <w:lang w:val="en-GB"/>
          <w14:ligatures w14:val="none"/>
        </w:rPr>
        <w:t>Model parameters.</w:t>
      </w:r>
    </w:p>
    <w:tbl>
      <w:tblPr>
        <w:tblStyle w:val="TableGrid"/>
        <w:tblW w:w="0" w:type="auto"/>
        <w:tblLayout w:type="fixed"/>
        <w:tblLook w:val="04A0" w:firstRow="1" w:lastRow="0" w:firstColumn="1" w:lastColumn="0" w:noHBand="0" w:noVBand="1"/>
      </w:tblPr>
      <w:tblGrid>
        <w:gridCol w:w="360"/>
        <w:gridCol w:w="6300"/>
        <w:gridCol w:w="1350"/>
        <w:gridCol w:w="1016"/>
      </w:tblGrid>
      <w:tr w:rsidR="00804703" w:rsidRPr="00B424FD" w14:paraId="54AB8378" w14:textId="61E0946F" w:rsidTr="00FB7950">
        <w:tc>
          <w:tcPr>
            <w:tcW w:w="360" w:type="dxa"/>
            <w:tcBorders>
              <w:top w:val="single" w:sz="4" w:space="0" w:color="auto"/>
              <w:bottom w:val="single" w:sz="4" w:space="0" w:color="auto"/>
            </w:tcBorders>
          </w:tcPr>
          <w:p w14:paraId="7BDE15F9" w14:textId="31174748"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6300" w:type="dxa"/>
            <w:tcBorders>
              <w:top w:val="single" w:sz="4" w:space="0" w:color="auto"/>
              <w:bottom w:val="single" w:sz="4" w:space="0" w:color="auto"/>
            </w:tcBorders>
          </w:tcPr>
          <w:p w14:paraId="11FDE79F" w14:textId="77777777" w:rsidR="0090359A" w:rsidRPr="00B424FD" w:rsidRDefault="0090359A" w:rsidP="003B3837">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Definition</w:t>
            </w:r>
          </w:p>
        </w:tc>
        <w:tc>
          <w:tcPr>
            <w:tcW w:w="1350" w:type="dxa"/>
            <w:tcBorders>
              <w:top w:val="single" w:sz="4" w:space="0" w:color="auto"/>
              <w:bottom w:val="single" w:sz="4" w:space="0" w:color="auto"/>
            </w:tcBorders>
          </w:tcPr>
          <w:p w14:paraId="52B5383E" w14:textId="0267F846"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Value</w:t>
            </w:r>
          </w:p>
        </w:tc>
        <w:tc>
          <w:tcPr>
            <w:tcW w:w="1016" w:type="dxa"/>
            <w:tcBorders>
              <w:top w:val="single" w:sz="4" w:space="0" w:color="auto"/>
              <w:bottom w:val="single" w:sz="4" w:space="0" w:color="auto"/>
            </w:tcBorders>
          </w:tcPr>
          <w:p w14:paraId="7FAB5165" w14:textId="66703C65" w:rsidR="0090359A" w:rsidRPr="00B424FD" w:rsidRDefault="0090359A"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Source</w:t>
            </w:r>
          </w:p>
        </w:tc>
      </w:tr>
      <w:tr w:rsidR="00804703" w:rsidRPr="00B424FD" w14:paraId="49F709FF" w14:textId="3D415617" w:rsidTr="00FB7950">
        <w:tc>
          <w:tcPr>
            <w:tcW w:w="360" w:type="dxa"/>
          </w:tcPr>
          <w:p w14:paraId="5F2F52CC" w14:textId="3CFA2D9E"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35885379" w14:textId="7181D9B1"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Doxy-PEP efficacy against gonorrhoea infection</w:t>
            </w:r>
          </w:p>
        </w:tc>
        <w:tc>
          <w:tcPr>
            <w:tcW w:w="1350" w:type="dxa"/>
          </w:tcPr>
          <w:p w14:paraId="22B150B8" w14:textId="651009B8" w:rsidR="0090359A" w:rsidRPr="00B424FD" w:rsidRDefault="0024499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55</w:t>
            </w:r>
            <w:r w:rsidR="008576F9" w:rsidRPr="00B424FD">
              <w:rPr>
                <w:rFonts w:eastAsia="Times New Roman" w:cs="Times New Roman"/>
                <w:color w:val="000000" w:themeColor="text1"/>
                <w:kern w:val="0"/>
                <w:szCs w:val="20"/>
                <w:lang w:val="en-GB"/>
                <w14:ligatures w14:val="none"/>
              </w:rPr>
              <w:t>%</w:t>
            </w:r>
          </w:p>
        </w:tc>
        <w:tc>
          <w:tcPr>
            <w:tcW w:w="1016" w:type="dxa"/>
          </w:tcPr>
          <w:p w14:paraId="0E908268" w14:textId="78E6F1E9" w:rsidR="0090359A" w:rsidRPr="00B424FD" w:rsidRDefault="0024499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{"citationID":"3y0GjOeE","properties":{"unsorted":false,"formattedCitation":"[15], [16]","plainCitation":"[15], [16]","noteIndex":0},"citationItems":[{"id":40,"uris":["http://zotero.org/users/9663344/items/67UZENQG","http://zotero.org/users/9663344/items/HANL8X6F"],"itemData":{"id":40,"type":"article-journal","abstract":"BACKGROUND: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Team"}],"issued":{"date-parts":[["2023",4,6]]}}},{"id":487,"uris":["http://zotero.org/users/9663344/items/BRQPGY5G"],"itemData":{"id":487,"type":"article-journal","abstract":"Objectives\nTo investigate the effects of doxycycline pre- and post-exposure prophylaxis (doxy-PrEP/PEP) on bacterial sexually transmitted infections (STIs) by conducting a systematic review and meta-analysis.\nMethods\nPubMed, Embase, and CENTRAL were searched for randomized controlled trials (RCTs), including ongoing studies published until November 7, 2023. Our primary endpoint was the incidence of bacterial STIs measured as the number of visits with an STI per total number of visits. Random-effects model was used to estimate pooled effect sizes. The study was registered with PROSPERO, CRD42023478486.\nResults\nWe identified six eligible studies containing data from seven articles and four conference abstracts, enrolling men who have sex with men (MSM), transgender women (TGW), and cisgender women (CGW). The pooled analysis of 1,766 participants with 602 newly diagnosed STIs showed a 56% decrease in the overall STI incidence using doxy-PrEP/PEP (RR = 0.44; 95% CI: 0.30-0.65; I2 = 73%). For doxy-PEP, including MSM and TGW only, the RR observed for overall STI incidence was 0.40 (95% CI: 0.28-0.57; I² = 37%), 0.19 (95% CI: 0.08-0.44; I² = 39%) for chlamydia, 0.23 (0.14-0.36; I² = 0%) for syphilis and 0.55 (95% CI: 0.34-0.87; I² = 41%) for gonorrhea. No serious adverse events were reported in the studies. The certainty of evidence regarding the efficacy of doxy-PEP among MSM and TGW was graded as high.\nConclusion\nDoxy-PEP significantly reduces the number of new cases of chlamydia and syphilis and is potentially effective against gonorrhea, influenced by local resistance patterns. Thus, it is a promising tool in the prevention of bacterial STIs among MSM and TGW.","container-title":"International Journal of Infectious Diseases","DOI":"10.1016/j.ijid.2024.107186","ISSN":"1201-9712","journalAbbreviation":"International Journal of Infectious Diseases","page":"107186","source":"ScienceDirect","title":"Doxycycline prophylaxis for the prevention of sexually transmitted infections: A systematic review and meta-analysis of randomized controlled trials","title-short":"Doxycycline prophylaxis for the prevention of sexually transmitted infections","volume":"147","author":[{"family":"Szondy","given":"István"},{"family":"Meznerics","given":"Fanni Adél"},{"family":"Lőrincz","given":"Kende"},{"family":"Kemény","given":"Lajos Vince"},{"family":"Walter","given":"Anna"},{"family":"Mohammed","given":"Alzahra Ahmed"},{"family":"Hegyi","given":"Péter"},{"family":"Kiss","given":"Norbert"},{"family":"Bánvölgyi","given":"András"}],"issued":{"date-parts":[["2024",10,1]]}}}],"schema":"https://github.com/citation-style-language/schema/raw/master/csl-citation.json"} </w:instrText>
            </w:r>
            <w:r>
              <w:rPr>
                <w:rFonts w:eastAsia="Times New Roman" w:cs="Times New Roman"/>
                <w:color w:val="000000" w:themeColor="text1"/>
                <w:kern w:val="0"/>
                <w:szCs w:val="20"/>
                <w:lang w:val="en-GB"/>
                <w14:ligatures w14:val="none"/>
              </w:rPr>
              <w:fldChar w:fldCharType="separate"/>
            </w:r>
            <w:r w:rsidR="009F30E1">
              <w:rPr>
                <w:rFonts w:eastAsia="Times New Roman" w:cs="Times New Roman"/>
                <w:noProof/>
                <w:color w:val="000000" w:themeColor="text1"/>
                <w:kern w:val="0"/>
                <w:szCs w:val="20"/>
                <w:lang w:val="en-GB"/>
                <w14:ligatures w14:val="none"/>
              </w:rPr>
              <w:t>[15], [16]</w:t>
            </w:r>
            <w:r>
              <w:rPr>
                <w:rFonts w:eastAsia="Times New Roman" w:cs="Times New Roman"/>
                <w:color w:val="000000" w:themeColor="text1"/>
                <w:kern w:val="0"/>
                <w:szCs w:val="20"/>
                <w:lang w:val="en-GB"/>
                <w14:ligatures w14:val="none"/>
              </w:rPr>
              <w:fldChar w:fldCharType="end"/>
            </w:r>
          </w:p>
        </w:tc>
      </w:tr>
      <w:tr w:rsidR="00804703" w:rsidRPr="00B424FD" w14:paraId="46C6533E" w14:textId="58E77F49" w:rsidTr="00FB7950">
        <w:tc>
          <w:tcPr>
            <w:tcW w:w="360" w:type="dxa"/>
          </w:tcPr>
          <w:p w14:paraId="16E99D95" w14:textId="4BCC7CB3"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v</m:t>
                    </m:r>
                  </m:sub>
                </m:sSub>
              </m:oMath>
            </m:oMathPara>
          </w:p>
        </w:tc>
        <w:tc>
          <w:tcPr>
            <w:tcW w:w="6300" w:type="dxa"/>
          </w:tcPr>
          <w:p w14:paraId="1B4F2836" w14:textId="357A9B27"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0" w:name="_Hlk212667815"/>
            <w:r w:rsidRPr="00B424FD">
              <w:rPr>
                <w:rFonts w:eastAsia="Times New Roman" w:cs="Times New Roman"/>
                <w:color w:val="000000" w:themeColor="text1"/>
                <w:kern w:val="0"/>
                <w:szCs w:val="20"/>
                <w:lang w:val="en-GB"/>
                <w14:ligatures w14:val="none"/>
              </w:rPr>
              <w:t>4CMenB efficacy against gonorrhoea infection</w:t>
            </w:r>
            <w:bookmarkEnd w:id="0"/>
          </w:p>
        </w:tc>
        <w:tc>
          <w:tcPr>
            <w:tcW w:w="1350" w:type="dxa"/>
          </w:tcPr>
          <w:p w14:paraId="4857FA1B" w14:textId="28DD64D4" w:rsidR="0090359A" w:rsidRPr="00B424FD" w:rsidRDefault="008576F9"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40%</w:t>
            </w:r>
          </w:p>
        </w:tc>
        <w:tc>
          <w:tcPr>
            <w:tcW w:w="1016" w:type="dxa"/>
          </w:tcPr>
          <w:p w14:paraId="440AF381" w14:textId="5595A02C" w:rsidR="0090359A" w:rsidRPr="00B424FD" w:rsidRDefault="008576F9"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{"citationID":"5t9v32uY","properties":{"formattedCitation":"[17]","plainCitation":"[17]","noteIndex":0},"citationItems":[{"id":409,"uris":["http://zotero.org/users/9663344/items/S8TLUVMP"],"itemData":{"id":409,"type":"article-journal","container-title":"The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[17]</w:t>
            </w:r>
            <w:r w:rsidRPr="00B424FD">
              <w:rPr>
                <w:rFonts w:eastAsia="Times New Roman" w:cs="Times New Roman"/>
                <w:color w:val="000000" w:themeColor="text1"/>
                <w:kern w:val="0"/>
                <w:szCs w:val="20"/>
                <w:lang w:val="en-GB"/>
                <w14:ligatures w14:val="none"/>
              </w:rPr>
              <w:fldChar w:fldCharType="end"/>
            </w:r>
          </w:p>
        </w:tc>
      </w:tr>
      <w:tr w:rsidR="00BA2AB7" w:rsidRPr="00B424FD" w14:paraId="4BCA9D03" w14:textId="77777777" w:rsidTr="00FB7950">
        <w:tc>
          <w:tcPr>
            <w:tcW w:w="360" w:type="dxa"/>
          </w:tcPr>
          <w:p w14:paraId="505376B2" w14:textId="406A08A4" w:rsidR="00BA2AB7" w:rsidRPr="00B424FD" w:rsidRDefault="00000000" w:rsidP="003B3837">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DengXian" w:hAnsi="Cambria Math" w:cs="Times New Roman"/>
                        <w:i/>
                        <w:iCs/>
                        <w:color w:val="000000" w:themeColor="text1"/>
                        <w:kern w:val="0"/>
                        <w:szCs w:val="20"/>
                        <w:lang w:val="en-GB"/>
                        <w14:ligatures w14:val="none"/>
                      </w:rPr>
                    </m:ctrlPr>
                  </m:sSubPr>
                  <m:e>
                    <m:r>
                      <w:rPr>
                        <w:rFonts w:ascii="Cambria Math" w:eastAsia="DengXian" w:hAnsi="Cambria Math" w:cs="Times New Roman"/>
                        <w:color w:val="000000" w:themeColor="text1"/>
                        <w:kern w:val="0"/>
                        <w:szCs w:val="20"/>
                        <w:lang w:val="en-GB"/>
                        <w14:ligatures w14:val="none"/>
                      </w:rPr>
                      <m:t>e</m:t>
                    </m:r>
                  </m:e>
                  <m:sub>
                    <m:r>
                      <w:rPr>
                        <w:rFonts w:ascii="Cambria Math" w:eastAsia="DengXian" w:hAnsi="Cambria Math" w:cs="Times New Roman"/>
                        <w:color w:val="000000" w:themeColor="text1"/>
                        <w:kern w:val="0"/>
                        <w:szCs w:val="20"/>
                        <w:lang w:val="en-GB"/>
                        <w14:ligatures w14:val="none"/>
                      </w:rPr>
                      <m:t>vd</m:t>
                    </m:r>
                  </m:sub>
                </m:sSub>
              </m:oMath>
            </m:oMathPara>
          </w:p>
        </w:tc>
        <w:tc>
          <w:tcPr>
            <w:tcW w:w="6300" w:type="dxa"/>
          </w:tcPr>
          <w:p w14:paraId="2CFD7750" w14:textId="25040467" w:rsidR="00BA2AB7" w:rsidRPr="00B424FD" w:rsidRDefault="00BA2AB7"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Combined efficacy of doxy-PEP and 4CMenB against gonorrhoea infection</w:t>
            </w:r>
          </w:p>
        </w:tc>
        <w:tc>
          <w:tcPr>
            <w:tcW w:w="1350" w:type="dxa"/>
          </w:tcPr>
          <w:p w14:paraId="12D6FA14" w14:textId="665B7DA1" w:rsidR="00BA2AB7" w:rsidRPr="00B424FD" w:rsidRDefault="004F6BDC"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73</w:t>
            </w:r>
            <w:r w:rsidR="00BA2AB7" w:rsidRPr="00B424FD">
              <w:rPr>
                <w:rFonts w:eastAsia="Times New Roman" w:cs="Times New Roman"/>
                <w:color w:val="000000" w:themeColor="text1"/>
                <w:kern w:val="0"/>
                <w:szCs w:val="20"/>
                <w:lang w:val="en-GB"/>
                <w14:ligatures w14:val="none"/>
              </w:rPr>
              <w:t>%</w:t>
            </w:r>
            <w:r w:rsidR="00BA2AB7" w:rsidRPr="00B424FD">
              <w:rPr>
                <w:rStyle w:val="FootnoteReference"/>
                <w:rFonts w:eastAsia="Times New Roman" w:cs="Times New Roman"/>
                <w:color w:val="000000" w:themeColor="text1"/>
                <w:kern w:val="0"/>
                <w:szCs w:val="20"/>
                <w:lang w:val="en-GB"/>
                <w14:ligatures w14:val="none"/>
              </w:rPr>
              <w:footnoteReference w:id="5"/>
            </w:r>
          </w:p>
        </w:tc>
        <w:tc>
          <w:tcPr>
            <w:tcW w:w="1016" w:type="dxa"/>
          </w:tcPr>
          <w:p w14:paraId="5C4485B7" w14:textId="29F877A9" w:rsidR="00BA2AB7" w:rsidRPr="00B424FD" w:rsidRDefault="00BA2AB7"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7DACFBA3" w14:textId="732C697C" w:rsidTr="00FB7950">
        <w:tc>
          <w:tcPr>
            <w:tcW w:w="360" w:type="dxa"/>
          </w:tcPr>
          <w:p w14:paraId="355ED9D7" w14:textId="40DF9D48"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12D7D903" w14:textId="5A394676"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Uptake of doxy-PEP for syphilis</w:t>
            </w:r>
          </w:p>
        </w:tc>
        <w:tc>
          <w:tcPr>
            <w:tcW w:w="1350" w:type="dxa"/>
          </w:tcPr>
          <w:p w14:paraId="3BF16A30" w14:textId="6DBD8389"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0-100%</w:t>
            </w:r>
          </w:p>
        </w:tc>
        <w:tc>
          <w:tcPr>
            <w:tcW w:w="1016" w:type="dxa"/>
          </w:tcPr>
          <w:p w14:paraId="09D7C125" w14:textId="7FE3FA5C"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2B2479D5" w14:textId="35196F1A" w:rsidTr="00FB7950">
        <w:tc>
          <w:tcPr>
            <w:tcW w:w="360" w:type="dxa"/>
          </w:tcPr>
          <w:p w14:paraId="55A89678" w14:textId="52D15972"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v</m:t>
                    </m:r>
                  </m:sub>
                </m:sSub>
              </m:oMath>
            </m:oMathPara>
          </w:p>
        </w:tc>
        <w:tc>
          <w:tcPr>
            <w:tcW w:w="6300" w:type="dxa"/>
          </w:tcPr>
          <w:p w14:paraId="3FA1541C" w14:textId="5B737D1E"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Uptake of 4CMenB for gonorrhoea</w:t>
            </w:r>
          </w:p>
        </w:tc>
        <w:tc>
          <w:tcPr>
            <w:tcW w:w="1350" w:type="dxa"/>
          </w:tcPr>
          <w:p w14:paraId="4D59A842" w14:textId="54CD4944"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0-100%</w:t>
            </w:r>
          </w:p>
        </w:tc>
        <w:tc>
          <w:tcPr>
            <w:tcW w:w="1016" w:type="dxa"/>
          </w:tcPr>
          <w:p w14:paraId="2BC7F6F0" w14:textId="68088CA3"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w:t>
            </w:r>
          </w:p>
        </w:tc>
      </w:tr>
      <w:tr w:rsidR="00804703" w:rsidRPr="00B424FD" w14:paraId="03E90163" w14:textId="31591B66" w:rsidTr="00FB7950">
        <w:tc>
          <w:tcPr>
            <w:tcW w:w="360" w:type="dxa"/>
          </w:tcPr>
          <w:p w14:paraId="337ED82A" w14:textId="4C8E457A"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n</m:t>
                    </m:r>
                  </m:sub>
                </m:sSub>
              </m:oMath>
            </m:oMathPara>
          </w:p>
        </w:tc>
        <w:tc>
          <w:tcPr>
            <w:tcW w:w="6300" w:type="dxa"/>
          </w:tcPr>
          <w:p w14:paraId="243798AE" w14:textId="58A45403" w:rsidR="0090359A" w:rsidRPr="00B424FD" w:rsidRDefault="0090359A"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Discontinuation rate of doxy-PEP for syphilis</w:t>
            </w:r>
          </w:p>
        </w:tc>
        <w:tc>
          <w:tcPr>
            <w:tcW w:w="1350" w:type="dxa"/>
          </w:tcPr>
          <w:p w14:paraId="15F27FB9" w14:textId="1B903BE7"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0.362</w:t>
            </w:r>
          </w:p>
        </w:tc>
        <w:tc>
          <w:tcPr>
            <w:tcW w:w="1016" w:type="dxa"/>
          </w:tcPr>
          <w:p w14:paraId="427CD319" w14:textId="1E5C7588" w:rsidR="0090359A" w:rsidRPr="00B424FD" w:rsidRDefault="00A64C35"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{"citationID":"vZC2KeRk","properties":{"formattedCitation":"[18]","plainCitation":"[18]","noteIndex":0},"citationItems":[{"id":151,"uris":["http://zotero.org/users/9663344/items/MXEW8URU"],"itemData":{"id":151,"type":"article-journal","abstract":"Background Poor adherence to oral HIV pre-exposure prophylaxis (PrEP) diminishes its clinical and public health benefits. This study synthesises evidence regarding discontinuation, adherence, and reinitiation of PrEP among geographically diverse PrEP users.","container-title":"The Lancet HIV","DOI":"10.1016/S2352-3018(22)00030-3","ISSN":"23523018","issue":"4","journalAbbreviation":"The Lancet HIV","language":"en","page":"e254-e268","source":"DOI.org (Crossref)","title":"Discontinuation, suboptimal adherence, and reinitiation of oral HIV pre-exposure prophylaxis: a global systematic review and meta-analysis","title-short":"Discontinuation, suboptimal adherence, and reinitiation of oral HIV pre-exposure prophylaxis","volume":"9","author":[{"family":"Zhang","given":"Jing"},{"family":"Li","given":"Chunyan"},{"family":"Xu","given":"Junjie"},{"family":"Hu","given":"Zhili"},{"family":"Rutstein","given":"Sarah E"},{"family":"Tucker","given":"Joseph D"},{"family":"Ong","given":"Jason J"},{"family":"Jiang","given":"Yongjun"},{"family":"Geng","given":"Wenqing"},{"family":"Wright","given":"Sarah T"},{"family":"Cohen","given":"Myron S"},{"family":"Shang","given":"Hong"},{"family":"Tang","given":"Weiming"}],"issued":{"date-parts":[["2022",4]]}}}],"schema":"https://github.com/citation-style-language/schema/raw/master/csl-citation.json"}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[18]</w:t>
            </w:r>
            <w:r w:rsidRPr="00B424FD">
              <w:rPr>
                <w:rFonts w:eastAsia="Times New Roman" w:cs="Times New Roman"/>
                <w:color w:val="000000" w:themeColor="text1"/>
                <w:kern w:val="0"/>
                <w:szCs w:val="20"/>
                <w:lang w:val="en-GB"/>
                <w14:ligatures w14:val="none"/>
              </w:rPr>
              <w:fldChar w:fldCharType="end"/>
            </w:r>
          </w:p>
        </w:tc>
      </w:tr>
      <w:tr w:rsidR="00804703" w:rsidRPr="00B424FD" w14:paraId="111A6694" w14:textId="49BB4504" w:rsidTr="00FB7950">
        <w:tc>
          <w:tcPr>
            <w:tcW w:w="360" w:type="dxa"/>
          </w:tcPr>
          <w:p w14:paraId="127EFC57" w14:textId="04F370D3" w:rsidR="0090359A" w:rsidRPr="00B424FD" w:rsidRDefault="00000000" w:rsidP="003B3837">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d</m:t>
                    </m:r>
                  </m:sub>
                </m:sSub>
              </m:oMath>
            </m:oMathPara>
          </w:p>
        </w:tc>
        <w:tc>
          <w:tcPr>
            <w:tcW w:w="6300" w:type="dxa"/>
          </w:tcPr>
          <w:p w14:paraId="2CA355AC" w14:textId="0430F9C8" w:rsidR="0090359A" w:rsidRPr="00B424FD" w:rsidRDefault="00FB7950" w:rsidP="003B3837">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1" w:name="_Hlk212668069"/>
            <w:r w:rsidRPr="00B424FD">
              <w:rPr>
                <w:rFonts w:eastAsia="Times New Roman" w:cs="Times New Roman"/>
                <w:color w:val="000000" w:themeColor="text1"/>
                <w:kern w:val="0"/>
                <w:szCs w:val="20"/>
                <w:lang w:val="en-GB"/>
                <w14:ligatures w14:val="none"/>
              </w:rPr>
              <w:t>Waning rate</w:t>
            </w:r>
            <w:r w:rsidR="0090359A" w:rsidRPr="00B424FD">
              <w:rPr>
                <w:rFonts w:eastAsia="Times New Roman" w:cs="Times New Roman"/>
                <w:color w:val="000000" w:themeColor="text1"/>
                <w:kern w:val="0"/>
                <w:szCs w:val="20"/>
                <w:lang w:val="en-GB"/>
                <w14:ligatures w14:val="none"/>
              </w:rPr>
              <w:t xml:space="preserve"> of 4CMenB</w:t>
            </w:r>
            <w:bookmarkEnd w:id="1"/>
          </w:p>
        </w:tc>
        <w:tc>
          <w:tcPr>
            <w:tcW w:w="1350" w:type="dxa"/>
          </w:tcPr>
          <w:p w14:paraId="7E546F3E" w14:textId="3846F219" w:rsidR="0090359A" w:rsidRPr="00B424FD" w:rsidRDefault="00FB7950"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t>0.33</w:t>
            </w:r>
            <w:r w:rsidR="00B1021E" w:rsidRPr="00B424FD">
              <w:rPr>
                <w:rStyle w:val="FootnoteReference"/>
                <w:rFonts w:eastAsia="Times New Roman" w:cs="Times New Roman"/>
                <w:color w:val="000000" w:themeColor="text1"/>
                <w:kern w:val="0"/>
                <w:szCs w:val="20"/>
                <w:lang w:val="en-GB"/>
                <w14:ligatures w14:val="none"/>
              </w:rPr>
              <w:footnoteReference w:id="6"/>
            </w:r>
            <w:r w:rsidR="00B1021E" w:rsidRPr="00B424FD">
              <w:rPr>
                <w:rFonts w:eastAsia="Times New Roman" w:cs="Times New Roman"/>
                <w:color w:val="000000" w:themeColor="text1"/>
                <w:kern w:val="0"/>
                <w:szCs w:val="20"/>
                <w:lang w:val="en-GB"/>
                <w14:ligatures w14:val="none"/>
              </w:rPr>
              <w:t xml:space="preserve"> or </w:t>
            </w:r>
            <w:r w:rsidRPr="00B424FD">
              <w:rPr>
                <w:rFonts w:eastAsia="Times New Roman" w:cs="Times New Roman"/>
                <w:color w:val="000000" w:themeColor="text1"/>
                <w:kern w:val="0"/>
                <w:szCs w:val="20"/>
                <w:lang w:val="en-GB"/>
                <w14:ligatures w14:val="none"/>
              </w:rPr>
              <w:t>0.20</w:t>
            </w:r>
            <w:r w:rsidR="00B1021E" w:rsidRPr="00B424FD">
              <w:rPr>
                <w:rStyle w:val="FootnoteReference"/>
                <w:rFonts w:eastAsia="Times New Roman" w:cs="Times New Roman"/>
                <w:color w:val="000000" w:themeColor="text1"/>
                <w:kern w:val="0"/>
                <w:szCs w:val="20"/>
                <w:lang w:val="en-GB"/>
                <w14:ligatures w14:val="none"/>
              </w:rPr>
              <w:footnoteReference w:id="7"/>
            </w:r>
          </w:p>
        </w:tc>
        <w:tc>
          <w:tcPr>
            <w:tcW w:w="1016" w:type="dxa"/>
          </w:tcPr>
          <w:p w14:paraId="3053899D" w14:textId="272AC07B" w:rsidR="0090359A" w:rsidRPr="00B424FD" w:rsidRDefault="00366B64" w:rsidP="003B3837">
            <w:pPr>
              <w:spacing w:before="100" w:beforeAutospacing="1" w:after="100" w:afterAutospacing="1" w:line="276" w:lineRule="auto"/>
              <w:rPr>
                <w:rFonts w:eastAsia="Times New Roman" w:cs="Times New Roman"/>
                <w:color w:val="000000" w:themeColor="text1"/>
                <w:kern w:val="0"/>
                <w:szCs w:val="20"/>
                <w:lang w:val="en-GB"/>
                <w14:ligatures w14:val="none"/>
              </w:rPr>
            </w:pPr>
            <w:r w:rsidRPr="00B424FD">
              <w:rPr>
                <w:rFonts w:eastAsia="Times New Roman" w:cs="Times New Roman"/>
                <w:color w:val="000000" w:themeColor="text1"/>
                <w:kern w:val="0"/>
                <w:szCs w:val="20"/>
                <w:lang w:val="en-GB"/>
                <w14:ligatures w14:val="none"/>
              </w:rPr>
              <w:fldChar w:fldCharType="begin"/>
            </w:r>
            <w:r w:rsidR="009F30E1">
              <w:rPr>
                <w:rFonts w:eastAsia="Times New Roman" w:cs="Times New Roman"/>
                <w:color w:val="000000" w:themeColor="text1"/>
                <w:kern w:val="0"/>
                <w:szCs w:val="20"/>
                <w:lang w:val="en-GB"/>
                <w14:ligatures w14:val="none"/>
              </w:rPr>
              <w:instrText xml:space="preserve"> ADDIN ZOTERO_ITEM CSL_CITATION {"citationID":"5iIbOeWb","properties":{"unsorted":false,"formattedCitation":"[19], [20]","plainCitation":"[19], [20]","noteIndex":0},"citationItems":[{"id":464,"uris":["http://zotero.org/users/9663344/items/89SSBCG8"],"itemData":{"id":464,"type":"article-journal","abstract":"OBJECTIVES: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424FD">
              <w:rPr>
                <w:rFonts w:eastAsia="Times New Roman" w:cs="Times New Roman"/>
                <w:color w:val="000000" w:themeColor="text1"/>
                <w:kern w:val="0"/>
                <w:szCs w:val="20"/>
                <w:lang w:val="en-GB"/>
                <w14:ligatures w14:val="none"/>
              </w:rPr>
              <w:fldChar w:fldCharType="separate"/>
            </w:r>
            <w:r w:rsidR="009F30E1">
              <w:rPr>
                <w:rFonts w:eastAsia="Times New Roman" w:cs="Times New Roman"/>
                <w:color w:val="000000" w:themeColor="text1"/>
                <w:kern w:val="0"/>
                <w:szCs w:val="20"/>
                <w:lang w:val="en-GB"/>
                <w14:ligatures w14:val="none"/>
              </w:rPr>
              <w:t>[19], [20]</w:t>
            </w:r>
            <w:r w:rsidRPr="00B424FD">
              <w:rPr>
                <w:rFonts w:eastAsia="Times New Roman" w:cs="Times New Roman"/>
                <w:color w:val="000000" w:themeColor="text1"/>
                <w:kern w:val="0"/>
                <w:szCs w:val="20"/>
                <w:lang w:val="en-GB"/>
                <w14:ligatures w14:val="none"/>
              </w:rPr>
              <w:fldChar w:fldCharType="end"/>
            </w:r>
          </w:p>
        </w:tc>
      </w:tr>
    </w:tbl>
    <w:p w14:paraId="222CBCA0" w14:textId="3871FFA1" w:rsidR="007C39C6" w:rsidRPr="00B424FD" w:rsidRDefault="00DB3DC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B424FD">
        <w:rPr>
          <w:rFonts w:ascii="Times New Roman" w:hAnsi="Times New Roman" w:cs="Times New Roman"/>
          <w:color w:val="000000" w:themeColor="text1"/>
          <w:kern w:val="0"/>
          <w:sz w:val="20"/>
          <w:szCs w:val="20"/>
          <w:lang w:val="en-GB"/>
          <w14:ligatures w14:val="none"/>
        </w:rPr>
        <w:t>Compartmental model equations</w:t>
      </w:r>
      <w:r w:rsidR="00D06293" w:rsidRPr="00B424FD">
        <w:rPr>
          <w:rFonts w:ascii="Times New Roman" w:hAnsi="Times New Roman" w:cs="Times New Roman"/>
          <w:color w:val="000000" w:themeColor="text1"/>
          <w:kern w:val="0"/>
          <w:sz w:val="20"/>
          <w:szCs w:val="20"/>
          <w:lang w:val="en-GB"/>
          <w14:ligatures w14:val="none"/>
        </w:rPr>
        <w:t xml:space="preserve"> (</w:t>
      </w:r>
      <w:r w:rsidR="00D06293" w:rsidRPr="00B424FD">
        <w:rPr>
          <w:rFonts w:ascii="Times New Roman" w:hAnsi="Times New Roman" w:cs="Times New Roman"/>
          <w:b/>
          <w:bCs/>
          <w:color w:val="000000" w:themeColor="text1"/>
          <w:kern w:val="0"/>
          <w:sz w:val="20"/>
          <w:szCs w:val="20"/>
          <w:lang w:val="en-GB"/>
          <w14:ligatures w14:val="none"/>
        </w:rPr>
        <w:t>subscript denotes strat</w:t>
      </w:r>
      <w:r w:rsidR="00914662" w:rsidRPr="00B424FD">
        <w:rPr>
          <w:rFonts w:ascii="Times New Roman" w:hAnsi="Times New Roman" w:cs="Times New Roman"/>
          <w:b/>
          <w:bCs/>
          <w:color w:val="000000" w:themeColor="text1"/>
          <w:kern w:val="0"/>
          <w:sz w:val="20"/>
          <w:szCs w:val="20"/>
          <w:lang w:val="en-GB"/>
          <w14:ligatures w14:val="none"/>
        </w:rPr>
        <w:t>um</w:t>
      </w:r>
      <w:r w:rsidR="00D06293" w:rsidRPr="00B424FD">
        <w:rPr>
          <w:rFonts w:ascii="Times New Roman" w:hAnsi="Times New Roman" w:cs="Times New Roman"/>
          <w:b/>
          <w:bCs/>
          <w:color w:val="000000" w:themeColor="text1"/>
          <w:kern w:val="0"/>
          <w:sz w:val="20"/>
          <w:szCs w:val="20"/>
          <w:lang w:val="en-GB"/>
          <w14:ligatures w14:val="none"/>
        </w:rPr>
        <w:t xml:space="preserve"> </w:t>
      </w:r>
      <m:oMath>
        <m:r>
          <m:rPr>
            <m:sty m:val="bi"/>
          </m:rPr>
          <w:rPr>
            <w:rFonts w:ascii="Cambria Math" w:hAnsi="Cambria Math" w:cs="Times New Roman"/>
            <w:color w:val="000000" w:themeColor="text1"/>
            <w:sz w:val="20"/>
            <w:szCs w:val="20"/>
            <w:lang w:val="en-GB"/>
          </w:rPr>
          <m:t>i∈</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N,D,V,M</m:t>
            </m:r>
          </m:e>
        </m:d>
      </m:oMath>
      <w:r w:rsidR="00D06293" w:rsidRPr="00B424FD">
        <w:rPr>
          <w:rFonts w:ascii="Times New Roman" w:hAnsi="Times New Roman" w:cs="Times New Roman"/>
          <w:b/>
          <w:bCs/>
          <w:color w:val="000000" w:themeColor="text1"/>
          <w:sz w:val="20"/>
          <w:szCs w:val="20"/>
          <w:lang w:val="en-GB"/>
        </w:rPr>
        <w:t xml:space="preserve"> and risk group </w:t>
      </w:r>
      <m:oMath>
        <m:r>
          <m:rPr>
            <m:sty m:val="bi"/>
          </m:rPr>
          <w:rPr>
            <w:rFonts w:ascii="Cambria Math" w:hAnsi="Cambria Math" w:cs="Times New Roman"/>
            <w:color w:val="000000" w:themeColor="text1"/>
            <w:sz w:val="20"/>
            <w:szCs w:val="20"/>
            <w:lang w:val="en-GB"/>
          </w:rPr>
          <m:t>j∈</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H,L</m:t>
            </m:r>
          </m:e>
        </m:d>
      </m:oMath>
      <w:r w:rsidR="00D06293" w:rsidRPr="00B424FD">
        <w:rPr>
          <w:rFonts w:ascii="Times New Roman" w:hAnsi="Times New Roman" w:cs="Times New Roman"/>
          <w:b/>
          <w:bCs/>
          <w:color w:val="000000" w:themeColor="text1"/>
          <w:sz w:val="20"/>
          <w:szCs w:val="20"/>
          <w:lang w:val="en-GB"/>
        </w:rPr>
        <w:t>,</w:t>
      </w:r>
      <w:r w:rsidR="00A21F6D" w:rsidRPr="00B424FD">
        <w:rPr>
          <w:rFonts w:ascii="Times New Roman" w:hAnsi="Times New Roman" w:cs="Times New Roman"/>
          <w:b/>
          <w:bCs/>
          <w:color w:val="000000" w:themeColor="text1"/>
          <w:sz w:val="20"/>
          <w:szCs w:val="20"/>
          <w:lang w:val="en-GB"/>
        </w:rPr>
        <w:t xml:space="preserve"> separated by comma, </w:t>
      </w:r>
      <w:r w:rsidR="00D06293" w:rsidRPr="00B424FD">
        <w:rPr>
          <w:rFonts w:ascii="Times New Roman" w:hAnsi="Times New Roman" w:cs="Times New Roman"/>
          <w:b/>
          <w:bCs/>
          <w:color w:val="000000" w:themeColor="text1"/>
          <w:sz w:val="20"/>
          <w:szCs w:val="20"/>
          <w:lang w:val="en-GB"/>
        </w:rPr>
        <w:t xml:space="preserve">superscript denotes strain </w:t>
      </w:r>
      <m:oMath>
        <m:r>
          <m:rPr>
            <m:sty m:val="bi"/>
          </m:rPr>
          <w:rPr>
            <w:rFonts w:ascii="Cambria Math" w:hAnsi="Cambria Math" w:cs="Times New Roman"/>
            <w:color w:val="000000" w:themeColor="text1"/>
            <w:sz w:val="20"/>
            <w:szCs w:val="20"/>
            <w:lang w:val="en-GB"/>
          </w:rPr>
          <m:t>k∈</m:t>
        </m:r>
        <m:d>
          <m:dPr>
            <m:begChr m:val="{"/>
            <m:endChr m:val="}"/>
            <m:ctrlPr>
              <w:rPr>
                <w:rFonts w:ascii="Cambria Math" w:hAnsi="Cambria Math" w:cs="Times New Roman"/>
                <w:b/>
                <w:bCs/>
                <w:i/>
                <w:color w:val="000000" w:themeColor="text1"/>
                <w:sz w:val="20"/>
                <w:szCs w:val="20"/>
                <w:lang w:val="en-GB"/>
              </w:rPr>
            </m:ctrlPr>
          </m:dPr>
          <m:e>
            <m:r>
              <m:rPr>
                <m:sty m:val="bi"/>
              </m:rPr>
              <w:rPr>
                <w:rFonts w:ascii="Cambria Math" w:hAnsi="Cambria Math" w:cs="Times New Roman"/>
                <w:color w:val="000000" w:themeColor="text1"/>
                <w:sz w:val="20"/>
                <w:szCs w:val="20"/>
                <w:lang w:val="en-GB"/>
              </w:rPr>
              <m:t>0, c, t, d</m:t>
            </m:r>
            <m:r>
              <m:rPr>
                <m:sty m:val="bi"/>
              </m:rPr>
              <w:rPr>
                <w:rFonts w:ascii="Cambria Math" w:hAnsi="Cambria Math" w:cs="Times New Roman"/>
                <w:color w:val="000000" w:themeColor="text1"/>
                <w:sz w:val="20"/>
                <w:szCs w:val="20"/>
                <w:lang w:val="en-GB"/>
              </w:rPr>
              <m:t>2</m:t>
            </m:r>
          </m:e>
        </m:d>
      </m:oMath>
      <w:r w:rsidR="00D06293" w:rsidRPr="00B424FD">
        <w:rPr>
          <w:rFonts w:ascii="Times New Roman" w:hAnsi="Times New Roman" w:cs="Times New Roman"/>
          <w:color w:val="000000" w:themeColor="text1"/>
          <w:sz w:val="20"/>
          <w:szCs w:val="20"/>
          <w:lang w:val="en-GB"/>
        </w:rPr>
        <w:t>)</w:t>
      </w:r>
      <w:r w:rsidR="00204018" w:rsidRPr="00B424FD">
        <w:rPr>
          <w:rFonts w:ascii="Times New Roman" w:hAnsi="Times New Roman" w:cs="Times New Roman"/>
          <w:color w:val="000000" w:themeColor="text1"/>
          <w:sz w:val="20"/>
          <w:szCs w:val="20"/>
          <w:lang w:val="en-GB"/>
        </w:rPr>
        <w:t xml:space="preserve">. </w:t>
      </w:r>
      <w:r w:rsidR="007C39C6" w:rsidRPr="00B424FD">
        <w:rPr>
          <w:rFonts w:ascii="Times New Roman" w:hAnsi="Times New Roman" w:cs="Times New Roman"/>
          <w:sz w:val="20"/>
          <w:szCs w:val="20"/>
          <w:lang w:val="en-GB"/>
        </w:rPr>
        <w:t xml:space="preserve">The force of infection, defined as the rate at which susceptible individuals </w:t>
      </w:r>
      <w:r w:rsidR="00223F73"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223F73"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 xml:space="preserve">in sexual activity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acquire infection,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is determined by several factors: the annual rate of partner change within each group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oMath>
      <w:r w:rsidR="007C39C6" w:rsidRPr="00B424FD">
        <w:rPr>
          <w:rFonts w:ascii="Times New Roman" w:hAnsi="Times New Roman" w:cs="Times New Roman"/>
          <w:sz w:val="20"/>
          <w:szCs w:val="20"/>
          <w:lang w:val="en-GB"/>
        </w:rPr>
        <w:t>); the level of assortativity in sexual mixing between groups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where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 0 represents proportionate mixing and </w:t>
      </w:r>
      <m:oMath>
        <m:r>
          <w:rPr>
            <w:rFonts w:ascii="Cambria Math" w:hAnsi="Cambria Math" w:cs="Times New Roman"/>
            <w:sz w:val="20"/>
            <w:szCs w:val="20"/>
            <w:lang w:val="en-GB"/>
          </w:rPr>
          <m:t>ϵ</m:t>
        </m:r>
      </m:oMath>
      <w:r w:rsidR="007C39C6" w:rsidRPr="00B424FD">
        <w:rPr>
          <w:rFonts w:ascii="Times New Roman" w:hAnsi="Times New Roman" w:cs="Times New Roman"/>
          <w:sz w:val="20"/>
          <w:szCs w:val="20"/>
          <w:lang w:val="en-GB"/>
        </w:rPr>
        <w:t xml:space="preserve"> = 1 represents fully assortative mixing); </w:t>
      </w:r>
      <w:r w:rsidR="007C39C6" w:rsidRPr="00B424FD">
        <w:rPr>
          <w:rFonts w:ascii="Times New Roman" w:hAnsi="Times New Roman" w:cs="Times New Roman"/>
          <w:iCs/>
          <w:sz w:val="20"/>
          <w:szCs w:val="20"/>
          <w:lang w:val="en-GB"/>
        </w:rPr>
        <w:t xml:space="preserve">the total number of contagious individuals </w:t>
      </w:r>
      <w:r w:rsidR="00091063"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091063"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iCs/>
          <w:sz w:val="20"/>
          <w:szCs w:val="20"/>
          <w:lang w:val="en-GB"/>
        </w:rPr>
        <w:t xml:space="preserve">in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 xml:space="preserve">); the total population in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oMath>
      <w:r w:rsidR="007C39C6"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 xml:space="preserve">the prevalence of infectious individuals </w:t>
      </w:r>
      <w:r w:rsidR="00727618" w:rsidRPr="00B424FD">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00727618" w:rsidRPr="00B424FD">
        <w:rPr>
          <w:rFonts w:ascii="Times New Roman" w:hAnsi="Times New Roman" w:cs="Times New Roman"/>
          <w:iCs/>
          <w:sz w:val="20"/>
          <w:szCs w:val="20"/>
          <w:lang w:val="en-GB"/>
        </w:rPr>
        <w:t xml:space="preserve"> </w:t>
      </w:r>
      <w:r w:rsidR="007C39C6" w:rsidRPr="00B424FD">
        <w:rPr>
          <w:rFonts w:ascii="Times New Roman" w:hAnsi="Times New Roman" w:cs="Times New Roman"/>
          <w:sz w:val="20"/>
          <w:szCs w:val="20"/>
          <w:lang w:val="en-GB"/>
        </w:rPr>
        <w:t>in each group (</w:t>
      </w:r>
      <m:oMath>
        <m:f>
          <m:fPr>
            <m:ctrlPr>
              <w:rPr>
                <w:rFonts w:ascii="Cambria Math" w:hAnsi="Cambria Math" w:cs="Times New Roman"/>
                <w:i/>
                <w:iCs/>
                <w:sz w:val="20"/>
                <w:szCs w:val="20"/>
                <w:lang w:val="en-GB"/>
              </w:rPr>
            </m:ctrlPr>
          </m:fPr>
          <m:num>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num>
          <m:den>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den>
        </m:f>
      </m:oMath>
      <w:r w:rsidR="007C39C6" w:rsidRPr="00B424FD">
        <w:rPr>
          <w:rFonts w:ascii="Times New Roman" w:hAnsi="Times New Roman" w:cs="Times New Roman"/>
          <w:sz w:val="20"/>
          <w:szCs w:val="20"/>
          <w:lang w:val="en-GB"/>
        </w:rPr>
        <w:t xml:space="preserve">); the proportion of all partnerships in the population that include an individual from group </w:t>
      </w:r>
      <m:oMath>
        <m:r>
          <w:rPr>
            <w:rFonts w:ascii="Cambria Math" w:hAnsi="Cambria Math" w:cs="Times New Roman"/>
            <w:sz w:val="20"/>
            <w:szCs w:val="20"/>
            <w:lang w:val="en-GB"/>
          </w:rPr>
          <m:t>j</m:t>
        </m:r>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π</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007C39C6" w:rsidRPr="00B424FD">
        <w:rPr>
          <w:rFonts w:ascii="Times New Roman" w:hAnsi="Times New Roman" w:cs="Times New Roman"/>
          <w:iCs/>
          <w:sz w:val="20"/>
          <w:szCs w:val="20"/>
          <w:lang w:val="en-GB"/>
        </w:rPr>
        <w:t>)</w:t>
      </w:r>
      <w:r w:rsidR="007C39C6" w:rsidRPr="00B424FD">
        <w:rPr>
          <w:rFonts w:ascii="Times New Roman" w:hAnsi="Times New Roman" w:cs="Times New Roman"/>
          <w:sz w:val="20"/>
          <w:szCs w:val="20"/>
          <w:lang w:val="en-GB"/>
        </w:rPr>
        <w:t>; and the transmission probability. The latter is modelled as time-varying, increasing linearly from the baseline transmission rate (</w:t>
      </w:r>
      <m:oMath>
        <m:r>
          <w:rPr>
            <w:rFonts w:ascii="Cambria Math" w:hAnsi="Cambria Math" w:cs="Times New Roman"/>
            <w:sz w:val="20"/>
            <w:szCs w:val="20"/>
            <w:lang w:val="en-GB"/>
          </w:rPr>
          <m:t>β</m:t>
        </m:r>
      </m:oMath>
      <w:r w:rsidR="007C39C6" w:rsidRPr="00B424FD">
        <w:rPr>
          <w:rFonts w:ascii="Times New Roman" w:hAnsi="Times New Roman" w:cs="Times New Roman"/>
          <w:sz w:val="20"/>
          <w:szCs w:val="20"/>
          <w:lang w:val="en-GB"/>
        </w:rPr>
        <w:t xml:space="preserve">) at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007C39C6" w:rsidRPr="00B424FD">
        <w:rPr>
          <w:rFonts w:ascii="Times New Roman" w:hAnsi="Times New Roman" w:cs="Times New Roman"/>
          <w:sz w:val="20"/>
          <w:szCs w:val="20"/>
          <w:lang w:val="en-GB"/>
        </w:rPr>
        <w:t xml:space="preserv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r>
          <w:rPr>
            <w:rFonts w:ascii="Cambria Math" w:hAnsi="Cambria Math" w:cs="Times New Roman"/>
            <w:sz w:val="20"/>
            <w:szCs w:val="20"/>
            <w:lang w:val="en-GB"/>
          </w:rPr>
          <m:t>=2015</m:t>
        </m:r>
      </m:oMath>
      <w:r w:rsidR="007C39C6" w:rsidRPr="00B424FD">
        <w:rPr>
          <w:rFonts w:ascii="Times New Roman" w:hAnsi="Times New Roman" w:cs="Times New Roman"/>
          <w:sz w:val="20"/>
          <w:szCs w:val="20"/>
          <w:lang w:val="en-GB"/>
        </w:rPr>
        <w:t xml:space="preserve"> for England), with an annual increment of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β</m:t>
            </m:r>
          </m:sub>
        </m:sSub>
      </m:oMath>
      <w:r w:rsidR="007C39C6" w:rsidRPr="00B424FD">
        <w:rPr>
          <w:rFonts w:ascii="Times New Roman" w:hAnsi="Times New Roman" w:cs="Times New Roman"/>
          <w:sz w:val="20"/>
          <w:szCs w:val="20"/>
          <w:lang w:val="en-GB"/>
        </w:rPr>
        <w:t>. The resulting force of infection is expressed as:</w:t>
      </w:r>
    </w:p>
    <w:p w14:paraId="294D1A6C" w14:textId="7078FDEC" w:rsidR="007C39C6" w:rsidRPr="00B424FD" w:rsidRDefault="00000000" w:rsidP="003B3837">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m:t>
                  </m:r>
                </m:e>
              </m:d>
            </m:e>
          </m:eqArr>
          <m:r>
            <m:rPr>
              <m:sty m:val="p"/>
            </m:rPr>
            <w:rPr>
              <w:rFonts w:ascii="Cambria Math" w:hAnsi="Cambria Math"/>
              <w:sz w:val="20"/>
              <w:szCs w:val="20"/>
              <w:lang w:val="en-GB"/>
            </w:rPr>
            <w:br/>
          </m:r>
        </m:oMath>
      </m:oMathPara>
      <w:proofErr w:type="gramStart"/>
      <w:r w:rsidR="007C39C6" w:rsidRPr="00B424FD">
        <w:rPr>
          <w:iCs/>
          <w:sz w:val="20"/>
          <w:szCs w:val="20"/>
          <w:lang w:val="en-GB"/>
        </w:rPr>
        <w:t>where</w:t>
      </w:r>
      <w:proofErr w:type="gramEnd"/>
    </w:p>
    <w:p w14:paraId="0DFB61FA" w14:textId="5CA29B44" w:rsidR="007C39C6" w:rsidRPr="00B424FD" w:rsidRDefault="00000000" w:rsidP="003B3837">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i,j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m:t>
                  </m:r>
                </m:e>
              </m:d>
            </m:e>
          </m:eqArr>
        </m:oMath>
      </m:oMathPara>
    </w:p>
    <w:p w14:paraId="7FEA64E5" w14:textId="7382E2DD" w:rsidR="007C39C6" w:rsidRPr="00B424FD" w:rsidRDefault="007C39C6"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The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B424FD">
        <w:rPr>
          <w:rFonts w:ascii="Times New Roman" w:hAnsi="Times New Roman" w:cs="Times New Roman"/>
          <w:color w:val="000000"/>
          <w:sz w:val="20"/>
          <w:szCs w:val="20"/>
          <w:lang w:val="en-GB"/>
        </w:rPr>
        <w:t xml:space="preserve">, </w:t>
      </w:r>
      <w:r w:rsidRPr="00B424FD">
        <w:rPr>
          <w:rFonts w:ascii="Times New Roman" w:hAnsi="Times New Roman" w:cs="Times New Roman"/>
          <w:sz w:val="20"/>
          <w:szCs w:val="20"/>
          <w:lang w:val="en-GB"/>
        </w:rPr>
        <w:t xml:space="preserve">defined as testing in the absence of symptoms and thus applicable to asymptomatic or uninfected individuals, varies by sexual activity group. For both groups, the screening rate increases linearly over time, rising by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B424FD">
        <w:rPr>
          <w:rFonts w:ascii="Times New Roman" w:hAnsi="Times New Roman" w:cs="Times New Roman"/>
          <w:sz w:val="20"/>
          <w:szCs w:val="20"/>
          <w:lang w:val="en-GB"/>
        </w:rPr>
        <w:t xml:space="preserve"> each year from the initial rate at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B424FD">
        <w:rPr>
          <w:rFonts w:ascii="Times New Roman" w:hAnsi="Times New Roman" w:cs="Times New Roman"/>
          <w:sz w:val="20"/>
          <w:szCs w:val="20"/>
          <w:lang w:val="en-GB"/>
        </w:rPr>
        <w:t>, as follows:</w:t>
      </w:r>
    </w:p>
    <w:p w14:paraId="5E2DA46B" w14:textId="77777777" w:rsidR="007C39C6" w:rsidRPr="00B424FD" w:rsidRDefault="00000000" w:rsidP="003B3837">
      <w:pPr>
        <w:spacing w:before="100" w:beforeAutospacing="1" w:after="100" w:afterAutospacing="1" w:line="276" w:lineRule="auto"/>
        <w:jc w:val="both"/>
        <w:rPr>
          <w:rFonts w:ascii="Times New Roman" w:hAnsi="Times New Roman" w:cs="Times New Roman"/>
          <w:iCs/>
          <w:sz w:val="20"/>
          <w:szCs w:val="20"/>
          <w:lang w:val="en-GB"/>
        </w:rPr>
      </w:pPr>
      <m:oMathPara>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d>
                <m:dPr>
                  <m:ctrlPr>
                    <w:rPr>
                      <w:rFonts w:ascii="Cambria Math" w:hAnsi="Cambria Math" w:cs="Times New Roman"/>
                      <w:i/>
                      <w:iCs/>
                      <w:sz w:val="20"/>
                      <w:szCs w:val="20"/>
                      <w:lang w:val="en-GB"/>
                    </w:rPr>
                  </m:ctrlPr>
                </m:dPr>
                <m:e>
                  <m:r>
                    <w:rPr>
                      <w:rFonts w:ascii="Cambria Math" w:hAnsi="Cambria Math" w:cs="Times New Roman"/>
                      <w:sz w:val="20"/>
                      <w:szCs w:val="20"/>
                      <w:lang w:val="en-GB"/>
                    </w:rPr>
                    <m:t>1+</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5</m:t>
                  </m:r>
                </m:e>
              </m:d>
            </m:e>
          </m:eqArr>
          <m:r>
            <m:rPr>
              <m:sty m:val="p"/>
            </m:rPr>
            <w:rPr>
              <w:rFonts w:ascii="Cambria Math" w:hAnsi="Cambria Math" w:cs="Times New Roman"/>
              <w:sz w:val="20"/>
              <w:szCs w:val="20"/>
              <w:lang w:val="en-GB"/>
            </w:rPr>
            <w:br/>
          </m:r>
        </m:oMath>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L</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=ω</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6</m:t>
                  </m:r>
                </m:e>
              </m:d>
            </m:e>
          </m:eqArr>
        </m:oMath>
      </m:oMathPara>
    </w:p>
    <w:p w14:paraId="24B0800A" w14:textId="799AF018" w:rsidR="007C39C6" w:rsidRPr="00B424FD" w:rsidRDefault="007C39C6"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lastRenderedPageBreak/>
        <w:t xml:space="preserve">To account for differences in behaviour, a factor </w:t>
      </w:r>
      <m:oMath>
        <m:r>
          <w:rPr>
            <w:rFonts w:ascii="Cambria Math" w:hAnsi="Cambria Math" w:cs="Times New Roman"/>
            <w:sz w:val="20"/>
            <w:szCs w:val="20"/>
            <w:lang w:val="en-GB"/>
          </w:rPr>
          <m:t>0&lt;ω&lt;1</m:t>
        </m:r>
      </m:oMath>
      <w:r w:rsidRPr="00B424FD">
        <w:rPr>
          <w:rFonts w:ascii="Times New Roman" w:hAnsi="Times New Roman" w:cs="Times New Roman"/>
          <w:sz w:val="20"/>
          <w:szCs w:val="20"/>
          <w:lang w:val="en-GB"/>
        </w:rPr>
        <w:t xml:space="preserve"> is applied, reflecting that individuals in the low-activity group undergo screening less frequently than those in the high-activity group.</w:t>
      </w:r>
    </w:p>
    <w:p w14:paraId="24FB753C" w14:textId="66B40542" w:rsidR="008C079B" w:rsidRPr="00B424FD" w:rsidRDefault="008C079B" w:rsidP="003B3837">
      <w:p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B424FD">
        <w:rPr>
          <w:rFonts w:ascii="Times New Roman" w:hAnsi="Times New Roman" w:cs="Times New Roman"/>
          <w:color w:val="000000" w:themeColor="text1"/>
          <w:kern w:val="0"/>
          <w:sz w:val="20"/>
          <w:szCs w:val="20"/>
          <w:lang w:val="en-GB"/>
          <w14:ligatures w14:val="none"/>
        </w:rPr>
        <w:t>Compartmental model equations</w:t>
      </w:r>
    </w:p>
    <w:p w14:paraId="7358F8A1" w14:textId="076ABDAE" w:rsidR="00DB3DC4" w:rsidRPr="00B424FD" w:rsidRDefault="00DB3DC4" w:rsidP="003B3837">
      <w:pPr>
        <w:pStyle w:val="ListParagraph"/>
        <w:numPr>
          <w:ilvl w:val="0"/>
          <w:numId w:val="5"/>
        </w:num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B424FD">
        <w:rPr>
          <w:rFonts w:ascii="Times New Roman" w:hAnsi="Times New Roman" w:cs="Times New Roman"/>
          <w:color w:val="000000" w:themeColor="text1"/>
          <w:kern w:val="0"/>
          <w:sz w:val="20"/>
          <w:szCs w:val="20"/>
          <w:lang w:val="en-GB"/>
          <w14:ligatures w14:val="none"/>
        </w:rPr>
        <w:t>For “No Intervention” (N):</w:t>
      </w:r>
    </w:p>
    <w:p w14:paraId="69E2D4A7" w14:textId="44BD403B" w:rsidR="00F14CE2"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oMath>
      </m:oMathPara>
    </w:p>
    <w:p w14:paraId="430E62D5" w14:textId="4620CFEF" w:rsidR="00D337FB" w:rsidRPr="00B424FD" w:rsidRDefault="00D337FB"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t>For “Doxy-PEP” (D):</w:t>
      </w:r>
    </w:p>
    <w:p w14:paraId="2A03ACF1" w14:textId="12193681" w:rsidR="00620092"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e>
              </m:d>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18</m:t>
                  </m:r>
                </m:e>
              </m:d>
            </m:e>
          </m:eqArr>
          <m:r>
            <m:rPr>
              <m:sty m:val="p"/>
            </m:rPr>
            <w:rPr>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34</m:t>
                  </m:r>
                </m:e>
              </m:d>
            </m:e>
          </m:eqArr>
        </m:oMath>
      </m:oMathPara>
    </w:p>
    <w:p w14:paraId="602E1DFB" w14:textId="39BA81EA" w:rsidR="002C3F2C" w:rsidRPr="00B424FD" w:rsidRDefault="002C3F2C"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t>For “Doxy-PEP+4CMenB” (V):</w:t>
      </w:r>
    </w:p>
    <w:p w14:paraId="00B3CD2A" w14:textId="7B7D6F2D" w:rsidR="00870795"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DengXian" w:hAnsi="Cambria Math" w:cs="Times New Roman"/>
                      <w:i/>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39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DengXian" w:hAnsi="Cambria Math" w:cs="Times New Roman"/>
                      <w:i/>
                      <w:iCs/>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(1-e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51</m:t>
                  </m:r>
                </m:e>
              </m:d>
            </m:e>
          </m:eqArr>
        </m:oMath>
      </m:oMathPara>
    </w:p>
    <w:p w14:paraId="21B8B8FF" w14:textId="649570B1" w:rsidR="00535D63" w:rsidRPr="00B424FD" w:rsidRDefault="00535D63"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B424FD">
        <w:rPr>
          <w:rFonts w:ascii="Times New Roman" w:eastAsia="Times New Roman" w:hAnsi="Times New Roman" w:cs="Times New Roman"/>
          <w:iCs/>
          <w:color w:val="000000" w:themeColor="text1"/>
          <w:kern w:val="0"/>
          <w:sz w:val="20"/>
          <w:szCs w:val="20"/>
          <w:lang w:val="en-GB"/>
          <w14:ligatures w14:val="none"/>
        </w:rPr>
        <w:t>For “4CMenB” (M):</w:t>
      </w:r>
    </w:p>
    <w:p w14:paraId="00FA7658" w14:textId="37E9BCA2" w:rsidR="006B564D" w:rsidRPr="00B424FD"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eqArr>
                        <m:eqArrPr>
                          <m:ctrlPr>
                            <w:rPr>
                              <w:rFonts w:ascii="Cambria Math" w:eastAsia="Times New Roman" w:hAnsi="Cambria Math" w:cs="Times New Roman"/>
                              <w:i/>
                              <w:color w:val="000000" w:themeColor="text1"/>
                              <w:kern w:val="0"/>
                              <w:sz w:val="20"/>
                              <w:szCs w:val="20"/>
                              <w:lang w:val="en-GB"/>
                              <w14:ligatures w14:val="none"/>
                            </w:rPr>
                          </m:ctrlPr>
                        </m:eqArr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eqArr>
                    </m:e>
                  </m:d>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68</m:t>
                  </m:r>
                </m:e>
              </m:d>
            </m:e>
          </m:eqArr>
        </m:oMath>
      </m:oMathPara>
    </w:p>
    <w:p w14:paraId="087548BE" w14:textId="1A57DF37" w:rsidR="00204018" w:rsidRPr="00B424FD" w:rsidRDefault="0020401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For each calendar year </w:t>
      </w:r>
      <m:oMath>
        <m:r>
          <w:rPr>
            <w:rFonts w:ascii="Cambria Math" w:hAnsi="Cambria Math" w:cs="Times New Roman"/>
            <w:sz w:val="20"/>
            <w:szCs w:val="20"/>
            <w:lang w:val="en-GB"/>
          </w:rPr>
          <m:t>t</m:t>
        </m:r>
      </m:oMath>
      <w:r w:rsidRPr="00B424FD">
        <w:rPr>
          <w:rFonts w:ascii="Times New Roman" w:hAnsi="Times New Roman" w:cs="Times New Roman"/>
          <w:sz w:val="20"/>
          <w:szCs w:val="20"/>
          <w:lang w:val="en-GB"/>
        </w:rPr>
        <w:t xml:space="preserve">, the total number of </w:t>
      </w:r>
      <w:r w:rsidR="0073291E" w:rsidRPr="00B424FD">
        <w:rPr>
          <w:rFonts w:ascii="Times New Roman" w:hAnsi="Times New Roman" w:cs="Times New Roman"/>
          <w:sz w:val="20"/>
          <w:szCs w:val="20"/>
          <w:lang w:val="en-GB"/>
        </w:rPr>
        <w:t>gonorrhoea infection</w:t>
      </w:r>
      <w:r w:rsidRPr="00B424FD">
        <w:rPr>
          <w:rFonts w:ascii="Times New Roman" w:hAnsi="Times New Roman" w:cs="Times New Roman"/>
          <w:sz w:val="20"/>
          <w:szCs w:val="20"/>
          <w:lang w:val="en-GB"/>
        </w:rPr>
        <w:t xml:space="preserve">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B3080" w:rsidRPr="00B424FD">
        <w:rPr>
          <w:rFonts w:ascii="Times New Roman" w:hAnsi="Times New Roman" w:cs="Times New Roman"/>
          <w:sz w:val="20"/>
          <w:szCs w:val="20"/>
          <w:lang w:val="en-GB"/>
        </w:rPr>
        <w:t xml:space="preserve"> </w:t>
      </w:r>
      <w:r w:rsidR="006A2A59" w:rsidRPr="00B424FD">
        <w:rPr>
          <w:rFonts w:ascii="Times New Roman" w:hAnsi="Times New Roman" w:cs="Times New Roman"/>
          <w:sz w:val="20"/>
          <w:szCs w:val="20"/>
          <w:lang w:val="en-GB"/>
        </w:rPr>
        <w:t xml:space="preserve">across all strata </w:t>
      </w:r>
      <m:oMath>
        <m:r>
          <w:rPr>
            <w:rFonts w:ascii="Cambria Math" w:hAnsi="Cambria Math" w:cs="Times New Roman"/>
            <w:sz w:val="20"/>
            <w:szCs w:val="20"/>
            <w:lang w:val="en-GB"/>
          </w:rPr>
          <m:t>i</m:t>
        </m:r>
        <m:r>
          <m:rPr>
            <m:sty m:val="p"/>
          </m:rPr>
          <w:rPr>
            <w:rFonts w:ascii="Cambria Math" w:hAnsi="Cambria Math" w:cs="Times New Roman"/>
            <w:sz w:val="20"/>
            <w:szCs w:val="20"/>
            <w:lang w:val="en-GB"/>
          </w:rPr>
          <m:t>∈</m:t>
        </m:r>
        <m:r>
          <m:rPr>
            <m:lit/>
            <m:sty m:val="p"/>
          </m:rPr>
          <w:rPr>
            <w:rFonts w:ascii="Cambria Math" w:hAnsi="Cambria Math" w:cs="Times New Roman"/>
            <w:sz w:val="20"/>
            <w:szCs w:val="20"/>
            <w:lang w:val="en-GB"/>
          </w:rPr>
          <m:t>{</m:t>
        </m:r>
        <m:r>
          <w:rPr>
            <w:rFonts w:ascii="Cambria Math" w:hAnsi="Cambria Math" w:cs="Times New Roman"/>
            <w:sz w:val="20"/>
            <w:szCs w:val="20"/>
            <w:lang w:val="en-GB"/>
          </w:rPr>
          <m:t>N,X,D,M</m:t>
        </m:r>
        <m:r>
          <m:rPr>
            <m:lit/>
          </m:rPr>
          <w:rPr>
            <w:rFonts w:ascii="Cambria Math" w:hAnsi="Cambria Math" w:cs="Times New Roman"/>
            <w:sz w:val="20"/>
            <w:szCs w:val="20"/>
            <w:lang w:val="en-GB"/>
          </w:rPr>
          <m:t>}</m:t>
        </m:r>
      </m:oMath>
      <w:r w:rsidR="006A2A59" w:rsidRPr="00B424FD">
        <w:rPr>
          <w:rFonts w:ascii="Times New Roman" w:hAnsi="Times New Roman" w:cs="Times New Roman"/>
          <w:sz w:val="20"/>
          <w:szCs w:val="20"/>
          <w:lang w:val="en-GB"/>
        </w:rPr>
        <w:t xml:space="preserve"> </w:t>
      </w:r>
      <w:r w:rsidR="00AB3080" w:rsidRPr="00B424FD">
        <w:rPr>
          <w:rFonts w:ascii="Times New Roman" w:hAnsi="Times New Roman" w:cs="Times New Roman"/>
          <w:sz w:val="20"/>
          <w:szCs w:val="20"/>
          <w:lang w:val="en-GB"/>
        </w:rPr>
        <w:t xml:space="preserve">for </w:t>
      </w:r>
      <w:r w:rsidR="00AB3080" w:rsidRPr="00B424FD">
        <w:rPr>
          <w:rFonts w:ascii="Times New Roman" w:hAnsi="Times New Roman" w:cs="Times New Roman"/>
          <w:color w:val="000000" w:themeColor="text1"/>
          <w:sz w:val="20"/>
          <w:szCs w:val="20"/>
          <w:lang w:val="en-GB"/>
        </w:rPr>
        <w:t>strain</w:t>
      </w:r>
      <w:r w:rsidR="00B603C7" w:rsidRPr="00B424FD">
        <w:rPr>
          <w:rFonts w:ascii="Times New Roman" w:hAnsi="Times New Roman" w:cs="Times New Roman"/>
          <w:color w:val="000000" w:themeColor="text1"/>
          <w:sz w:val="20"/>
          <w:szCs w:val="20"/>
          <w:lang w:val="en-GB"/>
        </w:rPr>
        <w:t>s</w:t>
      </w:r>
      <w:r w:rsidR="00AB3080" w:rsidRPr="00B424FD">
        <w:rPr>
          <w:rFonts w:ascii="Times New Roman" w:hAnsi="Times New Roman" w:cs="Times New Roman"/>
          <w:color w:val="000000" w:themeColor="text1"/>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B424FD">
        <w:rPr>
          <w:rFonts w:ascii="Times New Roman" w:hAnsi="Times New Roman" w:cs="Times New Roman"/>
          <w:sz w:val="20"/>
          <w:szCs w:val="20"/>
          <w:lang w:val="en-GB"/>
        </w:rPr>
        <w:t>, are as follows:</w:t>
      </w:r>
    </w:p>
    <w:p w14:paraId="06AF85B5" w14:textId="69F779E0" w:rsidR="00D47058" w:rsidRPr="00B424FD" w:rsidRDefault="00000000" w:rsidP="003B3837">
      <w:pPr>
        <w:spacing w:before="100" w:beforeAutospacing="1" w:after="100" w:afterAutospacing="1" w:line="276" w:lineRule="auto"/>
        <w:jc w:val="both"/>
        <w:rPr>
          <w:rFonts w:ascii="Times New Roman" w:hAnsi="Times New Roman" w:cs="Times New Roman"/>
          <w:i/>
          <w:sz w:val="20"/>
          <w:szCs w:val="20"/>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0</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69</m:t>
                  </m:r>
                </m:e>
              </m:d>
              <m:ctrlPr>
                <w:rPr>
                  <w:rFonts w:ascii="Cambria Math" w:hAnsi="Cambria Math" w:cs="Times New Roman"/>
                  <w:i/>
                  <w:sz w:val="20"/>
                  <w:szCs w:val="20"/>
                  <w:lang w:val="en-GB"/>
                </w:rPr>
              </m:ctrlPr>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c</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70</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t</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71</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d2</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72</m:t>
                  </m:r>
                </m:e>
              </m:d>
            </m:e>
          </m:eqArr>
        </m:oMath>
      </m:oMathPara>
    </w:p>
    <w:p w14:paraId="2B10504C" w14:textId="77777777" w:rsidR="00E51E5A" w:rsidRPr="00B424FD" w:rsidRDefault="00E51E5A" w:rsidP="003B3837">
      <w:pPr>
        <w:spacing w:after="0" w:line="276" w:lineRule="auto"/>
        <w:jc w:val="both"/>
        <w:rPr>
          <w:rFonts w:ascii="Times New Roman" w:hAnsi="Times New Roman" w:cs="Times New Roman"/>
          <w:color w:val="0D0D0D"/>
          <w:sz w:val="20"/>
          <w:szCs w:val="20"/>
          <w:shd w:val="clear" w:color="auto" w:fill="FFFFFF"/>
          <w:lang w:val="en-GB"/>
        </w:rPr>
      </w:pPr>
      <w:r w:rsidRPr="00B424FD">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B424FD">
        <w:rPr>
          <w:rFonts w:ascii="Times New Roman" w:hAnsi="Times New Roman" w:cs="Times New Roman"/>
          <w:color w:val="0D0D0D"/>
          <w:sz w:val="20"/>
          <w:szCs w:val="20"/>
          <w:shd w:val="clear" w:color="auto" w:fill="FFFFFF"/>
          <w:lang w:val="en-GB"/>
        </w:rPr>
        <w:t xml:space="preserve"> denotes the time variable of integration.</w:t>
      </w:r>
    </w:p>
    <w:p w14:paraId="2B0298F8" w14:textId="3D4850FD" w:rsidR="0014609D" w:rsidRPr="00B424FD" w:rsidRDefault="00204018" w:rsidP="003B3837">
      <w:pPr>
        <w:spacing w:before="100" w:beforeAutospacing="1" w:after="100" w:afterAutospacing="1" w:line="276" w:lineRule="auto"/>
        <w:jc w:val="both"/>
        <w:rPr>
          <w:rFonts w:ascii="Times New Roman" w:hAnsi="Times New Roman" w:cs="Times New Roman"/>
          <w:sz w:val="20"/>
          <w:szCs w:val="20"/>
          <w:lang w:val="en-GB"/>
        </w:rPr>
      </w:pPr>
      <w:r w:rsidRPr="00B424FD">
        <w:rPr>
          <w:rFonts w:ascii="Times New Roman" w:hAnsi="Times New Roman" w:cs="Times New Roman"/>
          <w:sz w:val="20"/>
          <w:szCs w:val="20"/>
          <w:lang w:val="en-GB"/>
        </w:rPr>
        <w:t xml:space="preserve">To evaluate the emergence of </w:t>
      </w:r>
      <w:r w:rsidR="00065E5D" w:rsidRPr="00B424FD">
        <w:rPr>
          <w:rFonts w:ascii="Times New Roman" w:hAnsi="Times New Roman" w:cs="Times New Roman"/>
          <w:sz w:val="20"/>
          <w:szCs w:val="20"/>
          <w:lang w:val="en-GB"/>
        </w:rPr>
        <w:t>different gonorrhoea</w:t>
      </w:r>
      <w:r w:rsidRPr="00B424FD">
        <w:rPr>
          <w:rFonts w:ascii="Times New Roman" w:hAnsi="Times New Roman" w:cs="Times New Roman"/>
          <w:sz w:val="20"/>
          <w:szCs w:val="20"/>
          <w:lang w:val="en-GB"/>
        </w:rPr>
        <w:t xml:space="preserve"> strains</w:t>
      </w:r>
      <w:r w:rsidR="00B603C7" w:rsidRPr="00B424FD">
        <w:rPr>
          <w:rFonts w:ascii="Times New Roman" w:hAnsi="Times New Roman" w:cs="Times New Roman"/>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B424FD">
        <w:rPr>
          <w:rFonts w:ascii="Times New Roman" w:hAnsi="Times New Roman" w:cs="Times New Roman"/>
          <w:sz w:val="20"/>
          <w:szCs w:val="20"/>
          <w:lang w:val="en-GB"/>
        </w:rPr>
        <w:t xml:space="preserve">, we </w:t>
      </w:r>
      <w:r w:rsidR="00EC3110" w:rsidRPr="00B424FD">
        <w:rPr>
          <w:rFonts w:ascii="Times New Roman" w:hAnsi="Times New Roman" w:cs="Times New Roman"/>
          <w:sz w:val="20"/>
          <w:szCs w:val="20"/>
          <w:lang w:val="en-GB"/>
        </w:rPr>
        <w:t>compare</w:t>
      </w:r>
      <w:r w:rsidRPr="00B424FD">
        <w:rPr>
          <w:rFonts w:ascii="Times New Roman" w:hAnsi="Times New Roman" w:cs="Times New Roman"/>
          <w:sz w:val="20"/>
          <w:szCs w:val="20"/>
          <w:lang w:val="en-GB"/>
        </w:rPr>
        <w:t xml:space="preserve"> the total number of gonorrhoea infections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6A2A59" w:rsidRPr="00B424FD">
        <w:rPr>
          <w:rFonts w:ascii="Times New Roman" w:hAnsi="Times New Roman" w:cs="Times New Roman"/>
          <w:sz w:val="20"/>
          <w:szCs w:val="20"/>
          <w:lang w:val="en-GB"/>
        </w:rPr>
        <w:t xml:space="preserve"> </w:t>
      </w:r>
      <w:r w:rsidR="00EC3110" w:rsidRPr="00B424FD">
        <w:rPr>
          <w:rFonts w:ascii="Times New Roman" w:hAnsi="Times New Roman" w:cs="Times New Roman"/>
          <w:sz w:val="20"/>
          <w:szCs w:val="20"/>
          <w:lang w:val="en-GB"/>
        </w:rPr>
        <w:t>to the corresponding baseline without intervention,</w:t>
      </w:r>
      <w:r w:rsidR="00EC3110" w:rsidRPr="00B424FD">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acc>
              <m:accPr>
                <m:ctrlPr>
                  <w:rPr>
                    <w:rFonts w:ascii="Cambria Math" w:hAnsi="Cambria Math" w:cs="Times New Roman"/>
                    <w:color w:val="0D0D0D"/>
                    <w:sz w:val="20"/>
                    <w:szCs w:val="20"/>
                    <w:shd w:val="clear" w:color="auto" w:fill="FFFFFF"/>
                    <w:lang w:val="en-GB"/>
                  </w:rPr>
                </m:ctrlPr>
              </m:accPr>
              <m:e>
                <m:r>
                  <w:rPr>
                    <w:rFonts w:ascii="Cambria Math" w:hAnsi="Cambria Math" w:cs="Times New Roman"/>
                    <w:color w:val="0D0D0D"/>
                    <w:sz w:val="20"/>
                    <w:szCs w:val="20"/>
                    <w:shd w:val="clear" w:color="auto" w:fill="FFFFFF"/>
                    <w:lang w:val="en-GB"/>
                  </w:rPr>
                  <m:t>Y</m:t>
                </m:r>
              </m:e>
            </m:acc>
          </m:e>
          <m:sup>
            <m:r>
              <w:rPr>
                <w:rFonts w:ascii="Cambria Math" w:hAnsi="Cambria Math" w:cs="Times New Roman"/>
                <w:color w:val="0D0D0D"/>
                <w:sz w:val="20"/>
                <w:szCs w:val="20"/>
                <w:shd w:val="clear" w:color="auto" w:fill="FFFFFF"/>
                <w:lang w:val="en-GB"/>
              </w:rPr>
              <m:t>k</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EC3110" w:rsidRPr="00B424FD">
        <w:rPr>
          <w:rFonts w:ascii="Times New Roman" w:hAnsi="Times New Roman" w:cs="Times New Roman"/>
          <w:color w:val="0D0D0D"/>
          <w:sz w:val="20"/>
          <w:szCs w:val="20"/>
          <w:shd w:val="clear" w:color="auto" w:fill="FFFFFF"/>
          <w:lang w:val="en-GB"/>
        </w:rPr>
        <w:t xml:space="preserve">, </w:t>
      </w:r>
      <w:r w:rsidR="00EC3110" w:rsidRPr="00B424FD">
        <w:rPr>
          <w:rFonts w:ascii="Times New Roman" w:hAnsi="Times New Roman" w:cs="Times New Roman"/>
          <w:sz w:val="20"/>
          <w:szCs w:val="20"/>
          <w:lang w:val="en-GB"/>
        </w:rPr>
        <w:t xml:space="preserve">to calculate the total number of averted gonorrhoea infections over </w:t>
      </w:r>
      <m:oMath>
        <m:r>
          <w:rPr>
            <w:rFonts w:ascii="Cambria Math" w:hAnsi="Cambria Math" w:cs="Times New Roman"/>
            <w:sz w:val="20"/>
            <w:szCs w:val="20"/>
            <w:lang w:val="en-GB"/>
          </w:rPr>
          <m:t>M</m:t>
        </m:r>
      </m:oMath>
      <w:r w:rsidR="00EC3110" w:rsidRPr="00B424FD">
        <w:rPr>
          <w:rFonts w:ascii="Times New Roman" w:hAnsi="Times New Roman" w:cs="Times New Roman"/>
          <w:sz w:val="20"/>
          <w:szCs w:val="20"/>
          <w:lang w:val="en-GB"/>
        </w:rPr>
        <w:t xml:space="preserve"> years (starting from year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00EC3110" w:rsidRPr="00B424FD">
        <w:rPr>
          <w:rFonts w:ascii="Times New Roman" w:hAnsi="Times New Roman" w:cs="Times New Roman"/>
          <w:sz w:val="20"/>
          <w:szCs w:val="20"/>
          <w:lang w:val="en-GB"/>
        </w:rPr>
        <w:t>):</w:t>
      </w:r>
    </w:p>
    <w:p w14:paraId="22167F74" w14:textId="33E88BC7" w:rsidR="0054651B" w:rsidRPr="00B424FD" w:rsidRDefault="00000000" w:rsidP="003B3837">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sz w:val="20"/>
                          <w:szCs w:val="20"/>
                          <w:lang w:val="en-GB"/>
                        </w:rPr>
                      </m:ctrlPr>
                    </m:dPr>
                    <m:e>
                      <m:r>
                        <w:rPr>
                          <w:rFonts w:ascii="Cambria Math" w:hAnsi="Cambria Math"/>
                          <w:sz w:val="20"/>
                          <w:szCs w:val="20"/>
                          <w:lang w:val="en-GB"/>
                        </w:rPr>
                        <m:t>t</m:t>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73</m:t>
                  </m:r>
                </m:e>
              </m:d>
            </m:e>
          </m:eqArr>
        </m:oMath>
      </m:oMathPara>
    </w:p>
    <w:p w14:paraId="7A689515" w14:textId="77777777" w:rsidR="00C2593F" w:rsidRDefault="00C2593F" w:rsidP="00294DE8">
      <w:pPr>
        <w:pStyle w:val="NormalWeb"/>
        <w:spacing w:line="276" w:lineRule="auto"/>
        <w:jc w:val="both"/>
        <w:rPr>
          <w:sz w:val="20"/>
          <w:szCs w:val="20"/>
          <w:lang w:val="en-GB"/>
        </w:rPr>
      </w:pPr>
    </w:p>
    <w:p w14:paraId="532D44F9" w14:textId="77777777" w:rsidR="00C2593F" w:rsidRDefault="00C2593F" w:rsidP="00294DE8">
      <w:pPr>
        <w:pStyle w:val="NormalWeb"/>
        <w:spacing w:line="276" w:lineRule="auto"/>
        <w:jc w:val="both"/>
        <w:rPr>
          <w:sz w:val="20"/>
          <w:szCs w:val="20"/>
          <w:lang w:val="en-GB"/>
        </w:rPr>
      </w:pPr>
    </w:p>
    <w:p w14:paraId="7848A7C5" w14:textId="6BE9F3BD" w:rsidR="00E168B3" w:rsidRPr="00B424FD" w:rsidRDefault="000011E7" w:rsidP="003B383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B424FD">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772CC3F9" w14:textId="77777777" w:rsidR="009F30E1" w:rsidRPr="009F30E1" w:rsidRDefault="00802477" w:rsidP="009F30E1">
      <w:pPr>
        <w:pStyle w:val="Bibliography"/>
        <w:rPr>
          <w:rFonts w:ascii="Times New Roman" w:hAnsi="Times New Roman" w:cs="Times New Roman"/>
          <w:color w:val="000000"/>
          <w:sz w:val="20"/>
          <w:lang w:val="en-US"/>
        </w:rPr>
      </w:pPr>
      <w:r w:rsidRPr="00B424FD">
        <w:rPr>
          <w:rFonts w:eastAsia="Times New Roman"/>
          <w:color w:val="000000" w:themeColor="text1"/>
          <w:sz w:val="20"/>
          <w:szCs w:val="20"/>
          <w:lang w:val="en-GB"/>
          <w14:ligatures w14:val="none"/>
        </w:rPr>
        <w:fldChar w:fldCharType="begin"/>
      </w:r>
      <w:r w:rsidR="009F30E1">
        <w:rPr>
          <w:rFonts w:eastAsia="Times New Roman"/>
          <w:color w:val="000000" w:themeColor="text1"/>
          <w:sz w:val="20"/>
          <w:szCs w:val="20"/>
          <w:lang w:val="en-GB"/>
          <w14:ligatures w14:val="none"/>
        </w:rPr>
        <w:instrText xml:space="preserve"> ADDIN ZOTERO_BIBL {"uncited":[],"omitted":[],"custom":[]} CSL_BIBLIOGRAPHY </w:instrText>
      </w:r>
      <w:r w:rsidRPr="00B424FD">
        <w:rPr>
          <w:rFonts w:eastAsia="Times New Roman"/>
          <w:color w:val="000000" w:themeColor="text1"/>
          <w:sz w:val="20"/>
          <w:szCs w:val="20"/>
          <w:lang w:val="en-GB"/>
          <w14:ligatures w14:val="none"/>
        </w:rPr>
        <w:fldChar w:fldCharType="separate"/>
      </w:r>
      <w:r w:rsidR="009F30E1" w:rsidRPr="009F30E1">
        <w:rPr>
          <w:rFonts w:ascii="Times New Roman" w:hAnsi="Times New Roman" w:cs="Times New Roman"/>
          <w:color w:val="000000"/>
          <w:sz w:val="20"/>
          <w:lang w:val="en-US"/>
        </w:rPr>
        <w:t>[1]</w:t>
      </w:r>
      <w:r w:rsidR="009F30E1" w:rsidRPr="009F30E1">
        <w:rPr>
          <w:rFonts w:ascii="Times New Roman" w:hAnsi="Times New Roman" w:cs="Times New Roman"/>
          <w:color w:val="000000"/>
          <w:sz w:val="20"/>
          <w:lang w:val="en-US"/>
        </w:rPr>
        <w:tab/>
        <w:t xml:space="preserve">D. M. Whiley, J. A. Tickner, R. L. Kundu, T. R. Hogan, S. J. van Hal, and M. M. </w:t>
      </w:r>
      <w:proofErr w:type="spellStart"/>
      <w:r w:rsidR="009F30E1" w:rsidRPr="009F30E1">
        <w:rPr>
          <w:rFonts w:ascii="Times New Roman" w:hAnsi="Times New Roman" w:cs="Times New Roman"/>
          <w:color w:val="000000"/>
          <w:sz w:val="20"/>
          <w:lang w:val="en-US"/>
        </w:rPr>
        <w:t>Lahra</w:t>
      </w:r>
      <w:proofErr w:type="spellEnd"/>
      <w:r w:rsidR="009F30E1" w:rsidRPr="009F30E1">
        <w:rPr>
          <w:rFonts w:ascii="Times New Roman" w:hAnsi="Times New Roman" w:cs="Times New Roman"/>
          <w:color w:val="000000"/>
          <w:sz w:val="20"/>
          <w:lang w:val="en-US"/>
        </w:rPr>
        <w:t xml:space="preserve">, “Selection of Neisseria gonorrhoeae ceftriaxone resistance using doxycycline post-exposure prophylaxis,” </w:t>
      </w:r>
      <w:r w:rsidR="009F30E1" w:rsidRPr="009F30E1">
        <w:rPr>
          <w:rFonts w:ascii="Times New Roman" w:hAnsi="Times New Roman" w:cs="Times New Roman"/>
          <w:i/>
          <w:iCs/>
          <w:color w:val="000000"/>
          <w:sz w:val="20"/>
          <w:lang w:val="en-US"/>
        </w:rPr>
        <w:t>Lancet Infect. Dis.</w:t>
      </w:r>
      <w:r w:rsidR="009F30E1" w:rsidRPr="009F30E1">
        <w:rPr>
          <w:rFonts w:ascii="Times New Roman" w:hAnsi="Times New Roman" w:cs="Times New Roman"/>
          <w:color w:val="000000"/>
          <w:sz w:val="20"/>
          <w:lang w:val="en-US"/>
        </w:rPr>
        <w:t xml:space="preserve">, vol. 23, no. 8, pp. e268–e269, Aug. 2023, </w:t>
      </w:r>
      <w:proofErr w:type="spellStart"/>
      <w:r w:rsidR="009F30E1" w:rsidRPr="009F30E1">
        <w:rPr>
          <w:rFonts w:ascii="Times New Roman" w:hAnsi="Times New Roman" w:cs="Times New Roman"/>
          <w:color w:val="000000"/>
          <w:sz w:val="20"/>
          <w:lang w:val="en-US"/>
        </w:rPr>
        <w:t>doi</w:t>
      </w:r>
      <w:proofErr w:type="spellEnd"/>
      <w:r w:rsidR="009F30E1" w:rsidRPr="009F30E1">
        <w:rPr>
          <w:rFonts w:ascii="Times New Roman" w:hAnsi="Times New Roman" w:cs="Times New Roman"/>
          <w:color w:val="000000"/>
          <w:sz w:val="20"/>
          <w:lang w:val="en-US"/>
        </w:rPr>
        <w:t>: 10.1016/S1473-3099(23)00359-6.</w:t>
      </w:r>
    </w:p>
    <w:p w14:paraId="0B6720B2"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[2]</w:t>
      </w:r>
      <w:r w:rsidRPr="009F30E1">
        <w:rPr>
          <w:rFonts w:ascii="Times New Roman" w:hAnsi="Times New Roman" w:cs="Times New Roman"/>
          <w:color w:val="000000"/>
          <w:sz w:val="20"/>
          <w:lang w:val="en-US"/>
        </w:rPr>
        <w:tab/>
        <w:t xml:space="preserve">T. </w:t>
      </w:r>
      <w:proofErr w:type="spellStart"/>
      <w:r w:rsidRPr="009F30E1">
        <w:rPr>
          <w:rFonts w:ascii="Times New Roman" w:hAnsi="Times New Roman" w:cs="Times New Roman"/>
          <w:color w:val="000000"/>
          <w:sz w:val="20"/>
          <w:lang w:val="en-US"/>
        </w:rPr>
        <w:t>Vanbaelen</w:t>
      </w:r>
      <w:proofErr w:type="spellEnd"/>
      <w:r w:rsidRPr="009F30E1">
        <w:rPr>
          <w:rFonts w:ascii="Times New Roman" w:hAnsi="Times New Roman" w:cs="Times New Roman"/>
          <w:color w:val="000000"/>
          <w:sz w:val="20"/>
          <w:lang w:val="en-US"/>
        </w:rPr>
        <w:t xml:space="preserve">, S. S. Manoharan-Basil, and C. Kenyon, “Doxy-PEP could select for ceftriaxone resistance in Neisseria gonorrhoeae,” </w:t>
      </w:r>
      <w:r w:rsidRPr="009F30E1">
        <w:rPr>
          <w:rFonts w:ascii="Times New Roman" w:hAnsi="Times New Roman" w:cs="Times New Roman"/>
          <w:i/>
          <w:iCs/>
          <w:color w:val="000000"/>
          <w:sz w:val="20"/>
          <w:lang w:val="en-US"/>
        </w:rPr>
        <w:t>Lancet Infect. Dis.</w:t>
      </w:r>
      <w:r w:rsidRPr="009F30E1">
        <w:rPr>
          <w:rFonts w:ascii="Times New Roman" w:hAnsi="Times New Roman" w:cs="Times New Roman"/>
          <w:color w:val="000000"/>
          <w:sz w:val="20"/>
          <w:lang w:val="en-US"/>
        </w:rPr>
        <w:t xml:space="preserve">, vol. 25, no. 6, p. e316, Jun. 2025,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10.1016/S1473-3099(25)00234-8.</w:t>
      </w:r>
    </w:p>
    <w:p w14:paraId="0E5DFC19"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[3]</w:t>
      </w:r>
      <w:r w:rsidRPr="009F30E1">
        <w:rPr>
          <w:rFonts w:ascii="Times New Roman" w:hAnsi="Times New Roman" w:cs="Times New Roman"/>
          <w:color w:val="000000"/>
          <w:sz w:val="20"/>
          <w:lang w:val="en-US"/>
        </w:rPr>
        <w:tab/>
        <w:t xml:space="preserve">C. Kenyon, “Doxycycline Postexposure Prophylaxis Could Accelerate the Emergence of Gonococcal Ceftriaxone Resistance,” </w:t>
      </w:r>
      <w:r w:rsidRPr="009F30E1">
        <w:rPr>
          <w:rFonts w:ascii="Times New Roman" w:hAnsi="Times New Roman" w:cs="Times New Roman"/>
          <w:i/>
          <w:iCs/>
          <w:color w:val="000000"/>
          <w:sz w:val="20"/>
          <w:lang w:val="en-US"/>
        </w:rPr>
        <w:t>JAMA Intern. Med.</w:t>
      </w:r>
      <w:r w:rsidRPr="009F30E1">
        <w:rPr>
          <w:rFonts w:ascii="Times New Roman" w:hAnsi="Times New Roman" w:cs="Times New Roman"/>
          <w:color w:val="000000"/>
          <w:sz w:val="20"/>
          <w:lang w:val="en-US"/>
        </w:rPr>
        <w:t xml:space="preserve">, vol. 185, no. 8, p. 1051, Aug. 2025,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10.1001/jamainternmed.2025.0984.</w:t>
      </w:r>
    </w:p>
    <w:p w14:paraId="469CFDBC"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[4]</w:t>
      </w:r>
      <w:r w:rsidRPr="009F30E1">
        <w:rPr>
          <w:rFonts w:ascii="Times New Roman" w:hAnsi="Times New Roman" w:cs="Times New Roman"/>
          <w:color w:val="000000"/>
          <w:sz w:val="20"/>
          <w:lang w:val="en-US"/>
        </w:rPr>
        <w:tab/>
        <w:t xml:space="preserve">M. E. DeWitt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“Promise and peril: doxycycline prophylaxis and the spread of resistance among diverse populations,” </w:t>
      </w:r>
      <w:r w:rsidRPr="009F30E1">
        <w:rPr>
          <w:rFonts w:ascii="Times New Roman" w:hAnsi="Times New Roman" w:cs="Times New Roman"/>
          <w:i/>
          <w:iCs/>
          <w:color w:val="000000"/>
          <w:sz w:val="20"/>
          <w:lang w:val="en-US"/>
        </w:rPr>
        <w:t>Lancet Microbe</w:t>
      </w:r>
      <w:r w:rsidRPr="009F30E1">
        <w:rPr>
          <w:rFonts w:ascii="Times New Roman" w:hAnsi="Times New Roman" w:cs="Times New Roman"/>
          <w:color w:val="000000"/>
          <w:sz w:val="20"/>
          <w:lang w:val="en-US"/>
        </w:rPr>
        <w:t xml:space="preserve">, vol. 0, no. 0, Aug. 2025,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10.1016/j.lanmic.2025.101222.</w:t>
      </w:r>
    </w:p>
    <w:p w14:paraId="0FBEE70C"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[5]</w:t>
      </w:r>
      <w:r w:rsidRPr="009F30E1">
        <w:rPr>
          <w:rFonts w:ascii="Times New Roman" w:hAnsi="Times New Roman" w:cs="Times New Roman"/>
          <w:color w:val="000000"/>
          <w:sz w:val="20"/>
          <w:lang w:val="en-US"/>
        </w:rPr>
        <w:tab/>
        <w:t>“GRASP report: data to September 2025,” UK Health Security Agency. Accessed: Nov. 20, 2025. [Online]. Available: https://www.gov.uk/government/publications/gonococcal-resistance-to-antimicrobials-surveillance-programme-grasp-report/grasp-report-data-to-september-2025</w:t>
      </w:r>
    </w:p>
    <w:p w14:paraId="29B2715B"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[6]</w:t>
      </w:r>
      <w:r w:rsidRPr="009F30E1">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9F30E1">
        <w:rPr>
          <w:rFonts w:ascii="Times New Roman" w:hAnsi="Times New Roman" w:cs="Times New Roman"/>
          <w:i/>
          <w:iCs/>
          <w:color w:val="000000"/>
          <w:sz w:val="20"/>
          <w:lang w:val="en-US"/>
        </w:rPr>
        <w:t>JAMA</w:t>
      </w:r>
      <w:r w:rsidRPr="009F30E1">
        <w:rPr>
          <w:rFonts w:ascii="Times New Roman" w:hAnsi="Times New Roman" w:cs="Times New Roman"/>
          <w:color w:val="000000"/>
          <w:sz w:val="20"/>
          <w:lang w:val="en-US"/>
        </w:rPr>
        <w:t>, vol. 250, no. 23, pp. 3205–3209, Dec. 1983.</w:t>
      </w:r>
    </w:p>
    <w:p w14:paraId="3DB37A2A"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[7]</w:t>
      </w:r>
      <w:r w:rsidRPr="009F30E1">
        <w:rPr>
          <w:rFonts w:ascii="Times New Roman" w:hAnsi="Times New Roman" w:cs="Times New Roman"/>
          <w:color w:val="000000"/>
          <w:sz w:val="20"/>
          <w:lang w:val="en-US"/>
        </w:rPr>
        <w:tab/>
        <w:t xml:space="preserve">K. A. Schmidt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“Experimental gonococcal urethritis and reinfection with homologous gonococci in male volunteers,” </w:t>
      </w:r>
      <w:r w:rsidRPr="009F30E1">
        <w:rPr>
          <w:rFonts w:ascii="Times New Roman" w:hAnsi="Times New Roman" w:cs="Times New Roman"/>
          <w:i/>
          <w:iCs/>
          <w:color w:val="000000"/>
          <w:sz w:val="20"/>
          <w:lang w:val="en-US"/>
        </w:rPr>
        <w:t>Sex. Transm. Dis.</w:t>
      </w:r>
      <w:r w:rsidRPr="009F30E1">
        <w:rPr>
          <w:rFonts w:ascii="Times New Roman" w:hAnsi="Times New Roman" w:cs="Times New Roman"/>
          <w:color w:val="000000"/>
          <w:sz w:val="20"/>
          <w:lang w:val="en-US"/>
        </w:rPr>
        <w:t xml:space="preserve">, vol. 28, no. 10, pp. 555–564, Oct. 2001,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10.1097/00007435-200110000-00001.</w:t>
      </w:r>
    </w:p>
    <w:p w14:paraId="29626963"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[8]</w:t>
      </w:r>
      <w:r w:rsidRPr="009F30E1">
        <w:rPr>
          <w:rFonts w:ascii="Times New Roman" w:hAnsi="Times New Roman" w:cs="Times New Roman"/>
          <w:color w:val="000000"/>
          <w:sz w:val="20"/>
          <w:lang w:val="en-US"/>
        </w:rPr>
        <w:tab/>
        <w:t xml:space="preserve">C. B. Hosenfeld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“Repeat infection with Chlamydia and gonorrhea among females: a systematic review of the literature,” </w:t>
      </w:r>
      <w:r w:rsidRPr="009F30E1">
        <w:rPr>
          <w:rFonts w:ascii="Times New Roman" w:hAnsi="Times New Roman" w:cs="Times New Roman"/>
          <w:i/>
          <w:iCs/>
          <w:color w:val="000000"/>
          <w:sz w:val="20"/>
          <w:lang w:val="en-US"/>
        </w:rPr>
        <w:t>Sex. Transm. Dis.</w:t>
      </w:r>
      <w:r w:rsidRPr="009F30E1">
        <w:rPr>
          <w:rFonts w:ascii="Times New Roman" w:hAnsi="Times New Roman" w:cs="Times New Roman"/>
          <w:color w:val="000000"/>
          <w:sz w:val="20"/>
          <w:lang w:val="en-US"/>
        </w:rPr>
        <w:t xml:space="preserve">, vol. 36, no. 8, pp. 478–489, Aug. 2009,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10.1097/OLQ.0b013e3181a2a933.</w:t>
      </w:r>
    </w:p>
    <w:p w14:paraId="3F71C36C"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[9]</w:t>
      </w:r>
      <w:r w:rsidRPr="009F30E1">
        <w:rPr>
          <w:rFonts w:ascii="Times New Roman" w:hAnsi="Times New Roman" w:cs="Times New Roman"/>
          <w:color w:val="000000"/>
          <w:sz w:val="20"/>
          <w:lang w:val="en-US"/>
        </w:rPr>
        <w:tab/>
        <w:t xml:space="preserve">L. K. Whittles, X. Didelot, and P. J. White, “Public health impact and cost-effectiveness of </w:t>
      </w:r>
      <w:proofErr w:type="spellStart"/>
      <w:r w:rsidRPr="009F30E1">
        <w:rPr>
          <w:rFonts w:ascii="Times New Roman" w:hAnsi="Times New Roman" w:cs="Times New Roman"/>
          <w:color w:val="000000"/>
          <w:sz w:val="20"/>
          <w:lang w:val="en-US"/>
        </w:rPr>
        <w:t>gonorrhoea</w:t>
      </w:r>
      <w:proofErr w:type="spellEnd"/>
      <w:r w:rsidRPr="009F30E1">
        <w:rPr>
          <w:rFonts w:ascii="Times New Roman" w:hAnsi="Times New Roman" w:cs="Times New Roman"/>
          <w:color w:val="000000"/>
          <w:sz w:val="20"/>
          <w:lang w:val="en-US"/>
        </w:rPr>
        <w:t xml:space="preserve"> vaccination: an integrated transmission-dynamic health-economic modelling analysis,” </w:t>
      </w:r>
      <w:r w:rsidRPr="009F30E1">
        <w:rPr>
          <w:rFonts w:ascii="Times New Roman" w:hAnsi="Times New Roman" w:cs="Times New Roman"/>
          <w:i/>
          <w:iCs/>
          <w:color w:val="000000"/>
          <w:sz w:val="20"/>
          <w:lang w:val="en-US"/>
        </w:rPr>
        <w:t>Lancet Infect. Dis.</w:t>
      </w:r>
      <w:r w:rsidRPr="009F30E1">
        <w:rPr>
          <w:rFonts w:ascii="Times New Roman" w:hAnsi="Times New Roman" w:cs="Times New Roman"/>
          <w:color w:val="000000"/>
          <w:sz w:val="20"/>
          <w:lang w:val="en-US"/>
        </w:rPr>
        <w:t xml:space="preserve">, vol. 22, no. 7, pp. 1030–1041, Jul. 2022,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10.1016/S1473-3099(21)00744-1.</w:t>
      </w:r>
    </w:p>
    <w:p w14:paraId="0A62D284"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[10]</w:t>
      </w:r>
      <w:r w:rsidRPr="009F30E1">
        <w:rPr>
          <w:rFonts w:ascii="Times New Roman" w:hAnsi="Times New Roman" w:cs="Times New Roman"/>
          <w:color w:val="000000"/>
          <w:sz w:val="20"/>
          <w:lang w:val="en-US"/>
        </w:rPr>
        <w:tab/>
        <w:t xml:space="preserve">C. Kenyon, B. Herrmann, G. Hughes, and H. J. C. de Vries, “Management of asymptomatic sexually transmitted infections in Europe: towards a differentiated, evidence-based approach,” </w:t>
      </w:r>
      <w:r w:rsidRPr="009F30E1">
        <w:rPr>
          <w:rFonts w:ascii="Times New Roman" w:hAnsi="Times New Roman" w:cs="Times New Roman"/>
          <w:i/>
          <w:iCs/>
          <w:color w:val="000000"/>
          <w:sz w:val="20"/>
          <w:lang w:val="en-US"/>
        </w:rPr>
        <w:t>Lancet Reg. Health – Eur.</w:t>
      </w:r>
      <w:r w:rsidRPr="009F30E1">
        <w:rPr>
          <w:rFonts w:ascii="Times New Roman" w:hAnsi="Times New Roman" w:cs="Times New Roman"/>
          <w:color w:val="000000"/>
          <w:sz w:val="20"/>
          <w:lang w:val="en-US"/>
        </w:rPr>
        <w:t xml:space="preserve">, vol. 34, Nov. 2023,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10.1016/j.lanepe.2023.100743.</w:t>
      </w:r>
    </w:p>
    <w:p w14:paraId="0C32C1FC"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[11]</w:t>
      </w:r>
      <w:r w:rsidRPr="009F30E1">
        <w:rPr>
          <w:rFonts w:ascii="Times New Roman" w:hAnsi="Times New Roman" w:cs="Times New Roman"/>
          <w:color w:val="000000"/>
          <w:sz w:val="20"/>
          <w:lang w:val="en-US"/>
        </w:rPr>
        <w:tab/>
        <w:t xml:space="preserve">J. Whelan, V. Abbing-Karahagopian, L. Serino, and M. </w:t>
      </w:r>
      <w:proofErr w:type="spellStart"/>
      <w:r w:rsidRPr="009F30E1">
        <w:rPr>
          <w:rFonts w:ascii="Times New Roman" w:hAnsi="Times New Roman" w:cs="Times New Roman"/>
          <w:color w:val="000000"/>
          <w:sz w:val="20"/>
          <w:lang w:val="en-US"/>
        </w:rPr>
        <w:t>Unemo</w:t>
      </w:r>
      <w:proofErr w:type="spellEnd"/>
      <w:r w:rsidRPr="009F30E1">
        <w:rPr>
          <w:rFonts w:ascii="Times New Roman" w:hAnsi="Times New Roman" w:cs="Times New Roman"/>
          <w:color w:val="000000"/>
          <w:sz w:val="20"/>
          <w:lang w:val="en-US"/>
        </w:rPr>
        <w:t>, “</w:t>
      </w:r>
      <w:proofErr w:type="spellStart"/>
      <w:r w:rsidRPr="009F30E1">
        <w:rPr>
          <w:rFonts w:ascii="Times New Roman" w:hAnsi="Times New Roman" w:cs="Times New Roman"/>
          <w:color w:val="000000"/>
          <w:sz w:val="20"/>
          <w:lang w:val="en-US"/>
        </w:rPr>
        <w:t>Gonorrhoea</w:t>
      </w:r>
      <w:proofErr w:type="spellEnd"/>
      <w:r w:rsidRPr="009F30E1">
        <w:rPr>
          <w:rFonts w:ascii="Times New Roman" w:hAnsi="Times New Roman" w:cs="Times New Roman"/>
          <w:color w:val="000000"/>
          <w:sz w:val="20"/>
          <w:lang w:val="en-US"/>
        </w:rPr>
        <w:t xml:space="preserve">: a systematic review of prevalence reporting globally,” </w:t>
      </w:r>
      <w:r w:rsidRPr="009F30E1">
        <w:rPr>
          <w:rFonts w:ascii="Times New Roman" w:hAnsi="Times New Roman" w:cs="Times New Roman"/>
          <w:i/>
          <w:iCs/>
          <w:color w:val="000000"/>
          <w:sz w:val="20"/>
          <w:lang w:val="en-US"/>
        </w:rPr>
        <w:t>BMC Infect. Dis.</w:t>
      </w:r>
      <w:r w:rsidRPr="009F30E1">
        <w:rPr>
          <w:rFonts w:ascii="Times New Roman" w:hAnsi="Times New Roman" w:cs="Times New Roman"/>
          <w:color w:val="000000"/>
          <w:sz w:val="20"/>
          <w:lang w:val="en-US"/>
        </w:rPr>
        <w:t xml:space="preserve">, vol. 21, p. 1152, Nov. 2021,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10.1186/s12879-021-06381-4.</w:t>
      </w:r>
    </w:p>
    <w:p w14:paraId="1248A496"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[12]</w:t>
      </w:r>
      <w:r w:rsidRPr="009F30E1">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9F30E1">
        <w:rPr>
          <w:rFonts w:ascii="Times New Roman" w:hAnsi="Times New Roman" w:cs="Times New Roman"/>
          <w:i/>
          <w:iCs/>
          <w:color w:val="000000"/>
          <w:sz w:val="20"/>
          <w:lang w:val="en-US"/>
        </w:rPr>
        <w:t>Clin. Infect. Dis.</w:t>
      </w:r>
      <w:r w:rsidRPr="009F30E1">
        <w:rPr>
          <w:rFonts w:ascii="Times New Roman" w:hAnsi="Times New Roman" w:cs="Times New Roman"/>
          <w:color w:val="000000"/>
          <w:sz w:val="20"/>
          <w:lang w:val="en-US"/>
        </w:rPr>
        <w:t xml:space="preserve">, vol. 71, no. 8, pp. 1912–1919, Nov. 2020,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10.1093/</w:t>
      </w:r>
      <w:proofErr w:type="spellStart"/>
      <w:r w:rsidRPr="009F30E1">
        <w:rPr>
          <w:rFonts w:ascii="Times New Roman" w:hAnsi="Times New Roman" w:cs="Times New Roman"/>
          <w:color w:val="000000"/>
          <w:sz w:val="20"/>
          <w:lang w:val="en-US"/>
        </w:rPr>
        <w:t>cid</w:t>
      </w:r>
      <w:proofErr w:type="spellEnd"/>
      <w:r w:rsidRPr="009F30E1">
        <w:rPr>
          <w:rFonts w:ascii="Times New Roman" w:hAnsi="Times New Roman" w:cs="Times New Roman"/>
          <w:color w:val="000000"/>
          <w:sz w:val="20"/>
          <w:lang w:val="en-US"/>
        </w:rPr>
        <w:t>/ciz1241.</w:t>
      </w:r>
    </w:p>
    <w:p w14:paraId="07DEBF46"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[13]</w:t>
      </w:r>
      <w:r w:rsidRPr="009F30E1">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075C9D6D"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[14]</w:t>
      </w:r>
      <w:r w:rsidRPr="009F30E1">
        <w:rPr>
          <w:rFonts w:ascii="Times New Roman" w:hAnsi="Times New Roman" w:cs="Times New Roman"/>
          <w:color w:val="000000"/>
          <w:sz w:val="20"/>
          <w:lang w:val="en-US"/>
        </w:rPr>
        <w:tab/>
        <w:t xml:space="preserve">E. Reichert and Y. H. Grad, “Effects of doxycycline post-exposure prophylaxis for prevention of sexually transmitted infections on </w:t>
      </w:r>
      <w:proofErr w:type="spellStart"/>
      <w:r w:rsidRPr="009F30E1">
        <w:rPr>
          <w:rFonts w:ascii="Times New Roman" w:hAnsi="Times New Roman" w:cs="Times New Roman"/>
          <w:color w:val="000000"/>
          <w:sz w:val="20"/>
          <w:lang w:val="en-US"/>
        </w:rPr>
        <w:t>gonorrhoea</w:t>
      </w:r>
      <w:proofErr w:type="spellEnd"/>
      <w:r w:rsidRPr="009F30E1">
        <w:rPr>
          <w:rFonts w:ascii="Times New Roman" w:hAnsi="Times New Roman" w:cs="Times New Roman"/>
          <w:color w:val="000000"/>
          <w:sz w:val="20"/>
          <w:lang w:val="en-US"/>
        </w:rPr>
        <w:t xml:space="preserve"> prevalence and antimicrobial resistance among men who have sex with men in the USA: a modelling study,” </w:t>
      </w:r>
      <w:r w:rsidRPr="009F30E1">
        <w:rPr>
          <w:rFonts w:ascii="Times New Roman" w:hAnsi="Times New Roman" w:cs="Times New Roman"/>
          <w:i/>
          <w:iCs/>
          <w:color w:val="000000"/>
          <w:sz w:val="20"/>
          <w:lang w:val="en-US"/>
        </w:rPr>
        <w:t>Lancet Microbe</w:t>
      </w:r>
      <w:r w:rsidRPr="009F30E1">
        <w:rPr>
          <w:rFonts w:ascii="Times New Roman" w:hAnsi="Times New Roman" w:cs="Times New Roman"/>
          <w:color w:val="000000"/>
          <w:sz w:val="20"/>
          <w:lang w:val="en-US"/>
        </w:rPr>
        <w:t xml:space="preserve">, vol. 5, no. 11, p. 100926, Nov. 2024,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10.1016/s2666-5247(24)00168-x.</w:t>
      </w:r>
    </w:p>
    <w:p w14:paraId="07100C88"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[15]</w:t>
      </w:r>
      <w:r w:rsidRPr="009F30E1">
        <w:rPr>
          <w:rFonts w:ascii="Times New Roman" w:hAnsi="Times New Roman" w:cs="Times New Roman"/>
          <w:color w:val="000000"/>
          <w:sz w:val="20"/>
          <w:lang w:val="en-US"/>
        </w:rPr>
        <w:tab/>
        <w:t xml:space="preserve">A. F. Luetkemeyer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“Postexposure Doxycycline to Prevent Bacterial Sexually Transmitted Infections,” </w:t>
      </w:r>
      <w:r w:rsidRPr="009F30E1">
        <w:rPr>
          <w:rFonts w:ascii="Times New Roman" w:hAnsi="Times New Roman" w:cs="Times New Roman"/>
          <w:i/>
          <w:iCs/>
          <w:color w:val="000000"/>
          <w:sz w:val="20"/>
          <w:lang w:val="en-US"/>
        </w:rPr>
        <w:t>N. Engl. J. Med.</w:t>
      </w:r>
      <w:r w:rsidRPr="009F30E1">
        <w:rPr>
          <w:rFonts w:ascii="Times New Roman" w:hAnsi="Times New Roman" w:cs="Times New Roman"/>
          <w:color w:val="000000"/>
          <w:sz w:val="20"/>
          <w:lang w:val="en-US"/>
        </w:rPr>
        <w:t xml:space="preserve">, vol. 388, no. 14, pp. 1296–1306, Apr. 2023,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10.1056/NEJMoa2211934.</w:t>
      </w:r>
    </w:p>
    <w:p w14:paraId="0DBD7E26"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[16]</w:t>
      </w:r>
      <w:r w:rsidRPr="009F30E1">
        <w:rPr>
          <w:rFonts w:ascii="Times New Roman" w:hAnsi="Times New Roman" w:cs="Times New Roman"/>
          <w:color w:val="000000"/>
          <w:sz w:val="20"/>
          <w:lang w:val="en-US"/>
        </w:rPr>
        <w:tab/>
        <w:t xml:space="preserve">I. Szondy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“Doxycycline prophylaxis for the prevention of sexually transmitted infections: A systematic review and meta-analysis of randomized controlled trials,” </w:t>
      </w:r>
      <w:r w:rsidRPr="009F30E1">
        <w:rPr>
          <w:rFonts w:ascii="Times New Roman" w:hAnsi="Times New Roman" w:cs="Times New Roman"/>
          <w:i/>
          <w:iCs/>
          <w:color w:val="000000"/>
          <w:sz w:val="20"/>
          <w:lang w:val="en-US"/>
        </w:rPr>
        <w:t>Int. J. Infect. Dis.</w:t>
      </w:r>
      <w:r w:rsidRPr="009F30E1">
        <w:rPr>
          <w:rFonts w:ascii="Times New Roman" w:hAnsi="Times New Roman" w:cs="Times New Roman"/>
          <w:color w:val="000000"/>
          <w:sz w:val="20"/>
          <w:lang w:val="en-US"/>
        </w:rPr>
        <w:t xml:space="preserve">, vol. 147, p. 107186, Oct. 2024,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10.1016/j.ijid.2024.107186.</w:t>
      </w:r>
    </w:p>
    <w:p w14:paraId="399D28E2"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[17]</w:t>
      </w:r>
      <w:r w:rsidRPr="009F30E1">
        <w:rPr>
          <w:rFonts w:ascii="Times New Roman" w:hAnsi="Times New Roman" w:cs="Times New Roman"/>
          <w:color w:val="000000"/>
          <w:sz w:val="20"/>
          <w:lang w:val="en-US"/>
        </w:rPr>
        <w:tab/>
        <w:t xml:space="preserve">S. N. Ladhani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“Use of a meningococcal group B vaccine (4CMenB) in populations at high risk of </w:t>
      </w:r>
      <w:proofErr w:type="spellStart"/>
      <w:r w:rsidRPr="009F30E1">
        <w:rPr>
          <w:rFonts w:ascii="Times New Roman" w:hAnsi="Times New Roman" w:cs="Times New Roman"/>
          <w:color w:val="000000"/>
          <w:sz w:val="20"/>
          <w:lang w:val="en-US"/>
        </w:rPr>
        <w:t>gonorrhoea</w:t>
      </w:r>
      <w:proofErr w:type="spellEnd"/>
      <w:r w:rsidRPr="009F30E1">
        <w:rPr>
          <w:rFonts w:ascii="Times New Roman" w:hAnsi="Times New Roman" w:cs="Times New Roman"/>
          <w:color w:val="000000"/>
          <w:sz w:val="20"/>
          <w:lang w:val="en-US"/>
        </w:rPr>
        <w:t xml:space="preserve"> in the UK,” </w:t>
      </w:r>
      <w:r w:rsidRPr="009F30E1">
        <w:rPr>
          <w:rFonts w:ascii="Times New Roman" w:hAnsi="Times New Roman" w:cs="Times New Roman"/>
          <w:i/>
          <w:iCs/>
          <w:color w:val="000000"/>
          <w:sz w:val="20"/>
          <w:lang w:val="en-US"/>
        </w:rPr>
        <w:t>Lancet Infect. Dis.</w:t>
      </w:r>
      <w:r w:rsidRPr="009F30E1">
        <w:rPr>
          <w:rFonts w:ascii="Times New Roman" w:hAnsi="Times New Roman" w:cs="Times New Roman"/>
          <w:color w:val="000000"/>
          <w:sz w:val="20"/>
          <w:lang w:val="en-US"/>
        </w:rPr>
        <w:t xml:space="preserve">, vol. 24, no. 9, pp. e576–e583, Sep. 2024,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10.1016/S1473-3099(24)00031-8.</w:t>
      </w:r>
    </w:p>
    <w:p w14:paraId="5D363EF7"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[18]</w:t>
      </w:r>
      <w:r w:rsidRPr="009F30E1">
        <w:rPr>
          <w:rFonts w:ascii="Times New Roman" w:hAnsi="Times New Roman" w:cs="Times New Roman"/>
          <w:color w:val="000000"/>
          <w:sz w:val="20"/>
          <w:lang w:val="en-US"/>
        </w:rPr>
        <w:tab/>
        <w:t xml:space="preserve">J. Zhang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“Discontinuation, suboptimal adherence, and reinitiation of oral HIV pre-exposure prophylaxis: a global systematic review and meta-analysis,” </w:t>
      </w:r>
      <w:r w:rsidRPr="009F30E1">
        <w:rPr>
          <w:rFonts w:ascii="Times New Roman" w:hAnsi="Times New Roman" w:cs="Times New Roman"/>
          <w:i/>
          <w:iCs/>
          <w:color w:val="000000"/>
          <w:sz w:val="20"/>
          <w:lang w:val="en-US"/>
        </w:rPr>
        <w:t>Lancet HIV</w:t>
      </w:r>
      <w:r w:rsidRPr="009F30E1">
        <w:rPr>
          <w:rFonts w:ascii="Times New Roman" w:hAnsi="Times New Roman" w:cs="Times New Roman"/>
          <w:color w:val="000000"/>
          <w:sz w:val="20"/>
          <w:lang w:val="en-US"/>
        </w:rPr>
        <w:t xml:space="preserve">, vol. 9, no. 4, pp. e254–e268, Apr. 2022,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10.1016/S2352-3018(22)00030-3.</w:t>
      </w:r>
    </w:p>
    <w:p w14:paraId="051A73E8"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[19]</w:t>
      </w:r>
      <w:r w:rsidRPr="009F30E1">
        <w:rPr>
          <w:rFonts w:ascii="Times New Roman" w:hAnsi="Times New Roman" w:cs="Times New Roman"/>
          <w:color w:val="000000"/>
          <w:sz w:val="20"/>
          <w:lang w:val="en-US"/>
        </w:rPr>
        <w:tab/>
        <w:t xml:space="preserve">B. Wang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“4CMenB sustained vaccine effectiveness against invasive meningococcal B disease and </w:t>
      </w:r>
      <w:proofErr w:type="spellStart"/>
      <w:r w:rsidRPr="009F30E1">
        <w:rPr>
          <w:rFonts w:ascii="Times New Roman" w:hAnsi="Times New Roman" w:cs="Times New Roman"/>
          <w:color w:val="000000"/>
          <w:sz w:val="20"/>
          <w:lang w:val="en-US"/>
        </w:rPr>
        <w:t>gonorrhoea</w:t>
      </w:r>
      <w:proofErr w:type="spellEnd"/>
      <w:r w:rsidRPr="009F30E1">
        <w:rPr>
          <w:rFonts w:ascii="Times New Roman" w:hAnsi="Times New Roman" w:cs="Times New Roman"/>
          <w:color w:val="000000"/>
          <w:sz w:val="20"/>
          <w:lang w:val="en-US"/>
        </w:rPr>
        <w:t xml:space="preserve"> at three years post </w:t>
      </w:r>
      <w:proofErr w:type="spellStart"/>
      <w:r w:rsidRPr="009F30E1">
        <w:rPr>
          <w:rFonts w:ascii="Times New Roman" w:hAnsi="Times New Roman" w:cs="Times New Roman"/>
          <w:color w:val="000000"/>
          <w:sz w:val="20"/>
          <w:lang w:val="en-US"/>
        </w:rPr>
        <w:t>programme</w:t>
      </w:r>
      <w:proofErr w:type="spellEnd"/>
      <w:r w:rsidRPr="009F30E1">
        <w:rPr>
          <w:rFonts w:ascii="Times New Roman" w:hAnsi="Times New Roman" w:cs="Times New Roman"/>
          <w:color w:val="000000"/>
          <w:sz w:val="20"/>
          <w:lang w:val="en-US"/>
        </w:rPr>
        <w:t xml:space="preserve"> implementation,” </w:t>
      </w:r>
      <w:r w:rsidRPr="009F30E1">
        <w:rPr>
          <w:rFonts w:ascii="Times New Roman" w:hAnsi="Times New Roman" w:cs="Times New Roman"/>
          <w:i/>
          <w:iCs/>
          <w:color w:val="000000"/>
          <w:sz w:val="20"/>
          <w:lang w:val="en-US"/>
        </w:rPr>
        <w:t>J. Infect.</w:t>
      </w:r>
      <w:r w:rsidRPr="009F30E1">
        <w:rPr>
          <w:rFonts w:ascii="Times New Roman" w:hAnsi="Times New Roman" w:cs="Times New Roman"/>
          <w:color w:val="000000"/>
          <w:sz w:val="20"/>
          <w:lang w:val="en-US"/>
        </w:rPr>
        <w:t xml:space="preserve">, vol. 87, no. 2, pp. 95–102, Aug. 2023,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10.1016/j.jinf.2023.05.021.</w:t>
      </w:r>
    </w:p>
    <w:p w14:paraId="62DD4D84" w14:textId="77777777" w:rsidR="009F30E1" w:rsidRPr="009F30E1" w:rsidRDefault="009F30E1" w:rsidP="009F30E1">
      <w:pPr>
        <w:pStyle w:val="Bibliography"/>
        <w:rPr>
          <w:rFonts w:ascii="Times New Roman" w:hAnsi="Times New Roman" w:cs="Times New Roman"/>
          <w:color w:val="000000"/>
          <w:sz w:val="20"/>
          <w:lang w:val="en-US"/>
        </w:rPr>
      </w:pPr>
      <w:r w:rsidRPr="009F30E1">
        <w:rPr>
          <w:rFonts w:ascii="Times New Roman" w:hAnsi="Times New Roman" w:cs="Times New Roman"/>
          <w:color w:val="000000"/>
          <w:sz w:val="20"/>
          <w:lang w:val="en-US"/>
        </w:rPr>
        <w:t>[20]</w:t>
      </w:r>
      <w:r w:rsidRPr="009F30E1">
        <w:rPr>
          <w:rFonts w:ascii="Times New Roman" w:hAnsi="Times New Roman" w:cs="Times New Roman"/>
          <w:color w:val="000000"/>
          <w:sz w:val="20"/>
          <w:lang w:val="en-US"/>
        </w:rPr>
        <w:tab/>
        <w:t xml:space="preserve">B. Wang </w:t>
      </w:r>
      <w:r w:rsidRPr="009F30E1">
        <w:rPr>
          <w:rFonts w:ascii="Times New Roman" w:hAnsi="Times New Roman" w:cs="Times New Roman"/>
          <w:i/>
          <w:iCs/>
          <w:color w:val="000000"/>
          <w:sz w:val="20"/>
          <w:lang w:val="en-US"/>
        </w:rPr>
        <w:t>et al.</w:t>
      </w:r>
      <w:r w:rsidRPr="009F30E1">
        <w:rPr>
          <w:rFonts w:ascii="Times New Roman" w:hAnsi="Times New Roman" w:cs="Times New Roman"/>
          <w:color w:val="000000"/>
          <w:sz w:val="20"/>
          <w:lang w:val="en-US"/>
        </w:rPr>
        <w:t xml:space="preserve">, “Long-Term Protection Against Invasive Meningococcal B Disease and Gonococcal Infection 5 Years After Implementation of Funded Childhood and Adolescent 4CMenB Vaccination </w:t>
      </w:r>
      <w:r w:rsidRPr="009F30E1">
        <w:rPr>
          <w:rFonts w:ascii="Times New Roman" w:hAnsi="Times New Roman" w:cs="Times New Roman"/>
          <w:color w:val="000000"/>
          <w:sz w:val="20"/>
          <w:lang w:val="en-US"/>
        </w:rPr>
        <w:lastRenderedPageBreak/>
        <w:t xml:space="preserve">Program in South Australia: An Observational Cohort and Case-Control Study,” </w:t>
      </w:r>
      <w:r w:rsidRPr="009F30E1">
        <w:rPr>
          <w:rFonts w:ascii="Times New Roman" w:hAnsi="Times New Roman" w:cs="Times New Roman"/>
          <w:i/>
          <w:iCs/>
          <w:color w:val="000000"/>
          <w:sz w:val="20"/>
          <w:lang w:val="en-US"/>
        </w:rPr>
        <w:t>Clin. Infect. Dis. Off. Publ. Infect. Dis. Soc. Am.</w:t>
      </w:r>
      <w:r w:rsidRPr="009F30E1">
        <w:rPr>
          <w:rFonts w:ascii="Times New Roman" w:hAnsi="Times New Roman" w:cs="Times New Roman"/>
          <w:color w:val="000000"/>
          <w:sz w:val="20"/>
          <w:lang w:val="en-US"/>
        </w:rPr>
        <w:t xml:space="preserve">, vol. 81, no. 4, pp. e202–e210, Nov. 2025, </w:t>
      </w:r>
      <w:proofErr w:type="spellStart"/>
      <w:r w:rsidRPr="009F30E1">
        <w:rPr>
          <w:rFonts w:ascii="Times New Roman" w:hAnsi="Times New Roman" w:cs="Times New Roman"/>
          <w:color w:val="000000"/>
          <w:sz w:val="20"/>
          <w:lang w:val="en-US"/>
        </w:rPr>
        <w:t>doi</w:t>
      </w:r>
      <w:proofErr w:type="spellEnd"/>
      <w:r w:rsidRPr="009F30E1">
        <w:rPr>
          <w:rFonts w:ascii="Times New Roman" w:hAnsi="Times New Roman" w:cs="Times New Roman"/>
          <w:color w:val="000000"/>
          <w:sz w:val="20"/>
          <w:lang w:val="en-US"/>
        </w:rPr>
        <w:t>: 10.1093/</w:t>
      </w:r>
      <w:proofErr w:type="spellStart"/>
      <w:r w:rsidRPr="009F30E1">
        <w:rPr>
          <w:rFonts w:ascii="Times New Roman" w:hAnsi="Times New Roman" w:cs="Times New Roman"/>
          <w:color w:val="000000"/>
          <w:sz w:val="20"/>
          <w:lang w:val="en-US"/>
        </w:rPr>
        <w:t>cid</w:t>
      </w:r>
      <w:proofErr w:type="spellEnd"/>
      <w:r w:rsidRPr="009F30E1">
        <w:rPr>
          <w:rFonts w:ascii="Times New Roman" w:hAnsi="Times New Roman" w:cs="Times New Roman"/>
          <w:color w:val="000000"/>
          <w:sz w:val="20"/>
          <w:lang w:val="en-US"/>
        </w:rPr>
        <w:t>/ciaf372.</w:t>
      </w:r>
    </w:p>
    <w:p w14:paraId="5AC95642" w14:textId="5EF3B0AB" w:rsidR="00802477" w:rsidRPr="00B424FD" w:rsidRDefault="00802477" w:rsidP="009F30E1">
      <w:pPr>
        <w:pStyle w:val="Bibliography"/>
        <w:rPr>
          <w:rFonts w:ascii="Times New Roman" w:eastAsia="Times New Roman" w:hAnsi="Times New Roman" w:cs="Times New Roman"/>
          <w:color w:val="000000" w:themeColor="text1"/>
          <w:kern w:val="0"/>
          <w:sz w:val="20"/>
          <w:szCs w:val="20"/>
          <w:lang w:val="en-GB"/>
          <w14:ligatures w14:val="none"/>
        </w:rPr>
      </w:pPr>
      <w:r w:rsidRPr="00B424FD">
        <w:rPr>
          <w:rFonts w:ascii="Times New Roman" w:eastAsia="Times New Roman" w:hAnsi="Times New Roman" w:cs="Times New Roman"/>
          <w:color w:val="000000" w:themeColor="text1"/>
          <w:kern w:val="0"/>
          <w:sz w:val="20"/>
          <w:szCs w:val="20"/>
          <w:lang w:val="en-GB"/>
          <w14:ligatures w14:val="none"/>
        </w:rPr>
        <w:fldChar w:fldCharType="end"/>
      </w:r>
    </w:p>
    <w:p w14:paraId="09887875" w14:textId="34CA54EE" w:rsidR="006A5D60" w:rsidRPr="00B424FD" w:rsidRDefault="006A5D60"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sectPr w:rsidR="006A5D60" w:rsidRPr="00B424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A4AFC" w14:textId="77777777" w:rsidR="00DF1F93" w:rsidRDefault="00DF1F93" w:rsidP="00BA2AB7">
      <w:pPr>
        <w:spacing w:after="0" w:line="240" w:lineRule="auto"/>
      </w:pPr>
      <w:r>
        <w:separator/>
      </w:r>
    </w:p>
  </w:endnote>
  <w:endnote w:type="continuationSeparator" w:id="0">
    <w:p w14:paraId="3A42E9D8" w14:textId="77777777" w:rsidR="00DF1F93" w:rsidRDefault="00DF1F93"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D4C1" w14:textId="77777777" w:rsidR="00DF1F93" w:rsidRDefault="00DF1F93" w:rsidP="00BA2AB7">
      <w:pPr>
        <w:spacing w:after="0" w:line="240" w:lineRule="auto"/>
      </w:pPr>
      <w:r>
        <w:separator/>
      </w:r>
    </w:p>
  </w:footnote>
  <w:footnote w:type="continuationSeparator" w:id="0">
    <w:p w14:paraId="34BB2A37" w14:textId="77777777" w:rsidR="00DF1F93" w:rsidRDefault="00DF1F93" w:rsidP="00BA2AB7">
      <w:pPr>
        <w:spacing w:after="0" w:line="240" w:lineRule="auto"/>
      </w:pPr>
      <w:r>
        <w:continuationSeparator/>
      </w:r>
    </w:p>
  </w:footnote>
  <w:footnote w:id="1">
    <w:p w14:paraId="35D8A0C6" w14:textId="4EF99CED" w:rsidR="00E5498B" w:rsidRPr="00523A73" w:rsidRDefault="00E5498B">
      <w:pPr>
        <w:pStyle w:val="FootnoteText"/>
        <w:rPr>
          <w:rFonts w:ascii="Times New Roman" w:hAnsi="Times New Roman" w:cs="Times New Roman"/>
          <w:sz w:val="16"/>
          <w:szCs w:val="16"/>
        </w:rPr>
      </w:pPr>
      <w:r w:rsidRPr="00523A73">
        <w:rPr>
          <w:rStyle w:val="FootnoteReference"/>
          <w:rFonts w:ascii="Times New Roman" w:hAnsi="Times New Roman" w:cs="Times New Roman"/>
          <w:sz w:val="16"/>
          <w:szCs w:val="16"/>
        </w:rPr>
        <w:footnoteRef/>
      </w:r>
      <w:r w:rsidRPr="00523A73">
        <w:rPr>
          <w:rFonts w:ascii="Times New Roman" w:hAnsi="Times New Roman" w:cs="Times New Roman"/>
          <w:sz w:val="16"/>
          <w:szCs w:val="16"/>
        </w:rPr>
        <w:t xml:space="preserve"> MIC </w:t>
      </w:r>
      <m:oMath>
        <m:r>
          <w:rPr>
            <w:rFonts w:ascii="Cambria Math" w:hAnsi="Cambria Math" w:cs="Times New Roman"/>
            <w:sz w:val="16"/>
            <w:szCs w:val="16"/>
          </w:rPr>
          <m:t>≥</m:t>
        </m:r>
      </m:oMath>
      <w:r w:rsidRPr="00523A73">
        <w:rPr>
          <w:rFonts w:ascii="Times New Roman" w:hAnsi="Times New Roman" w:cs="Times New Roman"/>
          <w:sz w:val="16"/>
          <w:szCs w:val="16"/>
        </w:rPr>
        <w:t xml:space="preserve"> 2mg/L</w:t>
      </w:r>
    </w:p>
  </w:footnote>
  <w:footnote w:id="2">
    <w:p w14:paraId="1FE4FA1B" w14:textId="4446451B" w:rsidR="00E5498B" w:rsidRPr="00523A73" w:rsidRDefault="00E5498B">
      <w:pPr>
        <w:pStyle w:val="FootnoteText"/>
        <w:rPr>
          <w:rFonts w:ascii="Times New Roman" w:hAnsi="Times New Roman" w:cs="Times New Roman"/>
          <w:sz w:val="16"/>
          <w:szCs w:val="16"/>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Data from 2020</w:t>
      </w:r>
      <w:r>
        <w:rPr>
          <w:rFonts w:ascii="Times New Roman" w:hAnsi="Times New Roman" w:cs="Times New Roman"/>
          <w:sz w:val="16"/>
          <w:szCs w:val="16"/>
        </w:rPr>
        <w:t xml:space="preserve"> - </w:t>
      </w:r>
      <w:r w:rsidRPr="00523A73">
        <w:rPr>
          <w:rFonts w:ascii="Times New Roman" w:hAnsi="Times New Roman" w:cs="Times New Roman"/>
          <w:sz w:val="16"/>
          <w:szCs w:val="16"/>
        </w:rPr>
        <w:t>2021 were excluded due to sampling biases during COVID-19.</w:t>
      </w:r>
    </w:p>
  </w:footnote>
  <w:footnote w:id="3">
    <w:p w14:paraId="535A06E0" w14:textId="6556FF06" w:rsidR="00E5498B" w:rsidRPr="009A302F" w:rsidRDefault="00E5498B">
      <w:pPr>
        <w:pStyle w:val="FootnoteText"/>
        <w:rPr>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MIC </w:t>
      </w:r>
      <m:oMath>
        <m:r>
          <w:rPr>
            <w:rFonts w:ascii="Cambria Math" w:hAnsi="Cambria Math" w:cs="Times New Roman"/>
            <w:sz w:val="16"/>
            <w:szCs w:val="16"/>
          </w:rPr>
          <m:t>&gt;</m:t>
        </m:r>
      </m:oMath>
      <w:r w:rsidRPr="00523A73">
        <w:rPr>
          <w:rFonts w:ascii="Times New Roman" w:hAnsi="Times New Roman" w:cs="Times New Roman"/>
          <w:sz w:val="16"/>
          <w:szCs w:val="16"/>
        </w:rPr>
        <w:t xml:space="preserve"> 0.5mg/L</w:t>
      </w:r>
    </w:p>
  </w:footnote>
  <w:footnote w:id="4">
    <w:p w14:paraId="49BB2CC5" w14:textId="49DEE684" w:rsidR="006C157E" w:rsidRPr="006C157E" w:rsidRDefault="006C157E">
      <w:pPr>
        <w:pStyle w:val="FootnoteText"/>
      </w:pPr>
      <w:r>
        <w:rPr>
          <w:rStyle w:val="FootnoteReference"/>
        </w:rPr>
        <w:footnoteRef/>
      </w:r>
      <w:r>
        <w:t xml:space="preserve"> </w:t>
      </w:r>
      <w:r w:rsidRPr="006C157E">
        <w:rPr>
          <w:rFonts w:ascii="Times New Roman" w:hAnsi="Times New Roman" w:cs="Times New Roman"/>
          <w:sz w:val="16"/>
          <w:szCs w:val="16"/>
        </w:rPr>
        <w:t>For prior distributions and parameter bounds.</w:t>
      </w:r>
    </w:p>
  </w:footnote>
  <w:footnote w:id="5">
    <w:p w14:paraId="36C2C945" w14:textId="7ABADFCD" w:rsidR="00BA2AB7" w:rsidRPr="00B1021E" w:rsidRDefault="00BA2AB7" w:rsidP="00145FC1">
      <w:pPr>
        <w:pStyle w:val="FootnoteText"/>
        <w:jc w:val="both"/>
        <w:rPr>
          <w:rFonts w:ascii="Times New Roman" w:hAnsi="Times New Roman" w:cs="Times New Roman"/>
          <w:sz w:val="18"/>
          <w:szCs w:val="18"/>
          <w:lang w:val="en-US"/>
        </w:rPr>
      </w:pPr>
      <w:r>
        <w:rPr>
          <w:rStyle w:val="FootnoteReference"/>
        </w:rPr>
        <w:footnoteRef/>
      </w:r>
      <w:r w:rsidR="00B1021E">
        <w:t xml:space="preserve"> </w:t>
      </w:r>
      <w:r w:rsidRPr="00B1021E">
        <w:rPr>
          <w:rFonts w:ascii="Times New Roman" w:hAnsi="Times New Roman" w:cs="Times New Roman"/>
          <w:sz w:val="18"/>
          <w:szCs w:val="18"/>
          <w:lang w:val="en-US"/>
        </w:rPr>
        <w:t>Assume</w:t>
      </w:r>
      <w:r w:rsidR="00F477CC" w:rsidRPr="00B1021E">
        <w:rPr>
          <w:rFonts w:ascii="Times New Roman" w:hAnsi="Times New Roman" w:cs="Times New Roman"/>
          <w:sz w:val="18"/>
          <w:szCs w:val="18"/>
          <w:lang w:val="en-US"/>
        </w:rPr>
        <w:t>d</w:t>
      </w:r>
      <w:r w:rsidRPr="00B1021E">
        <w:rPr>
          <w:rFonts w:ascii="Times New Roman" w:hAnsi="Times New Roman" w:cs="Times New Roman"/>
          <w:sz w:val="18"/>
          <w:szCs w:val="18"/>
          <w:lang w:val="en-US"/>
        </w:rPr>
        <w:t xml:space="preserve"> </w:t>
      </w:r>
      <w:r w:rsidRPr="00B1021E">
        <w:rPr>
          <w:rFonts w:ascii="Times New Roman" w:hAnsi="Times New Roman" w:cs="Times New Roman"/>
          <w:sz w:val="18"/>
          <w:szCs w:val="18"/>
        </w:rPr>
        <w:t>each intervention reduces infection risk independently such that their combined efficacy is modelled multiplicatively</w:t>
      </w:r>
      <w:r w:rsidR="00F477CC" w:rsidRPr="00B1021E">
        <w:rPr>
          <w:rFonts w:ascii="Times New Roman" w:hAnsi="Times New Roman" w:cs="Times New Roman"/>
          <w:sz w:val="18"/>
          <w:szCs w:val="18"/>
        </w:rPr>
        <w:t xml:space="preserve">, i.e.,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vd</m:t>
            </m:r>
          </m:sub>
        </m:sSub>
        <m:r>
          <w:rPr>
            <w:rFonts w:ascii="Cambria Math" w:hAnsi="Cambria Math" w:cs="Times New Roman"/>
            <w:sz w:val="18"/>
            <w:szCs w:val="18"/>
          </w:rPr>
          <m:t>=1-</m:t>
        </m:r>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d</m:t>
                </m:r>
              </m:sub>
            </m:sSub>
          </m:e>
        </m:d>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m:t>
                </m:r>
              </m:sub>
            </m:sSub>
          </m:e>
        </m:d>
      </m:oMath>
      <w:r w:rsidR="00F477CC" w:rsidRPr="00B1021E">
        <w:rPr>
          <w:rFonts w:ascii="Times New Roman" w:hAnsi="Times New Roman" w:cs="Times New Roman"/>
          <w:sz w:val="18"/>
          <w:szCs w:val="18"/>
        </w:rPr>
        <w:t>.</w:t>
      </w:r>
    </w:p>
  </w:footnote>
  <w:footnote w:id="6">
    <w:p w14:paraId="166275AC" w14:textId="5B5986DE" w:rsidR="00B1021E" w:rsidRPr="00B1021E" w:rsidRDefault="00B1021E" w:rsidP="00145FC1">
      <w:pPr>
        <w:pStyle w:val="FootnoteText"/>
        <w:jc w:val="both"/>
        <w:rPr>
          <w:rFonts w:ascii="Times New Roman" w:hAnsi="Times New Roman" w:cs="Times New Roman"/>
          <w:sz w:val="18"/>
          <w:szCs w:val="18"/>
        </w:rPr>
      </w:pPr>
      <w:r w:rsidRPr="00B1021E">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w:t>
      </w:r>
      <w:r w:rsidRPr="00B1021E">
        <w:rPr>
          <w:rFonts w:ascii="Times New Roman" w:hAnsi="Times New Roman" w:cs="Times New Roman"/>
          <w:sz w:val="18"/>
          <w:szCs w:val="18"/>
        </w:rPr>
        <w:t xml:space="preserve">A booster dose may need to be further evaluated and considered in adolescents, given evidence of waning protection against gonorrhoea beginning around 36 months after vaccination </w:t>
      </w:r>
      <w:r w:rsidRPr="00B1021E">
        <w:rPr>
          <w:rFonts w:ascii="Times New Roman" w:hAnsi="Times New Roman" w:cs="Times New Roman"/>
          <w:sz w:val="18"/>
          <w:szCs w:val="18"/>
        </w:rPr>
        <w:fldChar w:fldCharType="begin"/>
      </w:r>
      <w:r w:rsidR="009F30E1">
        <w:rPr>
          <w:rFonts w:ascii="Times New Roman" w:hAnsi="Times New Roman" w:cs="Times New Roman"/>
          <w:sz w:val="18"/>
          <w:szCs w:val="18"/>
        </w:rPr>
        <w:instrText xml:space="preserve"> ADDIN ZOTERO_ITEM CSL_CITATION {"citationID":"YHB4VZcH","properties":{"unsorted":false,"formattedCitation":"[19]","plainCitation":"[19]","noteIndex":6},"citationItems":[{"id":464,"uris":["http://zotero.org/users/9663344/items/89SSBCG8"],"itemData":{"id":464,"type":"article-journal","abstract":"OBJECTIVES: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schema":"https://github.com/citation-style-language/schema/raw/master/csl-citation.json"} </w:instrText>
      </w:r>
      <w:r w:rsidRPr="00B1021E">
        <w:rPr>
          <w:rFonts w:ascii="Times New Roman" w:hAnsi="Times New Roman" w:cs="Times New Roman"/>
          <w:sz w:val="18"/>
          <w:szCs w:val="18"/>
        </w:rPr>
        <w:fldChar w:fldCharType="separate"/>
      </w:r>
      <w:r w:rsidR="009F30E1">
        <w:rPr>
          <w:rFonts w:ascii="Times New Roman" w:hAnsi="Times New Roman" w:cs="Times New Roman"/>
          <w:noProof/>
          <w:sz w:val="18"/>
          <w:szCs w:val="18"/>
        </w:rPr>
        <w:t>[19]</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 w:id="7">
    <w:p w14:paraId="46B8E66B" w14:textId="5BC2DCFB" w:rsidR="00B1021E" w:rsidRPr="00B1021E" w:rsidRDefault="00B1021E" w:rsidP="00145FC1">
      <w:pPr>
        <w:pStyle w:val="FootnoteText"/>
        <w:jc w:val="both"/>
        <w:rPr>
          <w:lang w:val="en-US"/>
        </w:rPr>
      </w:pPr>
      <w:r w:rsidRPr="00B1021E">
        <w:rPr>
          <w:rStyle w:val="FootnoteReference"/>
          <w:rFonts w:ascii="Times New Roman" w:hAnsi="Times New Roman" w:cs="Times New Roman"/>
          <w:sz w:val="18"/>
          <w:szCs w:val="18"/>
        </w:rPr>
        <w:footnoteRef/>
      </w:r>
      <w:r w:rsidRPr="00B1021E">
        <w:rPr>
          <w:rFonts w:ascii="Times New Roman" w:hAnsi="Times New Roman" w:cs="Times New Roman"/>
          <w:sz w:val="18"/>
          <w:szCs w:val="18"/>
        </w:rPr>
        <w:t xml:space="preserve"> Moderate protection against both first and subsequent gonococcal infections has been observed for up to 5 years following vaccination, although protection appears to decline over time, with waning becoming evident after 5 years </w:t>
      </w:r>
      <w:r w:rsidRPr="00B1021E">
        <w:rPr>
          <w:rFonts w:ascii="Times New Roman" w:hAnsi="Times New Roman" w:cs="Times New Roman"/>
          <w:sz w:val="18"/>
          <w:szCs w:val="18"/>
        </w:rPr>
        <w:fldChar w:fldCharType="begin"/>
      </w:r>
      <w:r w:rsidR="009F30E1">
        <w:rPr>
          <w:rFonts w:ascii="Times New Roman" w:hAnsi="Times New Roman" w:cs="Times New Roman"/>
          <w:sz w:val="18"/>
          <w:szCs w:val="18"/>
        </w:rPr>
        <w:instrText xml:space="preserve"> ADDIN ZOTERO_ITEM CSL_CITATION {"citationID":"GdmPKwrT","properties":{"unsorted":false,"formattedCitation":"[20]","plainCitation":"[20]","noteIndex":7},"citationItems":[{"id":461,"uris":["http://zotero.org/users/9663344/items/JQEUC3BQ"],"itemData":{"id":461,"type":"article-journal","abstract":"BACKGROUND: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1021E">
        <w:rPr>
          <w:rFonts w:ascii="Times New Roman" w:hAnsi="Times New Roman" w:cs="Times New Roman"/>
          <w:sz w:val="18"/>
          <w:szCs w:val="18"/>
        </w:rPr>
        <w:fldChar w:fldCharType="separate"/>
      </w:r>
      <w:r w:rsidR="009F30E1">
        <w:rPr>
          <w:rFonts w:ascii="Times New Roman" w:hAnsi="Times New Roman" w:cs="Times New Roman"/>
          <w:noProof/>
          <w:sz w:val="18"/>
          <w:szCs w:val="18"/>
        </w:rPr>
        <w:t>[20]</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5"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722562">
    <w:abstractNumId w:val="2"/>
  </w:num>
  <w:num w:numId="2" w16cid:durableId="40520125">
    <w:abstractNumId w:val="5"/>
  </w:num>
  <w:num w:numId="3" w16cid:durableId="1504318238">
    <w:abstractNumId w:val="1"/>
  </w:num>
  <w:num w:numId="4" w16cid:durableId="1606230246">
    <w:abstractNumId w:val="4"/>
  </w:num>
  <w:num w:numId="5" w16cid:durableId="734740861">
    <w:abstractNumId w:val="7"/>
  </w:num>
  <w:num w:numId="6" w16cid:durableId="1193878392">
    <w:abstractNumId w:val="0"/>
  </w:num>
  <w:num w:numId="7" w16cid:durableId="765417693">
    <w:abstractNumId w:val="6"/>
  </w:num>
  <w:num w:numId="8" w16cid:durableId="572549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367"/>
    <w:rsid w:val="00000B87"/>
    <w:rsid w:val="000011E7"/>
    <w:rsid w:val="00023755"/>
    <w:rsid w:val="00027E42"/>
    <w:rsid w:val="00050497"/>
    <w:rsid w:val="0005212D"/>
    <w:rsid w:val="00054123"/>
    <w:rsid w:val="000619E7"/>
    <w:rsid w:val="00065E5D"/>
    <w:rsid w:val="00075D2F"/>
    <w:rsid w:val="00083953"/>
    <w:rsid w:val="00083C2D"/>
    <w:rsid w:val="00085099"/>
    <w:rsid w:val="00087DCE"/>
    <w:rsid w:val="00091063"/>
    <w:rsid w:val="00092D96"/>
    <w:rsid w:val="000A58B6"/>
    <w:rsid w:val="000A5947"/>
    <w:rsid w:val="000B0C7C"/>
    <w:rsid w:val="000B2196"/>
    <w:rsid w:val="000B68AF"/>
    <w:rsid w:val="000B6CA6"/>
    <w:rsid w:val="000C5BDB"/>
    <w:rsid w:val="000D0539"/>
    <w:rsid w:val="000D1389"/>
    <w:rsid w:val="000D3B8B"/>
    <w:rsid w:val="000D472A"/>
    <w:rsid w:val="000E2764"/>
    <w:rsid w:val="000E3930"/>
    <w:rsid w:val="000E4D10"/>
    <w:rsid w:val="000F2664"/>
    <w:rsid w:val="001010DC"/>
    <w:rsid w:val="001037C7"/>
    <w:rsid w:val="001039C4"/>
    <w:rsid w:val="00103DD6"/>
    <w:rsid w:val="001103C5"/>
    <w:rsid w:val="00117036"/>
    <w:rsid w:val="001208FB"/>
    <w:rsid w:val="0012535C"/>
    <w:rsid w:val="00125E73"/>
    <w:rsid w:val="00133CB1"/>
    <w:rsid w:val="001418F7"/>
    <w:rsid w:val="00145FC1"/>
    <w:rsid w:val="0014609D"/>
    <w:rsid w:val="0015330D"/>
    <w:rsid w:val="001607B0"/>
    <w:rsid w:val="0016421E"/>
    <w:rsid w:val="0016426E"/>
    <w:rsid w:val="00166618"/>
    <w:rsid w:val="001725A7"/>
    <w:rsid w:val="0017364B"/>
    <w:rsid w:val="00180D81"/>
    <w:rsid w:val="001A06DF"/>
    <w:rsid w:val="001A3A09"/>
    <w:rsid w:val="001A46CA"/>
    <w:rsid w:val="001B42F2"/>
    <w:rsid w:val="001B69F5"/>
    <w:rsid w:val="001B6CFF"/>
    <w:rsid w:val="001B74CC"/>
    <w:rsid w:val="001C0CAA"/>
    <w:rsid w:val="001C2A98"/>
    <w:rsid w:val="001C3AEF"/>
    <w:rsid w:val="001C49F2"/>
    <w:rsid w:val="001C5B10"/>
    <w:rsid w:val="001C72D5"/>
    <w:rsid w:val="001D18D4"/>
    <w:rsid w:val="001D2DB4"/>
    <w:rsid w:val="001D4FFF"/>
    <w:rsid w:val="001E0698"/>
    <w:rsid w:val="001E4905"/>
    <w:rsid w:val="001E6951"/>
    <w:rsid w:val="001E6F22"/>
    <w:rsid w:val="001F071A"/>
    <w:rsid w:val="001F6852"/>
    <w:rsid w:val="002007DE"/>
    <w:rsid w:val="00204018"/>
    <w:rsid w:val="00220104"/>
    <w:rsid w:val="002234CF"/>
    <w:rsid w:val="00223F73"/>
    <w:rsid w:val="0022598D"/>
    <w:rsid w:val="00230338"/>
    <w:rsid w:val="0023165B"/>
    <w:rsid w:val="00243D2B"/>
    <w:rsid w:val="00244995"/>
    <w:rsid w:val="00245AB5"/>
    <w:rsid w:val="002533F2"/>
    <w:rsid w:val="0025496A"/>
    <w:rsid w:val="00256035"/>
    <w:rsid w:val="00262B6F"/>
    <w:rsid w:val="00263500"/>
    <w:rsid w:val="00276DCE"/>
    <w:rsid w:val="00284461"/>
    <w:rsid w:val="00284E15"/>
    <w:rsid w:val="00287C10"/>
    <w:rsid w:val="00290CEC"/>
    <w:rsid w:val="00294DE8"/>
    <w:rsid w:val="002A0863"/>
    <w:rsid w:val="002A0AB1"/>
    <w:rsid w:val="002A1438"/>
    <w:rsid w:val="002B358A"/>
    <w:rsid w:val="002C1836"/>
    <w:rsid w:val="002C1F75"/>
    <w:rsid w:val="002C3F2C"/>
    <w:rsid w:val="002C711F"/>
    <w:rsid w:val="002D209E"/>
    <w:rsid w:val="002D2910"/>
    <w:rsid w:val="002D5092"/>
    <w:rsid w:val="002D65F1"/>
    <w:rsid w:val="002E7667"/>
    <w:rsid w:val="002F1936"/>
    <w:rsid w:val="00302302"/>
    <w:rsid w:val="00307F2B"/>
    <w:rsid w:val="00316933"/>
    <w:rsid w:val="00322A6A"/>
    <w:rsid w:val="00326421"/>
    <w:rsid w:val="00327ED6"/>
    <w:rsid w:val="003300DF"/>
    <w:rsid w:val="00331A4D"/>
    <w:rsid w:val="003323E8"/>
    <w:rsid w:val="00332AD8"/>
    <w:rsid w:val="00336842"/>
    <w:rsid w:val="00337290"/>
    <w:rsid w:val="00343145"/>
    <w:rsid w:val="00354E6D"/>
    <w:rsid w:val="003561F6"/>
    <w:rsid w:val="00362BD9"/>
    <w:rsid w:val="00366B64"/>
    <w:rsid w:val="00373D9B"/>
    <w:rsid w:val="00381301"/>
    <w:rsid w:val="00382719"/>
    <w:rsid w:val="00382F63"/>
    <w:rsid w:val="00393D45"/>
    <w:rsid w:val="003A66F0"/>
    <w:rsid w:val="003B3837"/>
    <w:rsid w:val="003B6AF3"/>
    <w:rsid w:val="003B6C8E"/>
    <w:rsid w:val="003C154F"/>
    <w:rsid w:val="003C1DA1"/>
    <w:rsid w:val="003C1F45"/>
    <w:rsid w:val="003C479B"/>
    <w:rsid w:val="003C574C"/>
    <w:rsid w:val="003D0D91"/>
    <w:rsid w:val="003E7919"/>
    <w:rsid w:val="004033EF"/>
    <w:rsid w:val="00422602"/>
    <w:rsid w:val="004229CD"/>
    <w:rsid w:val="00424CFE"/>
    <w:rsid w:val="004338C0"/>
    <w:rsid w:val="00434D86"/>
    <w:rsid w:val="004357BD"/>
    <w:rsid w:val="004455A5"/>
    <w:rsid w:val="004546A0"/>
    <w:rsid w:val="00466C02"/>
    <w:rsid w:val="00474003"/>
    <w:rsid w:val="00482565"/>
    <w:rsid w:val="00484566"/>
    <w:rsid w:val="0048457F"/>
    <w:rsid w:val="004E2A7F"/>
    <w:rsid w:val="004E49BA"/>
    <w:rsid w:val="004E5A57"/>
    <w:rsid w:val="004F1CFD"/>
    <w:rsid w:val="004F3D14"/>
    <w:rsid w:val="004F4B9C"/>
    <w:rsid w:val="004F6BDC"/>
    <w:rsid w:val="00506AFF"/>
    <w:rsid w:val="00507315"/>
    <w:rsid w:val="00511992"/>
    <w:rsid w:val="0051618A"/>
    <w:rsid w:val="00516EB7"/>
    <w:rsid w:val="005215DC"/>
    <w:rsid w:val="00521FE0"/>
    <w:rsid w:val="00522393"/>
    <w:rsid w:val="00523A73"/>
    <w:rsid w:val="0053170E"/>
    <w:rsid w:val="00535D63"/>
    <w:rsid w:val="005368DE"/>
    <w:rsid w:val="00536FF5"/>
    <w:rsid w:val="005411A9"/>
    <w:rsid w:val="00541748"/>
    <w:rsid w:val="00545B96"/>
    <w:rsid w:val="0054651B"/>
    <w:rsid w:val="005473E4"/>
    <w:rsid w:val="00550ABE"/>
    <w:rsid w:val="0055619E"/>
    <w:rsid w:val="00556849"/>
    <w:rsid w:val="00563FF5"/>
    <w:rsid w:val="0057315F"/>
    <w:rsid w:val="00577E90"/>
    <w:rsid w:val="005806F6"/>
    <w:rsid w:val="005A070B"/>
    <w:rsid w:val="005A19F4"/>
    <w:rsid w:val="005B07EA"/>
    <w:rsid w:val="005B15BD"/>
    <w:rsid w:val="005B2DA0"/>
    <w:rsid w:val="005B3659"/>
    <w:rsid w:val="005C1307"/>
    <w:rsid w:val="005C2070"/>
    <w:rsid w:val="005D0C68"/>
    <w:rsid w:val="005D5687"/>
    <w:rsid w:val="005D7DAD"/>
    <w:rsid w:val="005E0B1D"/>
    <w:rsid w:val="005E4297"/>
    <w:rsid w:val="005E4A82"/>
    <w:rsid w:val="005E6D8E"/>
    <w:rsid w:val="005F0A0A"/>
    <w:rsid w:val="00600B13"/>
    <w:rsid w:val="006108A8"/>
    <w:rsid w:val="006173E0"/>
    <w:rsid w:val="00620092"/>
    <w:rsid w:val="00624970"/>
    <w:rsid w:val="0062623D"/>
    <w:rsid w:val="00630081"/>
    <w:rsid w:val="006300FE"/>
    <w:rsid w:val="00630BF1"/>
    <w:rsid w:val="0063767C"/>
    <w:rsid w:val="006425C4"/>
    <w:rsid w:val="00654ED9"/>
    <w:rsid w:val="00666618"/>
    <w:rsid w:val="00667406"/>
    <w:rsid w:val="0067174C"/>
    <w:rsid w:val="0067361D"/>
    <w:rsid w:val="00673DDD"/>
    <w:rsid w:val="00680986"/>
    <w:rsid w:val="00690AB2"/>
    <w:rsid w:val="0069221B"/>
    <w:rsid w:val="00694DF0"/>
    <w:rsid w:val="006A2A59"/>
    <w:rsid w:val="006A5D60"/>
    <w:rsid w:val="006B0495"/>
    <w:rsid w:val="006B564D"/>
    <w:rsid w:val="006B5BE6"/>
    <w:rsid w:val="006B751E"/>
    <w:rsid w:val="006C005B"/>
    <w:rsid w:val="006C0BE4"/>
    <w:rsid w:val="006C157E"/>
    <w:rsid w:val="006C22C1"/>
    <w:rsid w:val="006C3307"/>
    <w:rsid w:val="006E4C38"/>
    <w:rsid w:val="006F3684"/>
    <w:rsid w:val="006F7EBA"/>
    <w:rsid w:val="007024DB"/>
    <w:rsid w:val="00703A7C"/>
    <w:rsid w:val="00713935"/>
    <w:rsid w:val="00720BC0"/>
    <w:rsid w:val="00727618"/>
    <w:rsid w:val="0073291E"/>
    <w:rsid w:val="007329A5"/>
    <w:rsid w:val="0073529F"/>
    <w:rsid w:val="00743CE1"/>
    <w:rsid w:val="007525AC"/>
    <w:rsid w:val="00755701"/>
    <w:rsid w:val="00756C05"/>
    <w:rsid w:val="00756FF7"/>
    <w:rsid w:val="0075770A"/>
    <w:rsid w:val="00757D3F"/>
    <w:rsid w:val="00776D62"/>
    <w:rsid w:val="007864C5"/>
    <w:rsid w:val="00786DEB"/>
    <w:rsid w:val="0079342B"/>
    <w:rsid w:val="007966E6"/>
    <w:rsid w:val="007A6006"/>
    <w:rsid w:val="007B7461"/>
    <w:rsid w:val="007C1062"/>
    <w:rsid w:val="007C39C6"/>
    <w:rsid w:val="007D28FF"/>
    <w:rsid w:val="007E3DC8"/>
    <w:rsid w:val="007E5D03"/>
    <w:rsid w:val="007F5429"/>
    <w:rsid w:val="00802477"/>
    <w:rsid w:val="00804703"/>
    <w:rsid w:val="00806122"/>
    <w:rsid w:val="00806315"/>
    <w:rsid w:val="00813523"/>
    <w:rsid w:val="008235D5"/>
    <w:rsid w:val="008241F9"/>
    <w:rsid w:val="0084213D"/>
    <w:rsid w:val="008550FB"/>
    <w:rsid w:val="008576F9"/>
    <w:rsid w:val="00864286"/>
    <w:rsid w:val="00870795"/>
    <w:rsid w:val="00877A9C"/>
    <w:rsid w:val="008925D7"/>
    <w:rsid w:val="008B7F26"/>
    <w:rsid w:val="008C079B"/>
    <w:rsid w:val="008C20BF"/>
    <w:rsid w:val="008C2AAA"/>
    <w:rsid w:val="008C3C96"/>
    <w:rsid w:val="008D037C"/>
    <w:rsid w:val="008D3D88"/>
    <w:rsid w:val="008E5752"/>
    <w:rsid w:val="008E6B37"/>
    <w:rsid w:val="008F09CA"/>
    <w:rsid w:val="008F1059"/>
    <w:rsid w:val="00900927"/>
    <w:rsid w:val="0090359A"/>
    <w:rsid w:val="00910847"/>
    <w:rsid w:val="00911EE4"/>
    <w:rsid w:val="00912190"/>
    <w:rsid w:val="00914662"/>
    <w:rsid w:val="00921697"/>
    <w:rsid w:val="00924173"/>
    <w:rsid w:val="00930553"/>
    <w:rsid w:val="00930B14"/>
    <w:rsid w:val="009324AB"/>
    <w:rsid w:val="00932C73"/>
    <w:rsid w:val="00941308"/>
    <w:rsid w:val="0094275B"/>
    <w:rsid w:val="009550C6"/>
    <w:rsid w:val="009662DC"/>
    <w:rsid w:val="009701A4"/>
    <w:rsid w:val="00973822"/>
    <w:rsid w:val="00974C47"/>
    <w:rsid w:val="009758E2"/>
    <w:rsid w:val="00976368"/>
    <w:rsid w:val="0097696D"/>
    <w:rsid w:val="00976A2C"/>
    <w:rsid w:val="00986483"/>
    <w:rsid w:val="009A302F"/>
    <w:rsid w:val="009B54A6"/>
    <w:rsid w:val="009B6B32"/>
    <w:rsid w:val="009C0A6F"/>
    <w:rsid w:val="009C2B9F"/>
    <w:rsid w:val="009D5228"/>
    <w:rsid w:val="009E1546"/>
    <w:rsid w:val="009E6324"/>
    <w:rsid w:val="009F30E1"/>
    <w:rsid w:val="009F77D3"/>
    <w:rsid w:val="00A03255"/>
    <w:rsid w:val="00A05668"/>
    <w:rsid w:val="00A219CE"/>
    <w:rsid w:val="00A21F28"/>
    <w:rsid w:val="00A21F6D"/>
    <w:rsid w:val="00A26C1F"/>
    <w:rsid w:val="00A37609"/>
    <w:rsid w:val="00A42434"/>
    <w:rsid w:val="00A457AA"/>
    <w:rsid w:val="00A60259"/>
    <w:rsid w:val="00A6038C"/>
    <w:rsid w:val="00A64C35"/>
    <w:rsid w:val="00A73305"/>
    <w:rsid w:val="00A76F55"/>
    <w:rsid w:val="00A7709F"/>
    <w:rsid w:val="00A9220E"/>
    <w:rsid w:val="00A96A92"/>
    <w:rsid w:val="00A97EEB"/>
    <w:rsid w:val="00AA2F44"/>
    <w:rsid w:val="00AA3D24"/>
    <w:rsid w:val="00AA5371"/>
    <w:rsid w:val="00AA5C7A"/>
    <w:rsid w:val="00AB02ED"/>
    <w:rsid w:val="00AB1E71"/>
    <w:rsid w:val="00AB3080"/>
    <w:rsid w:val="00AC07E2"/>
    <w:rsid w:val="00AD0C45"/>
    <w:rsid w:val="00AD2004"/>
    <w:rsid w:val="00AD2FFE"/>
    <w:rsid w:val="00AD417C"/>
    <w:rsid w:val="00AD793A"/>
    <w:rsid w:val="00AE4378"/>
    <w:rsid w:val="00AE58D0"/>
    <w:rsid w:val="00AF17D8"/>
    <w:rsid w:val="00B02227"/>
    <w:rsid w:val="00B06488"/>
    <w:rsid w:val="00B1021E"/>
    <w:rsid w:val="00B11432"/>
    <w:rsid w:val="00B15A39"/>
    <w:rsid w:val="00B15DD7"/>
    <w:rsid w:val="00B26C1F"/>
    <w:rsid w:val="00B31011"/>
    <w:rsid w:val="00B32B88"/>
    <w:rsid w:val="00B424FD"/>
    <w:rsid w:val="00B50E2D"/>
    <w:rsid w:val="00B5509E"/>
    <w:rsid w:val="00B603C7"/>
    <w:rsid w:val="00B6206E"/>
    <w:rsid w:val="00B62B04"/>
    <w:rsid w:val="00B65A11"/>
    <w:rsid w:val="00B66285"/>
    <w:rsid w:val="00B71524"/>
    <w:rsid w:val="00B86DF0"/>
    <w:rsid w:val="00B877F5"/>
    <w:rsid w:val="00BA2AB7"/>
    <w:rsid w:val="00BA61F4"/>
    <w:rsid w:val="00BC52CE"/>
    <w:rsid w:val="00BC6C09"/>
    <w:rsid w:val="00BC6C83"/>
    <w:rsid w:val="00BD15B2"/>
    <w:rsid w:val="00BD217F"/>
    <w:rsid w:val="00BD59C2"/>
    <w:rsid w:val="00BF1374"/>
    <w:rsid w:val="00BF183C"/>
    <w:rsid w:val="00BF2A3D"/>
    <w:rsid w:val="00BF327B"/>
    <w:rsid w:val="00BF4DCA"/>
    <w:rsid w:val="00BF4E96"/>
    <w:rsid w:val="00BF5996"/>
    <w:rsid w:val="00BF6FF4"/>
    <w:rsid w:val="00BF7575"/>
    <w:rsid w:val="00C04989"/>
    <w:rsid w:val="00C052D4"/>
    <w:rsid w:val="00C066BD"/>
    <w:rsid w:val="00C17699"/>
    <w:rsid w:val="00C2176F"/>
    <w:rsid w:val="00C22D10"/>
    <w:rsid w:val="00C2470F"/>
    <w:rsid w:val="00C252ED"/>
    <w:rsid w:val="00C2593F"/>
    <w:rsid w:val="00C3364D"/>
    <w:rsid w:val="00C43D02"/>
    <w:rsid w:val="00C54EE3"/>
    <w:rsid w:val="00C577E4"/>
    <w:rsid w:val="00C57AB9"/>
    <w:rsid w:val="00C60BB5"/>
    <w:rsid w:val="00C70A9E"/>
    <w:rsid w:val="00CA08CF"/>
    <w:rsid w:val="00CA321D"/>
    <w:rsid w:val="00CA550C"/>
    <w:rsid w:val="00CB3FBC"/>
    <w:rsid w:val="00CB4B37"/>
    <w:rsid w:val="00CD1078"/>
    <w:rsid w:val="00CD1329"/>
    <w:rsid w:val="00CD3E9D"/>
    <w:rsid w:val="00CD493A"/>
    <w:rsid w:val="00CD5894"/>
    <w:rsid w:val="00CD73B1"/>
    <w:rsid w:val="00CE173A"/>
    <w:rsid w:val="00CE1D02"/>
    <w:rsid w:val="00CE437E"/>
    <w:rsid w:val="00CE782C"/>
    <w:rsid w:val="00CF7B21"/>
    <w:rsid w:val="00D03073"/>
    <w:rsid w:val="00D036DA"/>
    <w:rsid w:val="00D06293"/>
    <w:rsid w:val="00D12B13"/>
    <w:rsid w:val="00D12E24"/>
    <w:rsid w:val="00D21988"/>
    <w:rsid w:val="00D27D2B"/>
    <w:rsid w:val="00D32E21"/>
    <w:rsid w:val="00D337FB"/>
    <w:rsid w:val="00D43596"/>
    <w:rsid w:val="00D47058"/>
    <w:rsid w:val="00D67628"/>
    <w:rsid w:val="00D706B0"/>
    <w:rsid w:val="00D70778"/>
    <w:rsid w:val="00D73050"/>
    <w:rsid w:val="00D76A07"/>
    <w:rsid w:val="00D77A83"/>
    <w:rsid w:val="00D803EF"/>
    <w:rsid w:val="00D817F5"/>
    <w:rsid w:val="00D81981"/>
    <w:rsid w:val="00D83ED0"/>
    <w:rsid w:val="00D95BD9"/>
    <w:rsid w:val="00DA20C8"/>
    <w:rsid w:val="00DA5AB2"/>
    <w:rsid w:val="00DB0475"/>
    <w:rsid w:val="00DB3DC4"/>
    <w:rsid w:val="00DB4F61"/>
    <w:rsid w:val="00DD1B60"/>
    <w:rsid w:val="00DD1CCA"/>
    <w:rsid w:val="00DD5329"/>
    <w:rsid w:val="00DE7C05"/>
    <w:rsid w:val="00DF1F93"/>
    <w:rsid w:val="00E020F1"/>
    <w:rsid w:val="00E11A11"/>
    <w:rsid w:val="00E14D5D"/>
    <w:rsid w:val="00E15449"/>
    <w:rsid w:val="00E168B3"/>
    <w:rsid w:val="00E2321C"/>
    <w:rsid w:val="00E47B3D"/>
    <w:rsid w:val="00E5154E"/>
    <w:rsid w:val="00E51E5A"/>
    <w:rsid w:val="00E536A7"/>
    <w:rsid w:val="00E5498B"/>
    <w:rsid w:val="00E54A4D"/>
    <w:rsid w:val="00E62364"/>
    <w:rsid w:val="00E716CC"/>
    <w:rsid w:val="00E7338C"/>
    <w:rsid w:val="00E96FBA"/>
    <w:rsid w:val="00E973B7"/>
    <w:rsid w:val="00E97704"/>
    <w:rsid w:val="00EA3640"/>
    <w:rsid w:val="00EA7F23"/>
    <w:rsid w:val="00EB17DD"/>
    <w:rsid w:val="00EB61FB"/>
    <w:rsid w:val="00EC2699"/>
    <w:rsid w:val="00EC3110"/>
    <w:rsid w:val="00EC410B"/>
    <w:rsid w:val="00ED37A4"/>
    <w:rsid w:val="00EE1CFB"/>
    <w:rsid w:val="00EE4B38"/>
    <w:rsid w:val="00EF3F1B"/>
    <w:rsid w:val="00F00AFE"/>
    <w:rsid w:val="00F01206"/>
    <w:rsid w:val="00F02256"/>
    <w:rsid w:val="00F14CE2"/>
    <w:rsid w:val="00F16CFC"/>
    <w:rsid w:val="00F176A5"/>
    <w:rsid w:val="00F36509"/>
    <w:rsid w:val="00F41837"/>
    <w:rsid w:val="00F477CC"/>
    <w:rsid w:val="00F5221A"/>
    <w:rsid w:val="00F52E0E"/>
    <w:rsid w:val="00F55D78"/>
    <w:rsid w:val="00F63B65"/>
    <w:rsid w:val="00F65B86"/>
    <w:rsid w:val="00F66957"/>
    <w:rsid w:val="00F7254F"/>
    <w:rsid w:val="00F729B0"/>
    <w:rsid w:val="00F9132B"/>
    <w:rsid w:val="00F9466C"/>
    <w:rsid w:val="00FA15F7"/>
    <w:rsid w:val="00FA41BC"/>
    <w:rsid w:val="00FB3D88"/>
    <w:rsid w:val="00FB7950"/>
    <w:rsid w:val="00FC6BB2"/>
    <w:rsid w:val="00FD0816"/>
    <w:rsid w:val="00FD2D8F"/>
    <w:rsid w:val="00FE16E0"/>
    <w:rsid w:val="00FE282D"/>
    <w:rsid w:val="00FE3A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F22"/>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semiHidden/>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18</Pages>
  <Words>17724</Words>
  <Characters>101028</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162</cp:revision>
  <cp:lastPrinted>2026-02-27T06:07:00Z</cp:lastPrinted>
  <dcterms:created xsi:type="dcterms:W3CDTF">2026-02-10T07:13:00Z</dcterms:created>
  <dcterms:modified xsi:type="dcterms:W3CDTF">2026-05-15T07:56:00Z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id="uUEbqkPt"/&gt;&lt;style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