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860E" w14:textId="41C66B0B" w:rsidR="00027E42" w:rsidRPr="00B424FD" w:rsidRDefault="00CD73B1" w:rsidP="003B3837">
      <w:pPr>
        <w:spacing w:before="100" w:beforeAutospacing="1" w:after="100" w:afterAutospacing="1" w:line="276" w:lineRule="auto"/>
        <w:jc w:val="both"/>
        <w:rPr>
          <w:rFonts w:ascii="Times New Roman" w:hAnsi="Times New Roman" w:cs="Times New Roman"/>
          <w:b/>
          <w:bCs/>
          <w:color w:val="000000" w:themeColor="text1"/>
          <w:sz w:val="20"/>
          <w:szCs w:val="20"/>
          <w:lang w:val="en-GB"/>
        </w:rPr>
      </w:pPr>
      <w:r w:rsidRPr="00B424FD">
        <w:rPr>
          <w:rFonts w:ascii="Times New Roman" w:hAnsi="Times New Roman" w:cs="Times New Roman"/>
          <w:b/>
          <w:bCs/>
          <w:sz w:val="20"/>
          <w:szCs w:val="20"/>
          <w:lang w:val="en-GB"/>
        </w:rPr>
        <w:t xml:space="preserve">Modelling the Interplay Between Doxycycline </w:t>
      </w:r>
      <w:r w:rsidR="00000B87" w:rsidRPr="00B424FD">
        <w:rPr>
          <w:rFonts w:ascii="Times New Roman" w:hAnsi="Times New Roman" w:cs="Times New Roman"/>
          <w:b/>
          <w:bCs/>
          <w:sz w:val="20"/>
          <w:szCs w:val="20"/>
          <w:lang w:val="en-GB"/>
        </w:rPr>
        <w:t>Post-Exposure Prophylaxis</w:t>
      </w:r>
      <w:r w:rsidRPr="00B424FD">
        <w:rPr>
          <w:rFonts w:ascii="Times New Roman" w:hAnsi="Times New Roman" w:cs="Times New Roman"/>
          <w:b/>
          <w:bCs/>
          <w:sz w:val="20"/>
          <w:szCs w:val="20"/>
          <w:lang w:val="en-GB"/>
        </w:rPr>
        <w:t xml:space="preserve">, </w:t>
      </w:r>
      <w:r w:rsidR="00000B87" w:rsidRPr="00B424FD">
        <w:rPr>
          <w:rFonts w:ascii="Times New Roman" w:hAnsi="Times New Roman" w:cs="Times New Roman"/>
          <w:b/>
          <w:bCs/>
          <w:sz w:val="20"/>
          <w:szCs w:val="20"/>
          <w:lang w:val="en-GB"/>
        </w:rPr>
        <w:t xml:space="preserve">Four-Component </w:t>
      </w:r>
      <w:r w:rsidR="006E4C38" w:rsidRPr="00B424FD">
        <w:rPr>
          <w:rFonts w:ascii="Times New Roman" w:hAnsi="Times New Roman" w:cs="Times New Roman"/>
          <w:b/>
          <w:bCs/>
          <w:sz w:val="20"/>
          <w:szCs w:val="20"/>
          <w:lang w:val="en-GB"/>
        </w:rPr>
        <w:t xml:space="preserve">Meningococcal </w:t>
      </w:r>
      <w:r w:rsidR="00000B87" w:rsidRPr="00B424FD">
        <w:rPr>
          <w:rFonts w:ascii="Times New Roman" w:hAnsi="Times New Roman" w:cs="Times New Roman"/>
          <w:b/>
          <w:bCs/>
          <w:sz w:val="20"/>
          <w:szCs w:val="20"/>
          <w:lang w:val="en-GB"/>
        </w:rPr>
        <w:t>Serogroup B (</w:t>
      </w:r>
      <w:r w:rsidRPr="00B424FD">
        <w:rPr>
          <w:rFonts w:ascii="Times New Roman" w:hAnsi="Times New Roman" w:cs="Times New Roman"/>
          <w:b/>
          <w:bCs/>
          <w:sz w:val="20"/>
          <w:szCs w:val="20"/>
          <w:lang w:val="en-GB"/>
        </w:rPr>
        <w:t>4CMenB</w:t>
      </w:r>
      <w:r w:rsidR="00000B87" w:rsidRPr="00B424FD">
        <w:rPr>
          <w:rFonts w:ascii="Times New Roman" w:hAnsi="Times New Roman" w:cs="Times New Roman"/>
          <w:b/>
          <w:bCs/>
          <w:sz w:val="20"/>
          <w:szCs w:val="20"/>
          <w:lang w:val="en-GB"/>
        </w:rPr>
        <w:t>) vaccine</w:t>
      </w:r>
      <w:r w:rsidRPr="00B424FD">
        <w:rPr>
          <w:rFonts w:ascii="Times New Roman" w:hAnsi="Times New Roman" w:cs="Times New Roman"/>
          <w:b/>
          <w:bCs/>
          <w:sz w:val="20"/>
          <w:szCs w:val="20"/>
          <w:lang w:val="en-GB"/>
        </w:rPr>
        <w:t xml:space="preserve">, and </w:t>
      </w:r>
      <w:r w:rsidR="00000B87" w:rsidRPr="00B424FD">
        <w:rPr>
          <w:rFonts w:ascii="Times New Roman" w:hAnsi="Times New Roman" w:cs="Times New Roman"/>
          <w:b/>
          <w:bCs/>
          <w:sz w:val="20"/>
          <w:szCs w:val="20"/>
          <w:lang w:val="en-GB"/>
        </w:rPr>
        <w:t>Antimicrobial Resistance</w:t>
      </w:r>
      <w:r w:rsidRPr="00B424FD">
        <w:rPr>
          <w:rFonts w:ascii="Times New Roman" w:hAnsi="Times New Roman" w:cs="Times New Roman"/>
          <w:b/>
          <w:bCs/>
          <w:sz w:val="20"/>
          <w:szCs w:val="20"/>
          <w:lang w:val="en-GB"/>
        </w:rPr>
        <w:t xml:space="preserve"> in </w:t>
      </w:r>
      <w:r w:rsidRPr="00B424FD">
        <w:rPr>
          <w:rStyle w:val="Emphasis"/>
          <w:rFonts w:ascii="Times New Roman" w:hAnsi="Times New Roman" w:cs="Times New Roman"/>
          <w:b/>
          <w:bCs/>
          <w:sz w:val="20"/>
          <w:szCs w:val="20"/>
          <w:lang w:val="en-GB"/>
        </w:rPr>
        <w:t>Neisseria gonorrhoeae</w:t>
      </w:r>
    </w:p>
    <w:p w14:paraId="7DF3C741" w14:textId="6C8F0C51" w:rsidR="00276DCE" w:rsidRPr="00B424FD" w:rsidRDefault="00276DCE" w:rsidP="003B3837">
      <w:pPr>
        <w:pStyle w:val="NormalWeb"/>
        <w:spacing w:line="276" w:lineRule="auto"/>
        <w:jc w:val="both"/>
        <w:rPr>
          <w:color w:val="000000" w:themeColor="text1"/>
          <w:sz w:val="20"/>
          <w:szCs w:val="20"/>
          <w:lang w:val="en-GB"/>
        </w:rPr>
      </w:pPr>
      <w:r w:rsidRPr="00B424FD">
        <w:rPr>
          <w:sz w:val="20"/>
          <w:szCs w:val="20"/>
          <w:lang w:val="en-GB"/>
        </w:rPr>
        <w:t xml:space="preserve">Doxycycline, a tetracycline-class antibiotic, has recently gained renewed interest through its use as post-exposure prophylaxis (doxy-PEP) for preventing syphilis </w:t>
      </w:r>
      <w:r w:rsidRPr="00B424FD">
        <w:rPr>
          <w:sz w:val="20"/>
          <w:szCs w:val="20"/>
          <w:lang w:val="en-GB"/>
        </w:rPr>
        <w:fldChar w:fldCharType="begin"/>
      </w:r>
      <w:r w:rsidRPr="00B424FD">
        <w:rPr>
          <w:sz w:val="20"/>
          <w:szCs w:val="20"/>
          <w:lang w:val="en-GB"/>
        </w:rPr>
        <w:instrText xml:space="preserve"> ADDIN ZOTERO_ITEM CSL_CITATION {"citationID":"4ESW7EN9","properties":{"formattedCitation":"[1]","plainCitation":"[1]","noteIndex":0},"citationItems":[{"id":164,"uris":["http://zotero.org/users/9663344/items/QS5XKHBB"],"itemData":{"id":164,"type":"article-journal","abstract":"This guideline provides evidence-based recommendations for the use of doxycycline post exposure prophylaxis (doxyPEP) for the prevention of syphilis. DoxyPEP should be part of a comprehensive approach to the prevention of STIs, along with condom use, appropriate HIV prevention interventions, vaccination, STI testing, treatment and management, and appropriate risk reduction advice and psychological interventions if indicated.","language":"en","source":"Zotero","title":"UK National Guideline for the Use of Doxycycline Post-Exposure Prophylaxis (DoxyPEP) for the Prevention of Syphilis","author":[{"family":"Saunders","given":"John"},{"family":"Deering","given":"Joseph"},{"family":"Dewsnap","given":"Claire"},{"family":"Drayton","given":"Rachel"},{"family":"Gilmore","given":"John"}]}}],"schema":"https://github.com/citation-style-language/schema/raw/master/csl-citation.json"} </w:instrText>
      </w:r>
      <w:r w:rsidRPr="00B424FD">
        <w:rPr>
          <w:sz w:val="20"/>
          <w:szCs w:val="20"/>
          <w:lang w:val="en-GB"/>
        </w:rPr>
        <w:fldChar w:fldCharType="separate"/>
      </w:r>
      <w:r w:rsidRPr="00B424FD">
        <w:rPr>
          <w:sz w:val="20"/>
          <w:szCs w:val="20"/>
          <w:lang w:val="en-GB"/>
        </w:rPr>
        <w:t>[1]</w:t>
      </w:r>
      <w:r w:rsidRPr="00B424FD">
        <w:rPr>
          <w:sz w:val="20"/>
          <w:szCs w:val="20"/>
          <w:lang w:val="en-GB"/>
        </w:rPr>
        <w:fldChar w:fldCharType="end"/>
      </w:r>
      <w:r w:rsidRPr="00B424FD">
        <w:rPr>
          <w:sz w:val="20"/>
          <w:szCs w:val="20"/>
          <w:lang w:val="en-GB"/>
        </w:rPr>
        <w:t xml:space="preserve">. However, its large-scale deployment has raised concerns regarding potential impacts on antimicrobial resistance (AMR) in </w:t>
      </w:r>
      <w:r w:rsidRPr="00B424FD">
        <w:rPr>
          <w:rStyle w:val="Emphasis"/>
          <w:rFonts w:eastAsiaTheme="majorEastAsia"/>
          <w:sz w:val="20"/>
          <w:szCs w:val="20"/>
          <w:lang w:val="en-GB"/>
        </w:rPr>
        <w:t xml:space="preserve">Neisseria gonorrhoeae </w:t>
      </w:r>
      <w:bookmarkStart w:id="0" w:name="_Hlk211990451"/>
      <w:r w:rsidRPr="00B424FD">
        <w:rPr>
          <w:rStyle w:val="Emphasis"/>
          <w:rFonts w:eastAsiaTheme="majorEastAsia"/>
          <w:i w:val="0"/>
          <w:iCs w:val="0"/>
          <w:sz w:val="20"/>
          <w:szCs w:val="20"/>
          <w:lang w:val="en-GB"/>
        </w:rPr>
        <w:fldChar w:fldCharType="begin"/>
      </w:r>
      <w:r w:rsidR="001E6F22">
        <w:rPr>
          <w:rStyle w:val="Emphasis"/>
          <w:rFonts w:eastAsiaTheme="majorEastAsia"/>
          <w:i w:val="0"/>
          <w:iCs w:val="0"/>
          <w:sz w:val="20"/>
          <w:szCs w:val="20"/>
          <w:lang w:val="en-GB"/>
        </w:rPr>
        <w:instrText xml:space="preserve"> ADDIN ZOTERO_ITEM CSL_CITATION {"citationID":"woIRFdRY","properties":{"unsorted":false,"formattedCitation":"[2], [3], [4], [5], [6]","plainCitation":"[2], [3], [4], [5], [6]","noteIndex":0},"citationItems":[{"id":287,"uris":["http://zotero.org/users/9663344/items/UD4GZWU4"],"itemData":{"id":287,"type":"article-journal","container-title":"The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Santhini"},{"family":"Kenyon","given":"Chris"}],"issued":{"date-parts":[["2025",6,1]]}}},{"id":470,"uris":["http://zotero.org/users/9663344/items/2WCXEUNK"],"itemData":{"id":470,"type":"article-journal","abstract":"There is a striking variation in national doxycycline post exposure prophylaxis (doxyPEP) guidelines for sexually transmitted infections (STIs). Whilst some countries advocate doxyPEP for all men who have sex with men (MSM) and transgender women (TGW) with certain risks, others restrict the use to research settings. In this viewpoint, we argue that part of the explanation for this divergence can be attributed to different underlying conceptual frameworks. For individuals and organizations dominated by biomedical individualist frameworks, the primary goal of STI services is reducing the incidence of STIs. We have good evidence that doxyPEP does this and therefore, particularly in the setting of increasing STI incidence, this framework regards it as logical to roll out doxyPEP as fast as possible. By way of contrast, if organizations and their members operate within an ecosocial framework then their primary goal is the optimization of the sexual and overall health of individuals and populations and not just reducing STI rates. This framework sees the prevalence of STIs as being driven by the connectivity of local sexual networks. Recent increases in STI prevalence are seen as being due to increased network connectivity. The intensive use of antimicrobials such as doxycycline to reduce this prevalence is seen as introducing a selection pressure for the emergence of resistance to tetracyclines and other antimicrobials in N. gonorrhoeae and other species. This plus the other risks of doxyPEP, leads those animated by this framework to tend toward the precautionary principle and restrict the use of doxyPEP to research settings. The differences in these two frameworks thus leads different individuals and organizations with access to the same evidence-base to very different conclusions as to the net risk-benefit of doxyPEP.","container-title":"Frontiers in Microbiology","DOI":"10.3389/fmicb.2025.1616111","ISSN":"1664-302X","journalAbbreviation":"Front. Microbiol.","language":"English","publisher":"Frontiers","source":"Frontiers","title":"Where we stand on doxyPEP depends on where we sit: a viewpoint","title-short":"Where we stand on doxyPEP depends on where we sit","URL":"https://www.frontiersin.org/journals/microbiology/articles/10.3389/fmicb.2025.1616111/full","volume":"16","author":[{"family":"Vanbaelen","given":"Thibaut"},{"family":"Kong","given":"Fabian"},{"family":"Kanesaka","given":"Izumo"},{"family":"Manoharan-Basil","given":"Sheeba Santhini"},{"family":"Kenyon","given":"Chris"}],"accessed":{"date-parts":[["2026",3,20]]},"issued":{"date-parts":[["2025",6,20]]}}},{"id":472,"uris":["http://zotero.org/users/9663344/items/Q2F7VHVP"],"itemData":{"id":472,"type":"article-journal","abstract":"SUMMARY\nNeisseria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Pr="00B424FD">
        <w:rPr>
          <w:rStyle w:val="Emphasis"/>
          <w:rFonts w:eastAsiaTheme="majorEastAsia"/>
          <w:i w:val="0"/>
          <w:iCs w:val="0"/>
          <w:sz w:val="20"/>
          <w:szCs w:val="20"/>
          <w:lang w:val="en-GB"/>
        </w:rPr>
        <w:fldChar w:fldCharType="separate"/>
      </w:r>
      <w:r w:rsidR="001E6F22">
        <w:rPr>
          <w:rStyle w:val="Emphasis"/>
          <w:rFonts w:eastAsiaTheme="majorEastAsia"/>
          <w:i w:val="0"/>
          <w:iCs w:val="0"/>
          <w:sz w:val="20"/>
          <w:szCs w:val="20"/>
          <w:lang w:val="en-GB"/>
        </w:rPr>
        <w:t>[2], [3], [4], [5], [6]</w:t>
      </w:r>
      <w:r w:rsidRPr="00B424FD">
        <w:rPr>
          <w:rStyle w:val="Emphasis"/>
          <w:rFonts w:eastAsiaTheme="majorEastAsia"/>
          <w:i w:val="0"/>
          <w:iCs w:val="0"/>
          <w:sz w:val="20"/>
          <w:szCs w:val="20"/>
          <w:lang w:val="en-GB"/>
        </w:rPr>
        <w:fldChar w:fldCharType="end"/>
      </w:r>
      <w:bookmarkEnd w:id="0"/>
      <w:r w:rsidR="009D5228" w:rsidRPr="00B424FD">
        <w:rPr>
          <w:rStyle w:val="Emphasis"/>
          <w:rFonts w:eastAsiaTheme="majorEastAsia"/>
          <w:i w:val="0"/>
          <w:iCs w:val="0"/>
          <w:sz w:val="20"/>
          <w:szCs w:val="20"/>
          <w:lang w:val="en-GB"/>
        </w:rPr>
        <w:t xml:space="preserve">. </w:t>
      </w:r>
      <w:r w:rsidRPr="00B424FD">
        <w:rPr>
          <w:sz w:val="20"/>
          <w:szCs w:val="20"/>
          <w:lang w:val="en-GB"/>
        </w:rPr>
        <w:t xml:space="preserve">Resistance to doxycycline </w:t>
      </w:r>
      <w:r w:rsidR="001E6F22">
        <w:rPr>
          <w:sz w:val="20"/>
          <w:szCs w:val="20"/>
          <w:lang w:val="en-GB"/>
        </w:rPr>
        <w:fldChar w:fldCharType="begin"/>
      </w:r>
      <w:r w:rsidR="001E6F22">
        <w:rPr>
          <w:sz w:val="20"/>
          <w:szCs w:val="20"/>
          <w:lang w:val="en-GB"/>
        </w:rPr>
        <w:instrText xml:space="preserve"> ADDIN ZOTERO_ITEM CSL_CITATION {"citationID":"buEkEJLL","properties":{"unsorted":false,"formattedCitation":"[7], [8]","plainCitation":"[7], [8]","noteIndex":0},"citationItems":[{"id":475,"uris":["http://zotero.org/users/9663344/items/2EHRYBX2"],"itemData":{"id":475,"type":"article-journal","abstract":"BACKGROUND: Antimicrobial resistance in Neisseria gonorrhoeae is a global public health concern. Tetracycline resistance (TetR) increased from 39.4% to 75.2% between 2016 and 2021 in N. gonorrhoeae isolates collected through national surveillance in England, despite the absence of use of tetracyclines for the treatment of gonorrhoea.\nOBJECTIVES: We investigated whether there was correlation between bacterial sexually transmitted infection (STI) tests performed and treatment with antimicrobials, with increased TetR in N. gonorrhoeae.\nMETHODS: We examined correlations between bacterial STI tests, antimicrobial treatment and TetR in N. gonorrhoeae, using national surveillance data from three large sexual health services (SHS) in London during 2016-20. Doxycycline prescribing data and antibiograms of a non-STI pathogen from distinct patient groups (sexual health, obstetric and paediatric), at a large London hospital, were analysed to identify if doxycycline use in SHS was associated with resistance in a non-STI organism.\nRESULTS: A substantial increase in TetR was observed, particularly in isolates from gay, bisexual and other MSM (GBMSM). Strong positive correlations were observed exclusively in GBMSM between N. gonorrhoeae TetR and both bacterial STI tests (r = 0.97, P = 0.01) and antimicrobial treatment (r = 0.87, P = 0.05). Doxycycline prescribing increased dramatically during the study period in SHS. Prevalence of TetR in Staphylococcus aureus was higher in isolates sourced from SHS attendees than those from other settings.\nCONCLUSIONS: Frequent screening of GBMSM at higher risk of STIs, such as those on pre-exposure prophylaxis (PrEP) leading to/and increased use of doxycycline for the treatment of diagnosed infections, may account for the increase in TetR in N. gonorrhoeae.","container-title":"The Journal of Antimicrobial Chemotherapy","DOI":"10.1093/jac/dkae073","ISSN":"1460-2091","issue":"5","journalAbbreviation":"J Antimicrob Chemother","language":"eng","page":"1060-1068","PMID":"38517444","PMCID":"PMC11062939","source":"PubMed","title":"Investigating the cause of increased tetracycline-resistant Neisseria gonorrhoeae in England, 2016-20","volume":"79","author":[{"family":"Pitt-Kendall","given":"Rachel"},{"family":"Sun","given":"Suzy"},{"family":"Hughes","given":"Stephen"},{"family":"Merrick","given":"Rachel"},{"family":"Donaldson","given":"Hugo"},{"family":"Rayment","given":"Michael"},{"family":"Ivanov","given":"Zdravko"},{"family":"Day","given":"Michaela"},{"family":"Bari","given":"Aisha"},{"family":"Rebec","given":"Monica"},{"family":"Callan","given":"Emma"},{"family":"Mohammed","given":"Hamish"},{"family":"Sinka","given":"Katy"},{"family":"Cole","given":"Michelle"},{"family":"Fifer","given":"Helen"}],"issued":{"date-parts":[["2024",5,2]]}}},{"id":478,"uris":["http://zotero.org/users/9663344/items/WAJP2GXP"],"itemData":{"id":478,"type":"article-journal","abstract":"Doxycycline post-exposure prophylaxis (doxy-PEP) is a strategy to reduce bacterial sexually transmitted infections. However, the impact of doxy-PEP on resistance emergence is as of yet unclear. Commensal Neisseria are known reservoirs of resistance for gonococci through horizontal gene transfer (HGT), and are more likely to experience bystander selection from doxy-PEP as they are universally carried. The consequences of doxycycline selection on commensal Neisseria will be critical to investigate to understand possible resistance mechanisms that may be transferred to an important human pathogen. Here, collection of commensals from human hosts demonstrated 46% of isolates carry doxycycline resistance; and doxycycline resistance was significantly greater in participants self-reporting doxycycline use in the past 6 months. High-level doxycycline resistance (&gt; 8 µg/mL) was always associated with the ribosomal protection protein (tetM) and pConj. In vitro selection of Neisseria commensals (N. cinerea, N. canis, N. elongata, and N. subflava) resulted in 12 of 16 lineages evolving doxycycline resistance (&gt; 1 µg/mL). An A46T substitution in the repressor of the Mtr efflux pump (MtrR) and a V57M substitution in the 30 ribosomal protein S10 were associated with elevated MICs. Mutations in ribosomal components also emerged (i.e., 16 S rRNA G1057C, RplX A14T). We find the MtrR 46T, RpsJ 57M, and RplX 14T in natural commensal populations. In vitro co-evolution of N. gonorrhoeae with Neisseria commensals demonstrated rapid transfer of the pConj plasmid to N. subflava and N. cinerea, and pbla to N. cinerea. This work underscores the importance of commensal Neisseria as reservoirs of doxycycline resistance, and demonstrates a link between doxycycline use and the emergence of resistance. Though novel chromosomal resistance mutations are nominated herein, resistance emergence in natural commensal populations appears to be mainly associated with acquisition of the tetM gene. A secondary danger to pConj acquisition, is spread of pbla and β-lactam resistance, which we demonstrate here in vitro. Ultimately, characterizing the contemporary prevalence of doxycycline resistance, and underlying resistance mechanisms, in commensal communities may help us to predict the long-term impact of doxy-PEP on Neisseria, and the likelihood of transferring resistance across species' boundaries.","container-title":"Scientific Reports","DOI":"10.1038/s41598-025-96244-8","ISSN":"2045-2322","issue":"1","journalAbbreviation":"Sci Rep","language":"eng","page":"12400","PMID":"40216901","PMCID":"PMC11992145","source":"PubMed","title":"Revisiting the potential impact of doxycycline post-exposure prophylaxis on the selection of doxycycline resistance in Neisseria commensals","volume":"15","author":[{"family":"Robinson","given":"Leah R."},{"family":"McDevitt","given":"Caroline J."},{"family":"Regan","given":"Molly R."},{"family":"Quail","given":"Sophie L."},{"family":"Swartz","given":"Makenna"},{"family":"Wadsworth","given":"Crista B."}],"issued":{"date-parts":[["2025",4,11]]}}}],"schema":"https://github.com/citation-style-language/schema/raw/master/csl-citation.json"} </w:instrText>
      </w:r>
      <w:r w:rsidR="001E6F22">
        <w:rPr>
          <w:sz w:val="20"/>
          <w:szCs w:val="20"/>
          <w:lang w:val="en-GB"/>
        </w:rPr>
        <w:fldChar w:fldCharType="separate"/>
      </w:r>
      <w:r w:rsidR="001E6F22">
        <w:rPr>
          <w:noProof/>
          <w:sz w:val="20"/>
          <w:szCs w:val="20"/>
          <w:lang w:val="en-GB"/>
        </w:rPr>
        <w:t>[7], [8]</w:t>
      </w:r>
      <w:r w:rsidR="001E6F22">
        <w:rPr>
          <w:sz w:val="20"/>
          <w:szCs w:val="20"/>
          <w:lang w:val="en-GB"/>
        </w:rPr>
        <w:fldChar w:fldCharType="end"/>
      </w:r>
      <w:r w:rsidR="001E6F22">
        <w:rPr>
          <w:sz w:val="20"/>
          <w:szCs w:val="20"/>
          <w:lang w:val="en-GB"/>
        </w:rPr>
        <w:t xml:space="preserve"> </w:t>
      </w:r>
      <w:r w:rsidRPr="00B424FD">
        <w:rPr>
          <w:sz w:val="20"/>
          <w:szCs w:val="20"/>
          <w:lang w:val="en-GB"/>
        </w:rPr>
        <w:t>and extended-spectrum cephalosporins (ESCs), such as ceftriaxone (i.e., the current first-line and last-</w:t>
      </w:r>
      <w:r w:rsidR="0015330D" w:rsidRPr="00B424FD">
        <w:rPr>
          <w:sz w:val="20"/>
          <w:szCs w:val="20"/>
          <w:lang w:val="en-GB"/>
        </w:rPr>
        <w:t>line</w:t>
      </w:r>
      <w:r w:rsidRPr="00B424FD">
        <w:rPr>
          <w:sz w:val="20"/>
          <w:szCs w:val="20"/>
          <w:lang w:val="en-GB"/>
        </w:rPr>
        <w:t xml:space="preserve"> antibiotic for gonorrhoea</w:t>
      </w:r>
      <w:r w:rsidR="00F729B0" w:rsidRPr="00B424FD">
        <w:rPr>
          <w:rStyle w:val="FootnoteReference"/>
          <w:sz w:val="20"/>
          <w:szCs w:val="20"/>
          <w:lang w:val="en-GB"/>
        </w:rPr>
        <w:footnoteReference w:id="1"/>
      </w:r>
      <w:r w:rsidRPr="00B424FD">
        <w:rPr>
          <w:sz w:val="20"/>
          <w:szCs w:val="20"/>
          <w:lang w:val="en-GB"/>
        </w:rPr>
        <w:t>)</w:t>
      </w:r>
      <w:r w:rsidR="00804703" w:rsidRPr="00B424FD">
        <w:rPr>
          <w:sz w:val="20"/>
          <w:szCs w:val="20"/>
          <w:lang w:val="en-GB"/>
        </w:rPr>
        <w:t xml:space="preserve"> </w:t>
      </w:r>
      <w:r w:rsidR="00804703" w:rsidRPr="00B424FD">
        <w:rPr>
          <w:sz w:val="20"/>
          <w:szCs w:val="20"/>
          <w:lang w:val="en-GB"/>
        </w:rPr>
        <w:fldChar w:fldCharType="begin"/>
      </w:r>
      <w:r w:rsidR="001E6F22">
        <w:rPr>
          <w:sz w:val="20"/>
          <w:szCs w:val="20"/>
          <w:lang w:val="en-GB"/>
        </w:rPr>
        <w:instrText xml:space="preserve"> ADDIN ZOTERO_ITEM CSL_CITATION {"citationID":"XAYBGUMV","properties":{"formattedCitation":"[11]","plainCitation":"[11]","noteIndex":0},"citationItems":[{"id":420,"uris":["http://zotero.org/users/9663344/items/ZQGG9PCA"],"itemData":{"id":420,"type":"webpage","container-title":"UK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00804703" w:rsidRPr="00B424FD">
        <w:rPr>
          <w:sz w:val="20"/>
          <w:szCs w:val="20"/>
          <w:lang w:val="en-GB"/>
        </w:rPr>
        <w:fldChar w:fldCharType="separate"/>
      </w:r>
      <w:r w:rsidR="001E6F22">
        <w:rPr>
          <w:sz w:val="20"/>
          <w:szCs w:val="20"/>
          <w:lang w:val="en-GB"/>
        </w:rPr>
        <w:t>[11]</w:t>
      </w:r>
      <w:r w:rsidR="00804703" w:rsidRPr="00B424FD">
        <w:rPr>
          <w:sz w:val="20"/>
          <w:szCs w:val="20"/>
          <w:lang w:val="en-GB"/>
        </w:rPr>
        <w:fldChar w:fldCharType="end"/>
      </w:r>
      <w:r w:rsidRPr="00B424FD">
        <w:rPr>
          <w:sz w:val="20"/>
          <w:szCs w:val="20"/>
          <w:lang w:val="en-GB"/>
        </w:rPr>
        <w:t xml:space="preserve">, arises through distinct genetic mechanisms but can become linked via co-selection </w:t>
      </w:r>
      <w:r w:rsidRPr="00B424FD">
        <w:rPr>
          <w:color w:val="000000" w:themeColor="text1"/>
          <w:sz w:val="20"/>
          <w:szCs w:val="20"/>
          <w:lang w:val="en-GB"/>
        </w:rPr>
        <w:fldChar w:fldCharType="begin"/>
      </w:r>
      <w:r w:rsidR="00756FF7" w:rsidRPr="00B424FD">
        <w:rPr>
          <w:color w:val="000000" w:themeColor="text1"/>
          <w:sz w:val="20"/>
          <w:szCs w:val="20"/>
          <w:lang w:val="en-GB"/>
        </w:rPr>
        <w:instrText xml:space="preserve"> ADDIN ZOTERO_ITEM CSL_CITATION {"citationID":"2DnFBZrL","properties":{"unsorted":false,"formattedCitation":"[2], [4]","plainCitation":"[2], [4]","noteIndex":0},"citationItems":[{"id":287,"uris":["http://zotero.org/users/9663344/items/UD4GZWU4"],"itemData":{"id":287,"type":"article-journal","container-title":"The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Santhini"},{"family":"Kenyon","given":"Chris"}],"issued":{"date-parts":[["2025",6,1]]}}}],"schema":"https://github.com/citation-style-language/schema/raw/master/csl-citation.json"} </w:instrText>
      </w:r>
      <w:r w:rsidRPr="00B424FD">
        <w:rPr>
          <w:color w:val="000000" w:themeColor="text1"/>
          <w:sz w:val="20"/>
          <w:szCs w:val="20"/>
          <w:lang w:val="en-GB"/>
        </w:rPr>
        <w:fldChar w:fldCharType="separate"/>
      </w:r>
      <w:r w:rsidR="00756FF7" w:rsidRPr="00B424FD">
        <w:rPr>
          <w:color w:val="000000" w:themeColor="text1"/>
          <w:sz w:val="20"/>
          <w:szCs w:val="20"/>
          <w:lang w:val="en-GB"/>
        </w:rPr>
        <w:t>[2], [4]</w:t>
      </w:r>
      <w:r w:rsidRPr="00B424FD">
        <w:rPr>
          <w:color w:val="000000" w:themeColor="text1"/>
          <w:sz w:val="20"/>
          <w:szCs w:val="20"/>
          <w:lang w:val="en-GB"/>
        </w:rPr>
        <w:fldChar w:fldCharType="end"/>
      </w:r>
      <w:r w:rsidR="009D5228" w:rsidRPr="00B424FD">
        <w:rPr>
          <w:color w:val="000000" w:themeColor="text1"/>
          <w:sz w:val="20"/>
          <w:szCs w:val="20"/>
          <w:lang w:val="en-GB"/>
        </w:rPr>
        <w:t xml:space="preserve">. </w:t>
      </w:r>
      <w:r w:rsidR="009D5228" w:rsidRPr="00B424FD">
        <w:rPr>
          <w:sz w:val="20"/>
          <w:szCs w:val="20"/>
          <w:lang w:val="en-GB"/>
        </w:rPr>
        <w:t xml:space="preserve">Notably, ceftriaxone-resistant multidrug-resistant </w:t>
      </w:r>
      <w:r w:rsidR="009D5228" w:rsidRPr="00B424FD">
        <w:rPr>
          <w:rStyle w:val="Emphasis"/>
          <w:rFonts w:eastAsiaTheme="majorEastAsia"/>
          <w:sz w:val="20"/>
          <w:szCs w:val="20"/>
          <w:lang w:val="en-GB"/>
        </w:rPr>
        <w:t>Neisseria gonorrhoeae</w:t>
      </w:r>
      <w:r w:rsidR="009D5228" w:rsidRPr="00B424FD">
        <w:rPr>
          <w:sz w:val="20"/>
          <w:szCs w:val="20"/>
          <w:lang w:val="en-GB"/>
        </w:rPr>
        <w:t xml:space="preserve"> strains have already been detected in Singapore </w:t>
      </w:r>
      <w:r w:rsidR="009D5228" w:rsidRPr="00B424FD">
        <w:rPr>
          <w:sz w:val="20"/>
          <w:szCs w:val="20"/>
          <w:lang w:val="en-GB"/>
        </w:rPr>
        <w:fldChar w:fldCharType="begin"/>
      </w:r>
      <w:r w:rsidR="001E6F22">
        <w:rPr>
          <w:sz w:val="20"/>
          <w:szCs w:val="20"/>
          <w:lang w:val="en-GB"/>
        </w:rPr>
        <w:instrText xml:space="preserve"> ADDIN ZOTERO_ITEM CSL_CITATION {"citationID":"r51sHfS3","properties":{"formattedCitation":"[12]","plainCitation":"[12]","noteIndex":0},"citationItems":[{"id":432,"uris":["http://zotero.org/users/9663344/items/BNCYHYJV"],"itemData":{"id":432,"type":"article-journal","container-title":"Antimicrobial Agents and Chemotherapy","DOI":"10.1128/AAC.02624-18","ISSN":"0066-4804","issue":"5","journalAbbreviation":"Antimicrob Agents Chemother","page":"e02624-18","PMID":"30858209","PMCID":"PMC6496044","source":"PubMed Central","title":"First Case of Ceftriaxone-Resistant Multidrug-Resistant Neisseria gonorrhoeae in Singapore","volume":"63","author":[{"family":"Ko","given":"Karrie Kwan Ki"},{"family":"Chio","given":"Martin T. W."},{"family":"Goh","given":"Sui Sin"},{"family":"Tan","given":"Ai Ling"},{"family":"Koh","given":"Tse Hsien"},{"family":"Abdul Rahman","given":"Nurdyana Binte"}],"issued":{"date-parts":[["2019",4,25]]}}}],"schema":"https://github.com/citation-style-language/schema/raw/master/csl-citation.json"} </w:instrText>
      </w:r>
      <w:r w:rsidR="009D5228" w:rsidRPr="00B424FD">
        <w:rPr>
          <w:sz w:val="20"/>
          <w:szCs w:val="20"/>
          <w:lang w:val="en-GB"/>
        </w:rPr>
        <w:fldChar w:fldCharType="separate"/>
      </w:r>
      <w:r w:rsidR="001E6F22">
        <w:rPr>
          <w:sz w:val="20"/>
          <w:szCs w:val="20"/>
          <w:lang w:val="en-GB"/>
        </w:rPr>
        <w:t>[12]</w:t>
      </w:r>
      <w:r w:rsidR="009D5228" w:rsidRPr="00B424FD">
        <w:rPr>
          <w:sz w:val="20"/>
          <w:szCs w:val="20"/>
          <w:lang w:val="en-GB"/>
        </w:rPr>
        <w:fldChar w:fldCharType="end"/>
      </w:r>
      <w:r w:rsidR="009D5228" w:rsidRPr="00B424FD">
        <w:rPr>
          <w:sz w:val="20"/>
          <w:szCs w:val="20"/>
          <w:lang w:val="en-GB"/>
        </w:rPr>
        <w:t>.</w:t>
      </w:r>
    </w:p>
    <w:p w14:paraId="0C3010C3" w14:textId="61333917" w:rsidR="00276DCE" w:rsidRPr="00474003" w:rsidRDefault="00276DCE" w:rsidP="003B3837">
      <w:pPr>
        <w:pStyle w:val="NormalWeb"/>
        <w:spacing w:line="276" w:lineRule="auto"/>
        <w:jc w:val="both"/>
        <w:rPr>
          <w:sz w:val="20"/>
          <w:szCs w:val="20"/>
          <w:lang w:val="en-GB"/>
        </w:rPr>
      </w:pPr>
      <w:r w:rsidRPr="00B424FD">
        <w:rPr>
          <w:sz w:val="20"/>
          <w:szCs w:val="20"/>
          <w:lang w:val="en-GB"/>
        </w:rPr>
        <w:t>For gonorrhoea, tetracycline resistance (</w:t>
      </w:r>
      <w:proofErr w:type="spellStart"/>
      <w:r w:rsidRPr="00B424FD">
        <w:rPr>
          <w:sz w:val="20"/>
          <w:szCs w:val="20"/>
          <w:lang w:val="en-GB"/>
        </w:rPr>
        <w:t>tetR</w:t>
      </w:r>
      <w:proofErr w:type="spellEnd"/>
      <w:r w:rsidRPr="00B424FD">
        <w:rPr>
          <w:sz w:val="20"/>
          <w:szCs w:val="20"/>
          <w:lang w:val="en-GB"/>
        </w:rPr>
        <w:t xml:space="preserve">) commonly results from plasmid-borne </w:t>
      </w:r>
      <w:proofErr w:type="spellStart"/>
      <w:r w:rsidRPr="00B424FD">
        <w:rPr>
          <w:rStyle w:val="Emphasis"/>
          <w:rFonts w:eastAsiaTheme="majorEastAsia"/>
          <w:sz w:val="20"/>
          <w:szCs w:val="20"/>
          <w:lang w:val="en-GB"/>
        </w:rPr>
        <w:t>tetM</w:t>
      </w:r>
      <w:proofErr w:type="spellEnd"/>
      <w:r w:rsidRPr="00B424FD">
        <w:rPr>
          <w:sz w:val="20"/>
          <w:szCs w:val="20"/>
          <w:lang w:val="en-GB"/>
        </w:rPr>
        <w:t xml:space="preserve"> genes, which confer high-level resistance, or from chromosomal mutations in loci such as </w:t>
      </w:r>
      <w:proofErr w:type="spellStart"/>
      <w:r w:rsidRPr="00B424FD">
        <w:rPr>
          <w:rStyle w:val="Emphasis"/>
          <w:rFonts w:eastAsiaTheme="majorEastAsia"/>
          <w:sz w:val="20"/>
          <w:szCs w:val="20"/>
          <w:lang w:val="en-GB"/>
        </w:rPr>
        <w:t>rpsJ</w:t>
      </w:r>
      <w:proofErr w:type="spellEnd"/>
      <w:r w:rsidRPr="00B424FD">
        <w:rPr>
          <w:sz w:val="20"/>
          <w:szCs w:val="20"/>
          <w:lang w:val="en-GB"/>
        </w:rPr>
        <w:t xml:space="preserve">, </w:t>
      </w:r>
      <w:proofErr w:type="spellStart"/>
      <w:r w:rsidRPr="00B424FD">
        <w:rPr>
          <w:rStyle w:val="Emphasis"/>
          <w:rFonts w:eastAsiaTheme="majorEastAsia"/>
          <w:sz w:val="20"/>
          <w:szCs w:val="20"/>
          <w:lang w:val="en-GB"/>
        </w:rPr>
        <w:t>mtrR</w:t>
      </w:r>
      <w:proofErr w:type="spellEnd"/>
      <w:r w:rsidRPr="00B424FD">
        <w:rPr>
          <w:sz w:val="20"/>
          <w:szCs w:val="20"/>
          <w:lang w:val="en-GB"/>
        </w:rPr>
        <w:t xml:space="preserve">, and </w:t>
      </w:r>
      <w:proofErr w:type="spellStart"/>
      <w:r w:rsidRPr="00B424FD">
        <w:rPr>
          <w:rStyle w:val="Emphasis"/>
          <w:rFonts w:eastAsiaTheme="majorEastAsia"/>
          <w:sz w:val="20"/>
          <w:szCs w:val="20"/>
          <w:lang w:val="en-GB"/>
        </w:rPr>
        <w:t>porB</w:t>
      </w:r>
      <w:proofErr w:type="spellEnd"/>
      <w:r w:rsidRPr="00B424FD">
        <w:rPr>
          <w:sz w:val="20"/>
          <w:szCs w:val="20"/>
          <w:lang w:val="en-GB"/>
        </w:rPr>
        <w:t>. In contrast, ceftriaxone resistance (</w:t>
      </w:r>
      <w:proofErr w:type="spellStart"/>
      <w:r w:rsidRPr="00B424FD">
        <w:rPr>
          <w:sz w:val="20"/>
          <w:szCs w:val="20"/>
          <w:lang w:val="en-GB"/>
        </w:rPr>
        <w:t>cefR</w:t>
      </w:r>
      <w:proofErr w:type="spellEnd"/>
      <w:r w:rsidRPr="00B424FD">
        <w:rPr>
          <w:sz w:val="20"/>
          <w:szCs w:val="20"/>
          <w:lang w:val="en-GB"/>
        </w:rPr>
        <w:t xml:space="preserve">) typically involves mosaic </w:t>
      </w:r>
      <w:proofErr w:type="spellStart"/>
      <w:r w:rsidRPr="00B424FD">
        <w:rPr>
          <w:rStyle w:val="Emphasis"/>
          <w:rFonts w:eastAsiaTheme="majorEastAsia"/>
          <w:sz w:val="20"/>
          <w:szCs w:val="20"/>
          <w:lang w:val="en-GB"/>
        </w:rPr>
        <w:t>penA</w:t>
      </w:r>
      <w:proofErr w:type="spellEnd"/>
      <w:r w:rsidRPr="00B424FD">
        <w:rPr>
          <w:sz w:val="20"/>
          <w:szCs w:val="20"/>
          <w:lang w:val="en-GB"/>
        </w:rPr>
        <w:t xml:space="preserve"> alleles in combination with mutations in </w:t>
      </w:r>
      <w:proofErr w:type="spellStart"/>
      <w:r w:rsidRPr="00B424FD">
        <w:rPr>
          <w:rStyle w:val="Emphasis"/>
          <w:rFonts w:eastAsiaTheme="majorEastAsia"/>
          <w:sz w:val="20"/>
          <w:szCs w:val="20"/>
          <w:lang w:val="en-GB"/>
        </w:rPr>
        <w:t>mtrR</w:t>
      </w:r>
      <w:proofErr w:type="spellEnd"/>
      <w:r w:rsidRPr="00B424FD">
        <w:rPr>
          <w:sz w:val="20"/>
          <w:szCs w:val="20"/>
          <w:lang w:val="en-GB"/>
        </w:rPr>
        <w:t xml:space="preserve">, </w:t>
      </w:r>
      <w:proofErr w:type="spellStart"/>
      <w:r w:rsidRPr="00B424FD">
        <w:rPr>
          <w:rStyle w:val="Emphasis"/>
          <w:rFonts w:eastAsiaTheme="majorEastAsia"/>
          <w:sz w:val="20"/>
          <w:szCs w:val="20"/>
          <w:lang w:val="en-GB"/>
        </w:rPr>
        <w:t>porB</w:t>
      </w:r>
      <w:proofErr w:type="spellEnd"/>
      <w:r w:rsidRPr="00B424FD">
        <w:rPr>
          <w:sz w:val="20"/>
          <w:szCs w:val="20"/>
          <w:lang w:val="en-GB"/>
        </w:rPr>
        <w:t xml:space="preserve">, and other chromosomal sites. Although doxycycline resistance does not inherently confer ceftriaxone resistance, a strong genetic association between the two </w:t>
      </w:r>
      <w:r w:rsidRPr="00B424FD">
        <w:rPr>
          <w:color w:val="000000" w:themeColor="text1"/>
          <w:sz w:val="20"/>
          <w:szCs w:val="20"/>
          <w:lang w:val="en-GB"/>
        </w:rPr>
        <w:fldChar w:fldCharType="begin"/>
      </w:r>
      <w:r w:rsidR="001E6F22">
        <w:rPr>
          <w:color w:val="000000" w:themeColor="text1"/>
          <w:sz w:val="20"/>
          <w:szCs w:val="20"/>
          <w:lang w:val="en-GB"/>
        </w:rPr>
        <w:instrText xml:space="preserve"> ADDIN ZOTERO_ITEM CSL_CITATION {"citationID":"LPtE5kO1","properties":{"unsorted":false,"formattedCitation":"[2], [4], [13]","plainCitation":"[2], [4], [13]","noteIndex":0},"citationItems":[{"id":287,"uris":["http://zotero.org/users/9663344/items/UD4GZWU4"],"itemData":{"id":287,"type":"article-journal","container-title":"The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Santhini"},{"family":"Kenyon","given":"Chris"}],"issued":{"date-parts":[["2025",6,1]]}}},{"id":290,"uris":["http://zotero.org/users/9663344/items/I4BXMZGA"],"itemData":{"id":290,"type":"article-journal","abstract":"To the Editor Traeger et al have conducted a timely analysis of the real-world efficacy of doxycycline postexposure prophylaxis (doxyPEP) in reducing the incidence of bacterial sexually transmitted infections (STIs) in persons taking HIV preexposure prophylaxis. Their retrospective cohort analysis found that doxyPEP was associated with declines in quarterly chlamydia, gonorrhea, and syphilis positivity of 79%, 80%, and 12%, respectively. They concluded that “doxyPEP may offer substantial benefits for reducing population-level STI transmission with broader implementation.”We would like to temper this enthusiasm by noting the risk these results pose to antimicrobial resistance when considering the population perspective. Numerous analyses have confirmed that typical populations that take HIV preexposure prophylaxis have dense sexual networks that generate gonococcal equilibrium prevalence of around 10%. If antimicrobials such as doxycycline are used to reduce this prevalence, then this generates a selection pressure for the gonococci to acquire resistance to this antimicrobial. Because of the strong genetic association between resistance to doxycycline and extended-spectrum cephalosporins (ESCs) in Neisseria gonorrhoeae, widespread use of doxycycline could co-select for ESC resistance. Because ceftriaxone is the first-line treatment of gonorrhea and there are few, if any, viable alternatives to replace it, the consequences could be disastrous. Recent data from the DoxyVac study demonstrated that doxyPEP selected for reduced susceptibility to both doxycycline and ESCs in N gonorrhoeae.","container-title":"JAMA Internal Medicine","DOI":"10.1001/jamainternmed.2025.0984","ISSN":"2168-6106","issue":"8","journalAbbreviation":"JAMA Intern Med","page":"1051","source":"Silverchair","title":"Doxycycline Postexposure Prophylaxis Could Accelerate the Emergence of Gonococcal Ceftriaxone Resistance","volume":"185","author":[{"family":"Kenyon","given":"Chris"}],"issued":{"date-parts":[["2025",8,1]]}}}],"schema":"https://github.com/citation-style-language/schema/raw/master/csl-citation.json"} </w:instrText>
      </w:r>
      <w:r w:rsidRPr="00B424FD">
        <w:rPr>
          <w:color w:val="000000" w:themeColor="text1"/>
          <w:sz w:val="20"/>
          <w:szCs w:val="20"/>
          <w:lang w:val="en-GB"/>
        </w:rPr>
        <w:fldChar w:fldCharType="separate"/>
      </w:r>
      <w:r w:rsidR="001E6F22">
        <w:rPr>
          <w:color w:val="000000" w:themeColor="text1"/>
          <w:sz w:val="20"/>
          <w:szCs w:val="20"/>
          <w:lang w:val="en-GB"/>
        </w:rPr>
        <w:t>[2], [4], [13]</w:t>
      </w:r>
      <w:r w:rsidRPr="00B424FD">
        <w:rPr>
          <w:color w:val="000000" w:themeColor="text1"/>
          <w:sz w:val="20"/>
          <w:szCs w:val="20"/>
          <w:lang w:val="en-GB"/>
        </w:rPr>
        <w:fldChar w:fldCharType="end"/>
      </w:r>
      <w:r w:rsidRPr="00B424FD">
        <w:rPr>
          <w:color w:val="000000" w:themeColor="text1"/>
          <w:sz w:val="20"/>
          <w:szCs w:val="20"/>
          <w:lang w:val="en-GB"/>
        </w:rPr>
        <w:t xml:space="preserve"> </w:t>
      </w:r>
      <w:r w:rsidRPr="00B424FD">
        <w:rPr>
          <w:sz w:val="20"/>
          <w:szCs w:val="20"/>
          <w:lang w:val="en-GB"/>
        </w:rPr>
        <w:t xml:space="preserve">suggests that widespread doxycycline use, such as through doxy-PEP for syphilis, could expand the reservoir of tetracycline-resistant </w:t>
      </w:r>
      <w:r w:rsidRPr="00B424FD">
        <w:rPr>
          <w:rStyle w:val="Emphasis"/>
          <w:rFonts w:eastAsiaTheme="majorEastAsia"/>
          <w:sz w:val="20"/>
          <w:szCs w:val="20"/>
          <w:lang w:val="en-GB"/>
        </w:rPr>
        <w:t>N. gonorrhoeae</w:t>
      </w:r>
      <w:r w:rsidRPr="00B424FD">
        <w:rPr>
          <w:sz w:val="20"/>
          <w:szCs w:val="20"/>
          <w:lang w:val="en-GB"/>
        </w:rPr>
        <w:t xml:space="preserve"> strains </w:t>
      </w:r>
      <w:r w:rsidRPr="00B424FD">
        <w:rPr>
          <w:color w:val="000000" w:themeColor="text1"/>
          <w:sz w:val="20"/>
          <w:szCs w:val="20"/>
          <w:lang w:val="en-GB"/>
        </w:rPr>
        <w:fldChar w:fldCharType="begin"/>
      </w:r>
      <w:r w:rsidR="00756FF7" w:rsidRPr="00B424FD">
        <w:rPr>
          <w:color w:val="000000" w:themeColor="text1"/>
          <w:sz w:val="20"/>
          <w:szCs w:val="20"/>
          <w:lang w:val="en-GB"/>
        </w:rPr>
        <w:instrText xml:space="preserve"> ADDIN ZOTERO_ITEM CSL_CITATION {"citationID":"pWXIJwpH","properties":{"formattedCitation":"[3]","plainCitation":"[3]","noteIndex":0},"citationItems":[{"id":292,"uris":["http://zotero.org/users/9663344/items/Z8FGKHK2"],"itemData":{"id":292,"type":"article-journal","container-title":"The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J."}],"accessed":{"date-parts":[["2025",9,9]]},"issued":{"date-parts":[["2025",8,22]]}}}],"schema":"https://github.com/citation-style-language/schema/raw/master/csl-citation.json"} </w:instrText>
      </w:r>
      <w:r w:rsidRPr="00B424FD">
        <w:rPr>
          <w:color w:val="000000" w:themeColor="text1"/>
          <w:sz w:val="20"/>
          <w:szCs w:val="20"/>
          <w:lang w:val="en-GB"/>
        </w:rPr>
        <w:fldChar w:fldCharType="separate"/>
      </w:r>
      <w:r w:rsidRPr="00B424FD">
        <w:rPr>
          <w:color w:val="000000" w:themeColor="text1"/>
          <w:sz w:val="20"/>
          <w:szCs w:val="20"/>
          <w:lang w:val="en-GB"/>
        </w:rPr>
        <w:t>[3]</w:t>
      </w:r>
      <w:r w:rsidRPr="00B424FD">
        <w:rPr>
          <w:color w:val="000000" w:themeColor="text1"/>
          <w:sz w:val="20"/>
          <w:szCs w:val="20"/>
          <w:lang w:val="en-GB"/>
        </w:rPr>
        <w:fldChar w:fldCharType="end"/>
      </w:r>
      <w:r w:rsidRPr="00B424FD">
        <w:rPr>
          <w:sz w:val="20"/>
          <w:szCs w:val="20"/>
          <w:lang w:val="en-GB"/>
        </w:rPr>
        <w:t xml:space="preserve">. This enlarged pool increases the likelihood that </w:t>
      </w:r>
      <w:proofErr w:type="spellStart"/>
      <w:r w:rsidRPr="00B424FD">
        <w:rPr>
          <w:sz w:val="20"/>
          <w:szCs w:val="20"/>
          <w:lang w:val="en-GB"/>
        </w:rPr>
        <w:t>cefR</w:t>
      </w:r>
      <w:proofErr w:type="spellEnd"/>
      <w:r w:rsidRPr="00B424FD">
        <w:rPr>
          <w:sz w:val="20"/>
          <w:szCs w:val="20"/>
          <w:lang w:val="en-GB"/>
        </w:rPr>
        <w:t xml:space="preserve"> mutations will arise within the </w:t>
      </w:r>
      <w:proofErr w:type="spellStart"/>
      <w:r w:rsidRPr="00B424FD">
        <w:rPr>
          <w:sz w:val="20"/>
          <w:szCs w:val="20"/>
          <w:lang w:val="en-GB"/>
        </w:rPr>
        <w:t>tetR</w:t>
      </w:r>
      <w:proofErr w:type="spellEnd"/>
      <w:r w:rsidRPr="00B424FD">
        <w:rPr>
          <w:sz w:val="20"/>
          <w:szCs w:val="20"/>
          <w:lang w:val="en-GB"/>
        </w:rPr>
        <w:t xml:space="preserve"> background or that dual-resistant (</w:t>
      </w:r>
      <w:proofErr w:type="spellStart"/>
      <w:r w:rsidRPr="00B424FD">
        <w:rPr>
          <w:sz w:val="20"/>
          <w:szCs w:val="20"/>
          <w:lang w:val="en-GB"/>
        </w:rPr>
        <w:t>tetR</w:t>
      </w:r>
      <w:proofErr w:type="spellEnd"/>
      <w:r w:rsidRPr="00B424FD">
        <w:rPr>
          <w:sz w:val="20"/>
          <w:szCs w:val="20"/>
          <w:lang w:val="en-GB"/>
        </w:rPr>
        <w:t xml:space="preserve"> + </w:t>
      </w:r>
      <w:proofErr w:type="spellStart"/>
      <w:r w:rsidRPr="00B424FD">
        <w:rPr>
          <w:sz w:val="20"/>
          <w:szCs w:val="20"/>
          <w:lang w:val="en-GB"/>
        </w:rPr>
        <w:t>cefR</w:t>
      </w:r>
      <w:proofErr w:type="spellEnd"/>
      <w:r w:rsidRPr="00B424FD">
        <w:rPr>
          <w:sz w:val="20"/>
          <w:szCs w:val="20"/>
          <w:lang w:val="en-GB"/>
        </w:rPr>
        <w:t>) strains will be co-</w:t>
      </w:r>
      <w:r w:rsidRPr="00474003">
        <w:rPr>
          <w:sz w:val="20"/>
          <w:szCs w:val="20"/>
          <w:lang w:val="en-GB"/>
        </w:rPr>
        <w:t xml:space="preserve">selected. Consequently, </w:t>
      </w:r>
      <w:r w:rsidR="00474003" w:rsidRPr="00474003">
        <w:rPr>
          <w:sz w:val="20"/>
          <w:szCs w:val="20"/>
        </w:rPr>
        <w:t xml:space="preserve">while doxycycline post-exposure prophylaxis does not directly select for ceftriaxone resistance, it may indirectly increase the prevalence of ceftriaxone-resistant </w:t>
      </w:r>
      <w:r w:rsidR="00474003" w:rsidRPr="00474003">
        <w:rPr>
          <w:rStyle w:val="Emphasis"/>
          <w:sz w:val="20"/>
          <w:szCs w:val="20"/>
        </w:rPr>
        <w:t>Neisseria gonorrhoeae</w:t>
      </w:r>
      <w:r w:rsidR="00474003" w:rsidRPr="00474003">
        <w:rPr>
          <w:sz w:val="20"/>
          <w:szCs w:val="20"/>
        </w:rPr>
        <w:t xml:space="preserve"> through co-selection and ecological replacement, particularly if resistance determinants are linked or co-circulate within the same strains </w:t>
      </w:r>
      <w:r w:rsidRPr="00474003">
        <w:rPr>
          <w:sz w:val="20"/>
          <w:szCs w:val="20"/>
          <w:lang w:val="en-GB"/>
        </w:rPr>
        <w:fldChar w:fldCharType="begin"/>
      </w:r>
      <w:r w:rsidR="00756FF7" w:rsidRPr="00474003">
        <w:rPr>
          <w:sz w:val="20"/>
          <w:szCs w:val="20"/>
          <w:lang w:val="en-GB"/>
        </w:rPr>
        <w:instrText xml:space="preserve"> ADDIN ZOTERO_ITEM CSL_CITATION {"citationID":"4ZNUhmhJ","properties":{"formattedCitation":"[2]","plainCitation":"[2]","noteIndex":0},"citationItems":[{"id":287,"uris":["http://zotero.org/users/9663344/items/UD4GZWU4"],"itemData":{"id":287,"type":"article-journal","container-title":"The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M."}],"issued":{"date-parts":[["2023",8,1]]}}}],"schema":"https://github.com/citation-style-language/schema/raw/master/csl-citation.json"} </w:instrText>
      </w:r>
      <w:r w:rsidRPr="00474003">
        <w:rPr>
          <w:sz w:val="20"/>
          <w:szCs w:val="20"/>
          <w:lang w:val="en-GB"/>
        </w:rPr>
        <w:fldChar w:fldCharType="separate"/>
      </w:r>
      <w:r w:rsidRPr="00474003">
        <w:rPr>
          <w:sz w:val="20"/>
          <w:szCs w:val="20"/>
          <w:lang w:val="en-GB"/>
        </w:rPr>
        <w:t>[2]</w:t>
      </w:r>
      <w:r w:rsidRPr="00474003">
        <w:rPr>
          <w:sz w:val="20"/>
          <w:szCs w:val="20"/>
          <w:lang w:val="en-GB"/>
        </w:rPr>
        <w:fldChar w:fldCharType="end"/>
      </w:r>
      <w:r w:rsidRPr="00474003">
        <w:rPr>
          <w:sz w:val="20"/>
          <w:szCs w:val="20"/>
          <w:lang w:val="en-GB"/>
        </w:rPr>
        <w:t>.</w:t>
      </w:r>
    </w:p>
    <w:p w14:paraId="2AFFBDF7" w14:textId="20DB6965" w:rsidR="00276DCE" w:rsidRPr="00B424FD" w:rsidRDefault="00276DCE" w:rsidP="003B3837">
      <w:pPr>
        <w:pStyle w:val="NormalWeb"/>
        <w:spacing w:line="276" w:lineRule="auto"/>
        <w:jc w:val="both"/>
        <w:rPr>
          <w:sz w:val="20"/>
          <w:szCs w:val="20"/>
          <w:lang w:val="en-GB"/>
        </w:rPr>
      </w:pPr>
      <w:r w:rsidRPr="00B424FD">
        <w:rPr>
          <w:sz w:val="20"/>
          <w:szCs w:val="20"/>
          <w:lang w:val="en-GB"/>
        </w:rPr>
        <w:t xml:space="preserve">At the same time, the Four-Component Serogroup B Meningococcal (4CMenB) vaccine, originally developed against </w:t>
      </w:r>
      <w:r w:rsidRPr="00B424FD">
        <w:rPr>
          <w:rStyle w:val="Emphasis"/>
          <w:rFonts w:eastAsiaTheme="majorEastAsia"/>
          <w:sz w:val="20"/>
          <w:szCs w:val="20"/>
          <w:lang w:val="en-GB"/>
        </w:rPr>
        <w:t>Neisseria meningitidis</w:t>
      </w:r>
      <w:r w:rsidRPr="00B424FD">
        <w:rPr>
          <w:sz w:val="20"/>
          <w:szCs w:val="20"/>
          <w:lang w:val="en-GB"/>
        </w:rPr>
        <w:t xml:space="preserve">, has demonstrated partial cross-protection against </w:t>
      </w:r>
      <w:r w:rsidRPr="00B424FD">
        <w:rPr>
          <w:rStyle w:val="Emphasis"/>
          <w:rFonts w:eastAsiaTheme="majorEastAsia"/>
          <w:sz w:val="20"/>
          <w:szCs w:val="20"/>
          <w:lang w:val="en-GB"/>
        </w:rPr>
        <w:t>N. gonorrhoeae</w:t>
      </w:r>
      <w:r w:rsidRPr="00B424FD">
        <w:rPr>
          <w:sz w:val="20"/>
          <w:szCs w:val="20"/>
          <w:lang w:val="en-GB"/>
        </w:rPr>
        <w:t xml:space="preserve">, likely due to shared surface antigens </w:t>
      </w:r>
      <w:r w:rsidRPr="00B424FD">
        <w:rPr>
          <w:sz w:val="20"/>
          <w:szCs w:val="20"/>
          <w:lang w:val="en-GB"/>
        </w:rPr>
        <w:fldChar w:fldCharType="begin"/>
      </w:r>
      <w:r w:rsidR="001E6F22">
        <w:rPr>
          <w:sz w:val="20"/>
          <w:szCs w:val="20"/>
          <w:lang w:val="en-GB"/>
        </w:rPr>
        <w:instrText xml:space="preserve"> ADDIN ZOTERO_ITEM CSL_CITATION {"citationID":"qvdfD3iE","properties":{"formattedCitation":"[14], [15]","plainCitation":"[14], [15]","noteIndex":0},"citationItems":[{"id":152,"uris":["http://zotero.org/users/9663344/items/WHKA7ZDX"],"itemData":{"id":152,"type":"article-journal","abstract":"BACKGROUND: Gonorrhea is the second most common sexually transmitted disease notified in Singapore in 2023. Evidence suggests that the 4CMenB vaccine designed to protect against Neisseria meningitidis infection may offer partial cross-protection against gonorrhea. This generated interest in using 4CMenB for the purpose of staving gonorrhea transmission. We explored the efficacy of potential gonorrhea vaccination strategies in the context of historically declining gonorrhea incidence.\nMETHODS AND FINDINGS: We employed an integrated transmission-dynamic model, calibrated using Bayesian methods to local surveillance data to understand the potential public health impact of 4CMenB in reducing gonorrhea acquisition and transmission in men who have sex with men (MSM) in Singapore. We explored the efficacy of implementing six vaccination programmes: (1) offering vaccination to all male adolescents in schools (vaccination before entry [VbE]), (2) offering vaccination to individuals attending sexual health clinics for testing (vaccination on attendance [VoA]), (3) offering vaccination to individuals attending sexual health clinics and who were diagnosed with gonorrhea (vaccination on diagnosis [VoD]), or (4) vaccination according to risk (VaR), by offering vaccination to patients who were diagnosed with gonorrhea plus individuals who tested negative, but report having more than five sexual partners per year. We further examined how altering (5) VoA and (6) VoD strategies changed if the strategies only targeted high risk groups (VoA(H),VoD(H)). We assessed efficacy by examining vaccination impact relative to no vaccination and when behavioral parameters were held constant. We further ascertained the effects of varying vaccine uptake (10%, 33%, 100%), vaccine efficacy (22%, 31%, 47%), and duration of protection (1.5, 4, 7.5 years) on the effectiveness of each vaccination strategy. For a hypothetical 10-year vaccination programme, VbE had 14.18% of MSM gonorrhea cases averted over the time the programme was implemented. VoA had the highest protective impact on the MSM population with 40.26% averted cases (95% credible interval (CrI): 18.32%-52.57%), but required more vaccine doses than any other strategy. VoD had a smaller impact (12.04% averted cases (95% CrI: 7.12%-15.00%)), but was three times more efficient than VoA in terms of averted cases per dose. VoA(H) and VoD(H) improved the efficiency of VoA and VoD strategies by increasing averted cases per dose to 0.22 and 0.24 respectively, but conferred similar protective effects as VoA (VoA(H): 40.10% averted cases (95% CrI: 18.14%-52.55%)) and VoD (VoD(H): 12.04% averted cases (95% CrI: 7.12%-15.00%)), respectively. VaR (40.10% averted cases (95% CrI: 18.14%-52.55%)) had almost the same impact as VoA, but was more efficient by requiring administration of fewer doses than VoA, with 0.21 (95% CrI: 0.12-0.27) averted cases per dose. Sensitivity analyses indicated that VaR had the greatest public health impact with the highest number of averted cases per dose for vaccines of any efficacy or duration of protection (or both), although VoD and VoD(H) saved more vaccine resource and had the highest number averted MSM cases per dose for highly protective vaccines of long protection.\nCONCLUSIONS: Vaccination of MSM against gonorrhea, according to risk in sexual health clinics in Singapore, can be considered to reduce gonorrhea acquisition and transmission. Development of gonorrhea-specific vaccines which focuses on protective efficacy and the implementation of efficient vaccination programmes can maximize public health impact.","container-title":"PLoS medicine","DOI":"10.1371/journal.pmed.1004521","ISSN":"1549-1676","issue":"2","journalAbbreviation":"PLoS Med","language":"eng","page":"e1004521","PMID":"39919143","PMCID":"PMC11805383","source":"PubMed","title":"Potential public health impacts of gonorrhea vaccination programmes under declining incidences: A modeling study","title-short":"Potential public health impacts of gonorrhea vaccination programmes under declining incidences","volume":"22","author":[{"family":"Geng","given":"Lin"},{"family":"Whittles","given":"Lilith K."},{"family":"Dickens","given":"Borame L."},{"family":"Chio","given":"Martin T. W."},{"family":"Chen","given":"Yihao"},{"family":"Tan","given":"Rayner Kay Jin"},{"family":"Ghani","given":"Azra"},{"family":"Lim","given":"Jue Tao"}],"issued":{"date-parts":[["2025",2]]}}},{"id":56,"uris":["http://zotero.org/users/9663344/items/T6SAULLB","http://zotero.org/users/9663344/items/KT468CMT"],"itemData":{"id":56,"type":"article-journal","abstract":"Background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 w:val="20"/>
          <w:szCs w:val="20"/>
          <w:lang w:val="en-GB"/>
        </w:rPr>
        <w:fldChar w:fldCharType="separate"/>
      </w:r>
      <w:r w:rsidR="001E6F22">
        <w:rPr>
          <w:sz w:val="20"/>
          <w:szCs w:val="20"/>
          <w:lang w:val="en-GB"/>
        </w:rPr>
        <w:t>[14], [15]</w:t>
      </w:r>
      <w:r w:rsidRPr="00B424FD">
        <w:rPr>
          <w:sz w:val="20"/>
          <w:szCs w:val="20"/>
          <w:lang w:val="en-GB"/>
        </w:rPr>
        <w:fldChar w:fldCharType="end"/>
      </w:r>
      <w:r w:rsidRPr="00B424FD">
        <w:rPr>
          <w:sz w:val="20"/>
          <w:szCs w:val="20"/>
          <w:lang w:val="en-GB"/>
        </w:rPr>
        <w:t xml:space="preserve">. Real-world data indicate that 4CMenB vaccination reduces gonorrhoea incidence by approximately 30-40% </w:t>
      </w:r>
      <w:r w:rsidRPr="00B424FD">
        <w:rPr>
          <w:sz w:val="20"/>
          <w:szCs w:val="20"/>
          <w:lang w:val="en-GB"/>
        </w:rPr>
        <w:fldChar w:fldCharType="begin"/>
      </w:r>
      <w:r w:rsidR="001E6F22">
        <w:rPr>
          <w:sz w:val="20"/>
          <w:szCs w:val="20"/>
          <w:lang w:val="en-GB"/>
        </w:rPr>
        <w:instrText xml:space="preserve"> ADDIN ZOTERO_ITEM CSL_CITATION {"citationID":"HPOzFcKr","properties":{"formattedCitation":"[16]","plainCitation":"[16]","noteIndex":0},"citationItems":[{"id":409,"uris":["http://zotero.org/users/9663344/items/S8TLUVMP"],"itemData":{"id":409,"type":"article-journal","container-title":"The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Pr="00B424FD">
        <w:rPr>
          <w:sz w:val="20"/>
          <w:szCs w:val="20"/>
          <w:lang w:val="en-GB"/>
        </w:rPr>
        <w:fldChar w:fldCharType="separate"/>
      </w:r>
      <w:r w:rsidR="001E6F22">
        <w:rPr>
          <w:sz w:val="20"/>
          <w:szCs w:val="20"/>
          <w:lang w:val="en-GB"/>
        </w:rPr>
        <w:t>[16]</w:t>
      </w:r>
      <w:r w:rsidRPr="00B424FD">
        <w:rPr>
          <w:sz w:val="20"/>
          <w:szCs w:val="20"/>
          <w:lang w:val="en-GB"/>
        </w:rPr>
        <w:fldChar w:fldCharType="end"/>
      </w:r>
      <w:r w:rsidRPr="00B424FD">
        <w:rPr>
          <w:sz w:val="20"/>
          <w:szCs w:val="20"/>
          <w:lang w:val="en-GB"/>
        </w:rPr>
        <w:t>. Incorporating 4CMenB into gonorrhoea prevention strategies is therefore critical, as its moderate protective effect could reduce both the incidence and transmission of antibiotic-resistant strains. Fewer infections overall would slow the spread of resistance, while reduced antibiotic treatment demand would lessen selection pressure for AMR development.</w:t>
      </w:r>
    </w:p>
    <w:p w14:paraId="30277E41" w14:textId="72704097" w:rsidR="00276DCE" w:rsidRPr="00B424FD" w:rsidRDefault="00276DCE" w:rsidP="003B3837">
      <w:pPr>
        <w:pStyle w:val="NormalWeb"/>
        <w:spacing w:line="276" w:lineRule="auto"/>
        <w:jc w:val="both"/>
        <w:rPr>
          <w:sz w:val="20"/>
          <w:szCs w:val="20"/>
          <w:lang w:val="en-GB"/>
        </w:rPr>
      </w:pPr>
      <w:r w:rsidRPr="00B424FD">
        <w:rPr>
          <w:sz w:val="20"/>
          <w:szCs w:val="20"/>
          <w:lang w:val="en-GB"/>
        </w:rPr>
        <w:t xml:space="preserve">Although previous modelling studies have shown that antibiotic exposure can accelerate AMR </w:t>
      </w:r>
      <w:r w:rsidRPr="00B424FD">
        <w:rPr>
          <w:color w:val="000000" w:themeColor="text1"/>
          <w:sz w:val="20"/>
          <w:szCs w:val="20"/>
          <w:shd w:val="clear" w:color="auto" w:fill="FFFFFF"/>
          <w:lang w:val="en-GB"/>
        </w:rPr>
        <w:fldChar w:fldCharType="begin"/>
      </w:r>
      <w:r w:rsidR="001E6F22">
        <w:rPr>
          <w:color w:val="000000" w:themeColor="text1"/>
          <w:sz w:val="20"/>
          <w:szCs w:val="20"/>
          <w:shd w:val="clear" w:color="auto" w:fill="FFFFFF"/>
          <w:lang w:val="en-GB"/>
        </w:rPr>
        <w:instrText xml:space="preserve"> ADDIN ZOTERO_ITEM CSL_CITATION {"citationID":"izu2g4UO","properties":{"formattedCitation":"[17], [18], [19]","plainCitation":"[17], [18], [19]","noteIndex":0},"citationItems":[{"id":174,"uris":["http://zotero.org/users/9663344/items/9QGBX5LM"],"itemData":{"id":174,"type":"article-journal","abstract":"Mathematical modeling suggests that rapid diagnostics that report antibiotic susceptibility have the potential to extend the usefulness of existing antibiotics for treatment of gonorrhea compared with the current guidelines for empiric 2-drug treatment.","container-title":"The Journal of Infectious Diseases","DOI":"10.1093/infdis/jix450","ISSN":"0022-1899","issue":"9","journalAbbreviation":"J Infect Dis","page":"1141-1149","PMID":"28968710","PMCID":"PMC5853443","source":"PubMed Central","title":"Impact of Rapid Susceptibility Testing and Antibiotic Selection Strategy on the Emergence and Spread of Antibiotic Resistance in Gonorrhea","volume":"216","author":[{"family":"Tuite","given":"Ashleigh R"},{"family":"Gift","given":"Thomas L"},{"family":"Chesson","given":"Harrell W"},{"family":"Hsu","given":"Katherine"},{"family":"Salomon","given":"Joshua A"},{"family":"Grad","given":"Yonatan H"}],"issued":{"date-parts":[["2017",11,1]]}}},{"id":284,"uris":["http://zotero.org/users/9663344/items/ZFKAH64V"],"itemData":{"id":284,"type":"article-journal","abstract":"Background—Gonorrhoea is a highly prevalent sexually transmitted infection and an urgent public health concern because of increasing antibiotic resistance in Neisseriagonorrhoeae. Only ceftriaxone remains as the recommended treatment in the USA. With the prospect of new antigonococcal antibiotics being approved, we aimed to evaluate how to deploy a new drug to maximise its clinically useful lifespan.","container-title":"The Lancet Microbe","DOI":"10.1016/S2666-5247(23)00145-3","ISSN":"26665247","issue":"10","journalAbbreviation":"The Lancet Microbe","language":"en","page":"e781-e789","source":"DOI.org (Crossref)","title":"Resistance-minimising strategies for introducing a novel antibiotic for gonorrhoea treatment: a mathematical modelling study","title-short":"Resistance-minimising strategies for introducing a novel antibiotic for gonorrhoea treatment","volume":"4","author":[{"family":"Reichert","given":"Emily"},{"family":"Yaesoubi","given":"Reza"},{"family":"Rönn","given":"Minttu M"},{"family":"Gift","given":"Thomas L"},{"family":"Salomon","given":"Joshua A"},{"family":"Grad","given":"Yonatan H"}],"issued":{"date-parts":[["2023",10]]}}},{"id":187,"uris":["http://zotero.org/users/9663344/items/HYSVKZR9"],"itemData":{"id":187,"type":"article-journal","abstract":"Background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color w:val="000000" w:themeColor="text1"/>
          <w:sz w:val="20"/>
          <w:szCs w:val="20"/>
          <w:shd w:val="clear" w:color="auto" w:fill="FFFFFF"/>
          <w:lang w:val="en-GB"/>
        </w:rPr>
        <w:fldChar w:fldCharType="separate"/>
      </w:r>
      <w:r w:rsidR="001E6F22">
        <w:rPr>
          <w:color w:val="000000" w:themeColor="text1"/>
          <w:sz w:val="20"/>
          <w:szCs w:val="20"/>
          <w:shd w:val="clear" w:color="auto" w:fill="FFFFFF"/>
          <w:lang w:val="en-GB"/>
        </w:rPr>
        <w:t>[17], [18], [19]</w:t>
      </w:r>
      <w:r w:rsidRPr="00B424FD">
        <w:rPr>
          <w:color w:val="000000" w:themeColor="text1"/>
          <w:sz w:val="20"/>
          <w:szCs w:val="20"/>
          <w:shd w:val="clear" w:color="auto" w:fill="FFFFFF"/>
          <w:lang w:val="en-GB"/>
        </w:rPr>
        <w:fldChar w:fldCharType="end"/>
      </w:r>
      <w:r w:rsidRPr="00B424FD">
        <w:rPr>
          <w:color w:val="000000" w:themeColor="text1"/>
          <w:sz w:val="20"/>
          <w:szCs w:val="20"/>
          <w:shd w:val="clear" w:color="auto" w:fill="FFFFFF"/>
          <w:lang w:val="en-GB"/>
        </w:rPr>
        <w:t xml:space="preserve"> while vaccination can ameliorate AMR </w:t>
      </w:r>
      <w:r w:rsidRPr="00B424FD">
        <w:rPr>
          <w:sz w:val="20"/>
          <w:szCs w:val="20"/>
          <w:lang w:val="en-GB"/>
        </w:rPr>
        <w:t xml:space="preserve">in </w:t>
      </w:r>
      <w:r w:rsidRPr="00B424FD">
        <w:rPr>
          <w:rStyle w:val="Emphasis"/>
          <w:rFonts w:eastAsiaTheme="majorEastAsia"/>
          <w:sz w:val="20"/>
          <w:szCs w:val="20"/>
          <w:lang w:val="en-GB"/>
        </w:rPr>
        <w:t>N. gonorrhoeae</w:t>
      </w:r>
      <w:r w:rsidRPr="00B424FD">
        <w:rPr>
          <w:sz w:val="20"/>
          <w:szCs w:val="20"/>
          <w:lang w:val="en-GB"/>
        </w:rPr>
        <w:t xml:space="preserve"> </w:t>
      </w:r>
      <w:r w:rsidRPr="00B424FD">
        <w:rPr>
          <w:sz w:val="20"/>
          <w:szCs w:val="20"/>
          <w:lang w:val="en-GB"/>
        </w:rPr>
        <w:fldChar w:fldCharType="begin"/>
      </w:r>
      <w:r w:rsidR="001E6F22">
        <w:rPr>
          <w:sz w:val="20"/>
          <w:szCs w:val="20"/>
          <w:lang w:val="en-GB"/>
        </w:rPr>
        <w:instrText xml:space="preserve"> ADDIN ZOTERO_ITEM CSL_CITATION {"citationID":"Jf1aabV3","properties":{"formattedCitation":"[20], [21]","plainCitation":"[20], [21]","noteIndex":0},"citationItems":[{"id":297,"uris":["http://zotero.org/users/9663344/items/KC9H5ARD"],"itemData":{"id":297,"type":"article-journal","abstract":"Gonorrhea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J."},{"family":"Didelot","given":"Xavier"}],"editor":[{"family":"Low","given":"Nicola"}],"issued":{"date-parts":[["2017",10,31]]}}}],"schema":"https://github.com/citation-style-language/schema/raw/master/csl-citation.json"} </w:instrText>
      </w:r>
      <w:r w:rsidRPr="00B424FD">
        <w:rPr>
          <w:sz w:val="20"/>
          <w:szCs w:val="20"/>
          <w:lang w:val="en-GB"/>
        </w:rPr>
        <w:fldChar w:fldCharType="separate"/>
      </w:r>
      <w:r w:rsidR="001E6F22">
        <w:rPr>
          <w:sz w:val="20"/>
          <w:szCs w:val="20"/>
          <w:lang w:val="en-GB"/>
        </w:rPr>
        <w:t>[20], [21]</w:t>
      </w:r>
      <w:r w:rsidRPr="00B424FD">
        <w:rPr>
          <w:sz w:val="20"/>
          <w:szCs w:val="20"/>
          <w:lang w:val="en-GB"/>
        </w:rPr>
        <w:fldChar w:fldCharType="end"/>
      </w:r>
      <w:r w:rsidRPr="00B424FD">
        <w:rPr>
          <w:color w:val="000000" w:themeColor="text1"/>
          <w:sz w:val="20"/>
          <w:szCs w:val="20"/>
          <w:shd w:val="clear" w:color="auto" w:fill="FFFFFF"/>
          <w:lang w:val="en-GB"/>
        </w:rPr>
        <w:t xml:space="preserve">, </w:t>
      </w:r>
      <w:r w:rsidRPr="00B424FD">
        <w:rPr>
          <w:sz w:val="20"/>
          <w:szCs w:val="20"/>
          <w:lang w:val="en-GB"/>
        </w:rPr>
        <w:t>important uncertainties remain. These include the rate at which dual-resistant strains may emerge, the extent to which doxy-PEP for syphilis use among high-risk populations alters strain dynamics, and whether increased doxycycline use is counterbalanced by reduced gonorrhoea treatment demand. Furthermore, it remains unclear whether population-level doxy-PEP rollout will cause a sustained rise in tetracycline-resistant gonorrhoea and whether concurrent vaccination could mitigate this risk.</w:t>
      </w:r>
    </w:p>
    <w:p w14:paraId="76234F10" w14:textId="24D623F1" w:rsidR="00276DCE" w:rsidRPr="00B424FD" w:rsidRDefault="00276DCE" w:rsidP="003B3837">
      <w:pPr>
        <w:pStyle w:val="NormalWeb"/>
        <w:spacing w:line="276" w:lineRule="auto"/>
        <w:jc w:val="both"/>
        <w:rPr>
          <w:sz w:val="20"/>
          <w:szCs w:val="20"/>
          <w:lang w:val="en-GB"/>
        </w:rPr>
      </w:pPr>
      <w:r w:rsidRPr="00B424FD">
        <w:rPr>
          <w:sz w:val="20"/>
          <w:szCs w:val="20"/>
          <w:lang w:val="en-GB"/>
        </w:rPr>
        <w:t xml:space="preserve">Given these uncertainties, this chapter aims to investigate how doxy-PEP for syphilis prevention may exacerbate the spread of doxycycline-resistant and dual-resistant </w:t>
      </w:r>
      <w:r w:rsidRPr="00B424FD">
        <w:rPr>
          <w:rStyle w:val="Emphasis"/>
          <w:rFonts w:eastAsiaTheme="majorEastAsia"/>
          <w:sz w:val="20"/>
          <w:szCs w:val="20"/>
          <w:lang w:val="en-GB"/>
        </w:rPr>
        <w:t>N. gonorrhoeae</w:t>
      </w:r>
      <w:r w:rsidRPr="00B424FD">
        <w:rPr>
          <w:sz w:val="20"/>
          <w:szCs w:val="20"/>
          <w:lang w:val="en-GB"/>
        </w:rPr>
        <w:t xml:space="preserve"> strains, particularly in the context of the already high prevalence of tetracycline resistance </w:t>
      </w:r>
      <w:r w:rsidRPr="00B424FD">
        <w:rPr>
          <w:sz w:val="20"/>
          <w:szCs w:val="20"/>
          <w:lang w:val="en-GB"/>
        </w:rPr>
        <w:fldChar w:fldCharType="begin"/>
      </w:r>
      <w:r w:rsidR="001E6F22">
        <w:rPr>
          <w:sz w:val="20"/>
          <w:szCs w:val="20"/>
          <w:lang w:val="en-GB"/>
        </w:rPr>
        <w:instrText xml:space="preserve"> ADDIN ZOTERO_ITEM CSL_CITATION {"citationID":"bWgM7jis","properties":{"formattedCitation":"[22]","plainCitation":"[22]","noteIndex":0},"citationItems":[{"id":408,"uris":["http://zotero.org/users/9663344/items/PRBSX5RW"],"itemData":{"id":408,"type":"article-journal","container-title":"International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Pr="00B424FD">
        <w:rPr>
          <w:sz w:val="20"/>
          <w:szCs w:val="20"/>
          <w:lang w:val="en-GB"/>
        </w:rPr>
        <w:fldChar w:fldCharType="separate"/>
      </w:r>
      <w:r w:rsidR="001E6F22">
        <w:rPr>
          <w:sz w:val="20"/>
          <w:szCs w:val="20"/>
          <w:lang w:val="en-GB"/>
        </w:rPr>
        <w:t>[22]</w:t>
      </w:r>
      <w:r w:rsidRPr="00B424FD">
        <w:rPr>
          <w:sz w:val="20"/>
          <w:szCs w:val="20"/>
          <w:lang w:val="en-GB"/>
        </w:rPr>
        <w:fldChar w:fldCharType="end"/>
      </w:r>
      <w:r w:rsidRPr="00B424FD">
        <w:rPr>
          <w:sz w:val="20"/>
          <w:szCs w:val="20"/>
          <w:lang w:val="en-GB"/>
        </w:rPr>
        <w:t xml:space="preserve">, among men who have sex with men (MSM). We also evaluate how widespread implementation of 4CMenB vaccination could mitigate AMR emergence and offset the evolutionary risks introduced by doxy-PEP use for syphilis. To this end, we develop a strain-specific mathematical model to project the long-term AMR dynamics of </w:t>
      </w:r>
      <w:r w:rsidRPr="00B424FD">
        <w:rPr>
          <w:rStyle w:val="Emphasis"/>
          <w:rFonts w:eastAsiaTheme="majorEastAsia"/>
          <w:sz w:val="20"/>
          <w:szCs w:val="20"/>
          <w:lang w:val="en-GB"/>
        </w:rPr>
        <w:t>N. gonorrhoeae</w:t>
      </w:r>
      <w:r w:rsidRPr="00B424FD">
        <w:rPr>
          <w:sz w:val="20"/>
          <w:szCs w:val="20"/>
          <w:lang w:val="en-GB"/>
        </w:rPr>
        <w:t xml:space="preserve"> under varying levels of doxy-PEP uptake and 4CMenB coverage. We hypothesize that while widespread doxy-PEP use for syphilis prevention will accelerate the emergence of tetracycline resistance, co-implementation of 4CMenB could substantially reduce both gonorrhoea incidence and AMR spread, thereby providing a potential strategy to balance the prophylactic benefits of doxy-PEP against its evolutionary risks.</w:t>
      </w:r>
    </w:p>
    <w:p w14:paraId="482AFC20" w14:textId="77777777" w:rsidR="00276DCE" w:rsidRPr="00B424FD" w:rsidRDefault="00276DCE" w:rsidP="003B3837">
      <w:pPr>
        <w:pStyle w:val="NormalWeb"/>
        <w:spacing w:line="276" w:lineRule="auto"/>
        <w:jc w:val="both"/>
        <w:rPr>
          <w:sz w:val="20"/>
          <w:szCs w:val="20"/>
          <w:lang w:val="en-GB"/>
        </w:rPr>
        <w:sectPr w:rsidR="00276DCE" w:rsidRPr="00B424FD" w:rsidSect="00276DCE">
          <w:footerReference w:type="even" r:id="rId8"/>
          <w:footerReference w:type="default" r:id="rId9"/>
          <w:pgSz w:w="11910" w:h="16840"/>
          <w:pgMar w:top="1582" w:right="1418" w:bottom="958" w:left="1418" w:header="0" w:footer="760" w:gutter="170"/>
          <w:cols w:space="720"/>
          <w:docGrid w:linePitch="360"/>
        </w:sectPr>
      </w:pPr>
    </w:p>
    <w:p w14:paraId="2281CD9D" w14:textId="40BD9292" w:rsidR="006B751E" w:rsidRPr="00B424FD" w:rsidRDefault="00B71524" w:rsidP="003B3837">
      <w:pPr>
        <w:pStyle w:val="NormalWeb"/>
        <w:spacing w:line="276" w:lineRule="auto"/>
        <w:jc w:val="center"/>
        <w:rPr>
          <w:sz w:val="20"/>
          <w:szCs w:val="20"/>
          <w:lang w:val="en-GB"/>
        </w:rPr>
      </w:pPr>
      <w:r w:rsidRPr="00B424FD">
        <w:rPr>
          <w:noProof/>
          <w:sz w:val="20"/>
          <w:szCs w:val="20"/>
          <w:lang w:val="en-GB"/>
          <w14:ligatures w14:val="standardContextual"/>
        </w:rPr>
        <w:lastRenderedPageBreak/>
        <w:drawing>
          <wp:inline distT="0" distB="0" distL="0" distR="0" wp14:anchorId="43ACC314" wp14:editId="292FE322">
            <wp:extent cx="3438371" cy="4572000"/>
            <wp:effectExtent l="0" t="0" r="3810" b="0"/>
            <wp:docPr id="1830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2738" name="Picture 1830682738"/>
                    <pic:cNvPicPr/>
                  </pic:nvPicPr>
                  <pic:blipFill>
                    <a:blip r:embed="rId10"/>
                    <a:stretch>
                      <a:fillRect/>
                    </a:stretch>
                  </pic:blipFill>
                  <pic:spPr>
                    <a:xfrm>
                      <a:off x="0" y="0"/>
                      <a:ext cx="3438371" cy="4572000"/>
                    </a:xfrm>
                    <a:prstGeom prst="rect">
                      <a:avLst/>
                    </a:prstGeom>
                  </pic:spPr>
                </pic:pic>
              </a:graphicData>
            </a:graphic>
          </wp:inline>
        </w:drawing>
      </w:r>
    </w:p>
    <w:p w14:paraId="42CE73F8" w14:textId="0D9958A9" w:rsidR="001725A7" w:rsidRPr="00B424FD" w:rsidRDefault="009701A4" w:rsidP="003B3837">
      <w:pPr>
        <w:pStyle w:val="NormalWeb"/>
        <w:spacing w:line="276" w:lineRule="auto"/>
        <w:jc w:val="both"/>
        <w:rPr>
          <w:sz w:val="20"/>
          <w:szCs w:val="20"/>
          <w:lang w:val="en-GB"/>
        </w:rPr>
        <w:sectPr w:rsidR="001725A7" w:rsidRPr="00B424FD" w:rsidSect="00276DCE">
          <w:pgSz w:w="16838" w:h="11906" w:orient="landscape"/>
          <w:pgMar w:top="1440" w:right="1440" w:bottom="1440" w:left="1440" w:header="708" w:footer="708" w:gutter="0"/>
          <w:cols w:space="708"/>
          <w:docGrid w:linePitch="360"/>
        </w:sectPr>
      </w:pPr>
      <w:r w:rsidRPr="00B424FD">
        <w:rPr>
          <w:sz w:val="20"/>
          <w:szCs w:val="20"/>
          <w:lang w:val="en-GB"/>
        </w:rPr>
        <w:t xml:space="preserve">Fig. 1: </w:t>
      </w:r>
      <w:r w:rsidR="008925D7" w:rsidRPr="00B424FD">
        <w:rPr>
          <w:sz w:val="20"/>
          <w:szCs w:val="20"/>
          <w:lang w:val="en-GB"/>
        </w:rPr>
        <w:t>Strain-specific g</w:t>
      </w:r>
      <w:r w:rsidRPr="00B424FD">
        <w:rPr>
          <w:sz w:val="20"/>
          <w:szCs w:val="20"/>
          <w:lang w:val="en-GB"/>
        </w:rPr>
        <w:t>onorrhoea transmission model.</w:t>
      </w:r>
    </w:p>
    <w:p w14:paraId="2160432B" w14:textId="40C686AC" w:rsidR="00F9466C" w:rsidRPr="00B424FD" w:rsidRDefault="00F9466C"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lastRenderedPageBreak/>
        <w:t>Compartmental model equations</w:t>
      </w:r>
    </w:p>
    <w:p w14:paraId="3426AA3D" w14:textId="2E52B261" w:rsidR="00B26C1F"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oMath>
      </m:oMathPara>
    </w:p>
    <w:p w14:paraId="516BC5A3" w14:textId="7EB607E8" w:rsidR="001725A7" w:rsidRPr="00B424FD" w:rsidRDefault="001725A7"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In August 2025, England launched the 4CMenB (Bexsero) vaccination programme aimed at reducing gonorrhoea transmission </w:t>
      </w:r>
      <w:r w:rsidRPr="00B424FD">
        <w:rPr>
          <w:rFonts w:ascii="Times New Roman" w:hAnsi="Times New Roman" w:cs="Times New Roman"/>
          <w:sz w:val="20"/>
          <w:szCs w:val="20"/>
          <w:lang w:val="en-GB"/>
        </w:rPr>
        <w:fldChar w:fldCharType="begin"/>
      </w:r>
      <w:r w:rsidR="001E6F22">
        <w:rPr>
          <w:rFonts w:ascii="Times New Roman" w:hAnsi="Times New Roman" w:cs="Times New Roman"/>
          <w:sz w:val="20"/>
          <w:szCs w:val="20"/>
          <w:lang w:val="en-GB"/>
        </w:rPr>
        <w:instrText xml:space="preserve"> ADDIN ZOTERO_ITEM CSL_CITATION {"citationID":"YQ6AUtSF","properties":{"formattedCitation":"[23]","plainCitation":"[23]","noteIndex":0},"citationItems":[{"id":437,"uris":["http://zotero.org/users/9663344/items/6QKYAFY5"],"itemData":{"id":437,"type":"webpage","container-title":"UK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instrText>
      </w:r>
      <w:r w:rsidRPr="00B424FD">
        <w:rPr>
          <w:rFonts w:ascii="Times New Roman" w:hAnsi="Times New Roman" w:cs="Times New Roman"/>
          <w:sz w:val="20"/>
          <w:szCs w:val="20"/>
          <w:lang w:val="en-GB"/>
        </w:rPr>
        <w:fldChar w:fldCharType="separate"/>
      </w:r>
      <w:r w:rsidR="001E6F22">
        <w:rPr>
          <w:rFonts w:ascii="Times New Roman" w:hAnsi="Times New Roman" w:cs="Times New Roman"/>
          <w:sz w:val="20"/>
          <w:szCs w:val="20"/>
          <w:lang w:val="en-GB"/>
        </w:rPr>
        <w:t>[23]</w:t>
      </w:r>
      <w:r w:rsidRPr="00B424FD">
        <w:rPr>
          <w:rFonts w:ascii="Times New Roman" w:hAnsi="Times New Roman" w:cs="Times New Roman"/>
          <w:sz w:val="20"/>
          <w:szCs w:val="20"/>
          <w:lang w:val="en-GB"/>
        </w:rPr>
        <w:fldChar w:fldCharType="end"/>
      </w:r>
      <w:r w:rsidRPr="00B424FD">
        <w:rPr>
          <w:rFonts w:ascii="Times New Roman" w:hAnsi="Times New Roman" w:cs="Times New Roman"/>
          <w:sz w:val="20"/>
          <w:szCs w:val="20"/>
          <w:lang w:val="en-GB"/>
        </w:rPr>
        <w:t>. The vaccine is recommended primarily for gay, bisexual, and other men who have sex with men (GBMSM) who are at elevated risk - specifically, individuals with a bacterial STI in the past year or those reporting five or more sexual partners within the previous three months.</w:t>
      </w:r>
    </w:p>
    <w:p w14:paraId="3CF9654F" w14:textId="402153E6" w:rsidR="00373D9B" w:rsidRPr="00B424FD" w:rsidRDefault="00373D9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sidRPr="00B424FD">
        <w:rPr>
          <w:rFonts w:ascii="Times New Roman" w:hAnsi="Times New Roman" w:cs="Times New Roman"/>
          <w:color w:val="000000"/>
          <w:sz w:val="20"/>
          <w:szCs w:val="20"/>
          <w:lang w:val="en-GB"/>
        </w:rPr>
        <w:t>We compared the observed annual number of gonorrhoea tests and diagnoses</w:t>
      </w:r>
      <w:r w:rsidR="00BF327B" w:rsidRPr="00B424FD">
        <w:rPr>
          <w:rFonts w:ascii="Times New Roman" w:hAnsi="Times New Roman" w:cs="Times New Roman"/>
          <w:color w:val="000000"/>
          <w:sz w:val="20"/>
          <w:szCs w:val="20"/>
          <w:lang w:val="en-GB"/>
        </w:rPr>
        <w:t xml:space="preserve"> in the </w:t>
      </w:r>
      <w:r w:rsidR="00A21F28" w:rsidRPr="00B424FD">
        <w:rPr>
          <w:rFonts w:ascii="Times New Roman" w:hAnsi="Times New Roman" w:cs="Times New Roman"/>
          <w:color w:val="000000"/>
          <w:sz w:val="20"/>
          <w:szCs w:val="20"/>
          <w:lang w:val="en-GB"/>
        </w:rPr>
        <w:t>Genitourinary Medicine Clinic Activity Dataset (</w:t>
      </w:r>
      <w:r w:rsidR="00BF327B" w:rsidRPr="00B424FD">
        <w:rPr>
          <w:rFonts w:ascii="Times New Roman" w:hAnsi="Times New Roman" w:cs="Times New Roman"/>
          <w:color w:val="000000"/>
          <w:sz w:val="20"/>
          <w:szCs w:val="20"/>
          <w:lang w:val="en-GB"/>
        </w:rPr>
        <w:t>GUMCAD</w:t>
      </w:r>
      <w:r w:rsidR="00A21F28" w:rsidRPr="00B424FD">
        <w:rPr>
          <w:rFonts w:ascii="Times New Roman" w:hAnsi="Times New Roman" w:cs="Times New Roman"/>
          <w:color w:val="000000"/>
          <w:sz w:val="20"/>
          <w:szCs w:val="20"/>
          <w:lang w:val="en-GB"/>
        </w:rPr>
        <w:t>)</w:t>
      </w:r>
      <w:r w:rsidR="00BF327B" w:rsidRPr="00B424FD">
        <w:rPr>
          <w:rFonts w:ascii="Times New Roman" w:hAnsi="Times New Roman" w:cs="Times New Roman"/>
          <w:color w:val="000000"/>
          <w:sz w:val="20"/>
          <w:szCs w:val="20"/>
          <w:lang w:val="en-GB"/>
        </w:rPr>
        <w:t xml:space="preserve"> sample</w:t>
      </w:r>
      <w:r w:rsidRPr="00B424FD">
        <w:rPr>
          <w:rFonts w:ascii="Times New Roman" w:hAnsi="Times New Roman" w:cs="Times New Roman"/>
          <w:color w:val="000000"/>
          <w:sz w:val="20"/>
          <w:szCs w:val="20"/>
          <w:lang w:val="en-GB"/>
        </w:rPr>
        <w:t>,</w:t>
      </w:r>
      <w:r w:rsidRPr="00B424FD">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iCs/>
          <w:color w:val="0D0D0D"/>
          <w:sz w:val="20"/>
          <w:szCs w:val="20"/>
          <w:shd w:val="clear" w:color="auto" w:fill="FFFFFF"/>
          <w:lang w:val="en-GB"/>
        </w:rPr>
        <w:t>,</w:t>
      </w:r>
      <w:r w:rsidRPr="00B424FD">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w:t>
      </w:r>
      <w:r w:rsidRPr="00B424FD">
        <w:rPr>
          <w:rFonts w:ascii="Times New Roman" w:hAnsi="Times New Roman" w:cs="Times New Roman"/>
          <w:color w:val="000000"/>
          <w:sz w:val="20"/>
          <w:szCs w:val="20"/>
          <w:lang w:val="en-GB"/>
        </w:rPr>
        <w:t xml:space="preserve">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w:t>
      </w:r>
      <w:r w:rsidRPr="00B424FD">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00000"/>
          <w:sz w:val="20"/>
          <w:szCs w:val="20"/>
          <w:lang w:val="en-GB"/>
        </w:rPr>
        <w:t xml:space="preserve"> using Negative-Binomial likelihoods to allow for over-dispersion in the observation process relative to a Poisson distribution.</w:t>
      </w:r>
      <w:r w:rsidRPr="00B424FD">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Pr="00B424FD">
        <w:rPr>
          <w:rFonts w:ascii="Times New Roman" w:hAnsi="Times New Roman" w:cs="Times New Roman"/>
          <w:sz w:val="20"/>
          <w:szCs w:val="20"/>
          <w:lang w:val="en-GB"/>
        </w:rPr>
        <w:t xml:space="preserve"> </w:t>
      </w:r>
      <w:r w:rsidRPr="00B424FD">
        <w:rPr>
          <w:rFonts w:ascii="Cambria Math" w:hAnsi="Cambria Math" w:cs="Cambria Math"/>
          <w:sz w:val="20"/>
          <w:szCs w:val="20"/>
          <w:lang w:val="en-GB"/>
        </w:rPr>
        <w:t>∼</w:t>
      </w:r>
      <w:r w:rsidRPr="00B424FD">
        <w:rPr>
          <w:rFonts w:ascii="Times New Roman" w:hAnsi="Times New Roman" w:cs="Times New Roman"/>
          <w:sz w:val="20"/>
          <w:szCs w:val="20"/>
          <w:lang w:val="en-GB"/>
        </w:rPr>
        <w:t xml:space="preserve"> </w:t>
      </w:r>
      <w:proofErr w:type="spellStart"/>
      <w:proofErr w:type="gramStart"/>
      <w:r w:rsidRPr="00B424FD">
        <w:rPr>
          <w:rFonts w:ascii="Times New Roman" w:hAnsi="Times New Roman" w:cs="Times New Roman"/>
          <w:sz w:val="20"/>
          <w:szCs w:val="20"/>
          <w:lang w:val="en-GB"/>
        </w:rPr>
        <w:t>NegBinom</w:t>
      </w:r>
      <w:proofErr w:type="spellEnd"/>
      <w:r w:rsidRPr="00B424FD">
        <w:rPr>
          <w:rFonts w:ascii="Times New Roman" w:hAnsi="Times New Roman" w:cs="Times New Roman"/>
          <w:sz w:val="20"/>
          <w:szCs w:val="20"/>
          <w:lang w:val="en-GB"/>
        </w:rPr>
        <w:t>(</w:t>
      </w:r>
      <w:proofErr w:type="gramEnd"/>
      <m:oMath>
        <m:r>
          <w:rPr>
            <w:rFonts w:ascii="Cambria Math" w:hAnsi="Cambria Math" w:cs="Times New Roman"/>
            <w:color w:val="0D0D0D"/>
            <w:sz w:val="20"/>
            <w:szCs w:val="20"/>
            <w:shd w:val="clear" w:color="auto" w:fill="FFFFFF"/>
            <w:lang w:val="en-GB"/>
          </w:rPr>
          <m:t>m</m:t>
        </m:r>
      </m:oMath>
      <w:r w:rsidRPr="00B424FD">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xml:space="preserve">), with mean </w:t>
      </w:r>
      <m:oMath>
        <m:r>
          <w:rPr>
            <w:rFonts w:ascii="Cambria Math" w:hAnsi="Cambria Math" w:cs="Times New Roman"/>
            <w:color w:val="0D0D0D"/>
            <w:sz w:val="20"/>
            <w:szCs w:val="20"/>
            <w:shd w:val="clear" w:color="auto" w:fill="FFFFFF"/>
            <w:lang w:val="en-GB"/>
          </w:rPr>
          <m:t>m</m:t>
        </m:r>
      </m:oMath>
      <w:r w:rsidRPr="00B424FD">
        <w:rPr>
          <w:rFonts w:ascii="Times New Roman" w:hAnsi="Times New Roman" w:cs="Times New Roman"/>
          <w:sz w:val="20"/>
          <w:szCs w:val="20"/>
          <w:lang w:val="en-GB"/>
        </w:rPr>
        <w:t xml:space="preserve"> and shape parameter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then:</w:t>
      </w:r>
    </w:p>
    <w:p w14:paraId="46B06941" w14:textId="708657CA" w:rsidR="00373D9B" w:rsidRPr="00B424FD" w:rsidRDefault="00000000" w:rsidP="003B3837">
      <w:pPr>
        <w:pStyle w:val="ListParagraph"/>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m,κ</m:t>
                  </m:r>
                </m:e>
              </m:d>
              <m:r>
                <w:rPr>
                  <w:rFonts w:ascii="Cambria Math" w:hAnsi="Cambria Math" w:cs="Times New Roman"/>
                  <w:color w:val="0D0D0D"/>
                  <w:sz w:val="20"/>
                  <w:szCs w:val="20"/>
                  <w:shd w:val="clear" w:color="auto" w:fill="FFFFFF"/>
                  <w:lang w:val="en-GB"/>
                </w:rPr>
                <m:t>=</m:t>
              </m:r>
              <m:f>
                <m:fPr>
                  <m:ctrlPr>
                    <w:rPr>
                      <w:rFonts w:ascii="Cambria Math" w:hAnsi="Cambria Math" w:cs="Times New Roman"/>
                      <w:i/>
                      <w:color w:val="0D0D0D"/>
                      <w:sz w:val="20"/>
                      <w:szCs w:val="20"/>
                      <w:shd w:val="clear" w:color="auto" w:fill="FFFFFF"/>
                      <w:lang w:val="en-GB"/>
                    </w:rPr>
                  </m:ctrlPr>
                </m:fPr>
                <m:num>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κ+x</m:t>
                      </m:r>
                    </m:e>
                  </m:d>
                </m:num>
                <m:den>
                  <m:r>
                    <w:rPr>
                      <w:rFonts w:ascii="Cambria Math" w:hAnsi="Cambria Math" w:cs="Times New Roman"/>
                      <w:color w:val="0D0D0D"/>
                      <w:sz w:val="20"/>
                      <w:szCs w:val="20"/>
                      <w:shd w:val="clear" w:color="auto" w:fill="FFFFFF"/>
                      <w:lang w:val="en-GB"/>
                    </w:rPr>
                    <m:t>x!</m:t>
                  </m:r>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κ</m:t>
                      </m:r>
                    </m:e>
                  </m:d>
                </m:den>
              </m:f>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κ</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κ</m:t>
                  </m:r>
                </m:sup>
              </m:sSup>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m</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x</m:t>
                  </m:r>
                </m:sup>
              </m:sSup>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e>
              </m:d>
            </m:e>
          </m:eqArr>
        </m:oMath>
      </m:oMathPara>
    </w:p>
    <w:p w14:paraId="78C2CF7B" w14:textId="42CCFCEF" w:rsidR="00373D9B" w:rsidRPr="00B424FD" w:rsidRDefault="00373D9B"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lastRenderedPageBreak/>
        <w:t xml:space="preserve">where the shape parameter characterises the level of clustering or heterogeneity in the observation process, and </w:t>
      </w:r>
      <m:oMath>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m:t>
            </m:r>
          </m:e>
        </m:d>
      </m:oMath>
      <w:r w:rsidRPr="00B424FD">
        <w:rPr>
          <w:rFonts w:ascii="Times New Roman" w:hAnsi="Times New Roman" w:cs="Times New Roman"/>
          <w:sz w:val="20"/>
          <w:szCs w:val="20"/>
          <w:lang w:val="en-GB"/>
        </w:rPr>
        <w:t xml:space="preserve"> is the Gamma function. Under the </w:t>
      </w:r>
      <w:r w:rsidR="000B2196" w:rsidRPr="00B424FD">
        <w:rPr>
          <w:rFonts w:ascii="Times New Roman" w:hAnsi="Times New Roman" w:cs="Times New Roman"/>
          <w:sz w:val="20"/>
          <w:szCs w:val="20"/>
          <w:lang w:val="en-GB"/>
        </w:rPr>
        <w:t>N</w:t>
      </w:r>
      <w:r w:rsidRPr="00B424FD">
        <w:rPr>
          <w:rFonts w:ascii="Times New Roman" w:hAnsi="Times New Roman" w:cs="Times New Roman"/>
          <w:sz w:val="20"/>
          <w:szCs w:val="20"/>
          <w:lang w:val="en-GB"/>
        </w:rPr>
        <w:t>egative</w:t>
      </w:r>
      <w:r w:rsidR="000B2196" w:rsidRPr="00B424FD">
        <w:rPr>
          <w:rFonts w:ascii="Times New Roman" w:hAnsi="Times New Roman" w:cs="Times New Roman"/>
          <w:sz w:val="20"/>
          <w:szCs w:val="20"/>
          <w:lang w:val="en-GB"/>
        </w:rPr>
        <w:t>-B</w:t>
      </w:r>
      <w:r w:rsidRPr="00B424FD">
        <w:rPr>
          <w:rFonts w:ascii="Times New Roman" w:hAnsi="Times New Roman" w:cs="Times New Roman"/>
          <w:sz w:val="20"/>
          <w:szCs w:val="20"/>
          <w:lang w:val="en-GB"/>
        </w:rPr>
        <w:t>inomial distribution</w:t>
      </w:r>
      <w:r w:rsidR="000B2196" w:rsidRPr="00B424FD">
        <w:rPr>
          <w:rFonts w:ascii="Times New Roman" w:hAnsi="Times New Roman" w:cs="Times New Roman"/>
          <w:sz w:val="20"/>
          <w:szCs w:val="20"/>
          <w:lang w:val="en-GB"/>
        </w:rPr>
        <w:t>,</w:t>
      </w:r>
      <w:r w:rsidRPr="00B424FD">
        <w:rPr>
          <w:rFonts w:ascii="Times New Roman" w:hAnsi="Times New Roman" w:cs="Times New Roman"/>
          <w:sz w:val="20"/>
          <w:szCs w:val="20"/>
          <w:lang w:val="en-GB"/>
        </w:rPr>
        <w:t xml:space="preserve"> </w:t>
      </w:r>
      <w:r w:rsidR="000B2196" w:rsidRPr="00B424FD">
        <w:rPr>
          <w:rFonts w:ascii="Times New Roman" w:hAnsi="Times New Roman" w:cs="Times New Roman"/>
          <w:color w:val="0D0D0D"/>
          <w:sz w:val="20"/>
          <w:szCs w:val="20"/>
          <w:shd w:val="clear" w:color="auto" w:fill="FFFFFF"/>
          <w:lang w:val="en-GB"/>
        </w:rPr>
        <w:t xml:space="preserve">the variance of </w:t>
      </w:r>
      <m:oMath>
        <m:r>
          <w:rPr>
            <w:rFonts w:ascii="Cambria Math" w:hAnsi="Cambria Math" w:cs="Times New Roman"/>
            <w:color w:val="0D0D0D"/>
            <w:sz w:val="20"/>
            <w:szCs w:val="20"/>
            <w:shd w:val="clear" w:color="auto" w:fill="FFFFFF"/>
            <w:lang w:val="en-GB"/>
          </w:rPr>
          <m:t>X</m:t>
        </m:r>
      </m:oMath>
      <w:r w:rsidR="000B2196" w:rsidRPr="00B424FD">
        <w:rPr>
          <w:rFonts w:ascii="Times New Roman" w:hAnsi="Times New Roman" w:cs="Times New Roman"/>
          <w:color w:val="0D0D0D"/>
          <w:sz w:val="20"/>
          <w:szCs w:val="20"/>
          <w:shd w:val="clear" w:color="auto" w:fill="FFFFFF"/>
          <w:lang w:val="en-GB"/>
        </w:rPr>
        <w:t xml:space="preserve"> is </w:t>
      </w:r>
      <m:oMath>
        <m:r>
          <w:rPr>
            <w:rFonts w:ascii="Cambria Math" w:hAnsi="Cambria Math" w:cs="Times New Roman"/>
            <w:sz w:val="20"/>
            <w:szCs w:val="20"/>
            <w:lang w:val="en-GB"/>
          </w:rPr>
          <m:t>Var</m:t>
        </m:r>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X</m:t>
            </m:r>
          </m:e>
        </m:d>
        <m:r>
          <w:rPr>
            <w:rFonts w:ascii="Cambria Math" w:hAnsi="Cambria Math" w:cs="Times New Roman"/>
            <w:sz w:val="20"/>
            <w:szCs w:val="20"/>
            <w:lang w:val="en-GB"/>
          </w:rPr>
          <m:t>=m+</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m</m:t>
            </m:r>
          </m:e>
          <m:sup>
            <m:r>
              <w:rPr>
                <w:rFonts w:ascii="Cambria Math" w:hAnsi="Cambria Math" w:cs="Times New Roman"/>
                <w:sz w:val="20"/>
                <w:szCs w:val="20"/>
                <w:lang w:val="en-GB"/>
              </w:rPr>
              <m:t>2</m:t>
            </m:r>
          </m:sup>
        </m:sSup>
        <m:r>
          <m:rPr>
            <m:lit/>
          </m:rPr>
          <w:rPr>
            <w:rFonts w:ascii="Cambria Math" w:hAnsi="Cambria Math" w:cs="Times New Roman"/>
            <w:sz w:val="20"/>
            <w:szCs w:val="20"/>
            <w:lang w:val="en-GB"/>
          </w:rPr>
          <m:t>/</m:t>
        </m:r>
        <m:r>
          <w:rPr>
            <w:rFonts w:ascii="Cambria Math" w:hAnsi="Cambria Math" w:cs="Times New Roman"/>
            <w:sz w:val="20"/>
            <w:szCs w:val="20"/>
            <w:lang w:val="en-GB"/>
          </w:rPr>
          <m:t>k</m:t>
        </m:r>
      </m:oMath>
      <w:r w:rsidRPr="00B424FD">
        <w:rPr>
          <w:rFonts w:ascii="Times New Roman" w:hAnsi="Times New Roman" w:cs="Times New Roman"/>
          <w:sz w:val="20"/>
          <w:szCs w:val="20"/>
          <w:lang w:val="en-GB"/>
        </w:rPr>
        <w:t>.</w:t>
      </w:r>
    </w:p>
    <w:p w14:paraId="649E9EF6" w14:textId="656CBB46" w:rsidR="00373D9B" w:rsidRPr="00B424FD" w:rsidRDefault="00373D9B"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The </w:t>
      </w:r>
      <w:r w:rsidR="00BF7575" w:rsidRPr="00B424FD">
        <w:rPr>
          <w:rFonts w:ascii="Times New Roman" w:hAnsi="Times New Roman" w:cs="Times New Roman"/>
          <w:sz w:val="20"/>
          <w:szCs w:val="20"/>
          <w:lang w:val="en-GB"/>
        </w:rPr>
        <w:t>observation processes</w:t>
      </w:r>
      <w:r w:rsidRPr="00B424FD">
        <w:rPr>
          <w:rFonts w:ascii="Times New Roman" w:hAnsi="Times New Roman" w:cs="Times New Roman"/>
          <w:sz w:val="20"/>
          <w:szCs w:val="20"/>
          <w:lang w:val="en-GB"/>
        </w:rPr>
        <w:t xml:space="preserve"> of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Z</m:t>
            </m:r>
          </m:e>
          <m:sub>
            <m:r>
              <w:rPr>
                <w:rFonts w:ascii="Cambria Math" w:hAnsi="Cambria Math" w:cs="Times New Roman"/>
                <w:sz w:val="20"/>
                <w:szCs w:val="20"/>
                <w:lang w:val="en-GB"/>
              </w:rPr>
              <m:t>T</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26C1F" w:rsidRPr="00B424FD">
        <w:rPr>
          <w:rFonts w:ascii="Times New Roman" w:hAnsi="Times New Roman" w:cs="Times New Roman"/>
          <w:sz w:val="20"/>
          <w:szCs w:val="20"/>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for each strain (i.e.,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w:r w:rsidR="00A26C1F" w:rsidRPr="00B424FD">
        <w:rPr>
          <w:rFonts w:ascii="Times New Roman" w:hAnsi="Times New Roman" w:cs="Times New Roman"/>
          <w:sz w:val="20"/>
          <w:szCs w:val="20"/>
          <w:lang w:val="en-GB"/>
        </w:rPr>
        <w:t>are</w:t>
      </w:r>
      <w:r w:rsidRPr="00B424FD">
        <w:rPr>
          <w:rFonts w:ascii="Times New Roman" w:hAnsi="Times New Roman" w:cs="Times New Roman"/>
          <w:sz w:val="20"/>
          <w:szCs w:val="20"/>
          <w:lang w:val="en-GB"/>
        </w:rPr>
        <w:t>:</w:t>
      </w:r>
    </w:p>
    <w:p w14:paraId="3445382E" w14:textId="75836A5B" w:rsidR="00373D9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#(2)</m:t>
                  </m:r>
                </m:e>
              </m:eqArr>
              <m:r>
                <w:rPr>
                  <w:rFonts w:ascii="Cambria Math" w:hAnsi="Cambria Math" w:cs="Times New Roman"/>
                  <w:color w:val="0D0D0D"/>
                  <w:sz w:val="20"/>
                  <w:szCs w:val="20"/>
                  <w:shd w:val="clear" w:color="auto" w:fill="FFFFFF"/>
                  <w:lang w:val="en-GB"/>
                </w:rPr>
                <m:t>#</m:t>
              </m:r>
            </m:e>
          </m:eqArr>
        </m:oMath>
      </m:oMathPara>
    </w:p>
    <w:p w14:paraId="7B8989CA" w14:textId="22B028E0"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m:t>
                  </m:r>
                </m:e>
              </m:d>
            </m:e>
          </m:eqArr>
        </m:oMath>
      </m:oMathPara>
    </w:p>
    <w:p w14:paraId="5B283957" w14:textId="7B92515D"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4</m:t>
                  </m:r>
                </m:e>
              </m:d>
            </m:e>
          </m:eqArr>
        </m:oMath>
      </m:oMathPara>
    </w:p>
    <w:p w14:paraId="23FC7EDA" w14:textId="6CBFB7B1"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5</m:t>
                  </m:r>
                </m:e>
              </m:d>
            </m:e>
          </m:eqArr>
        </m:oMath>
      </m:oMathPara>
    </w:p>
    <w:p w14:paraId="0FADA385" w14:textId="4913454A"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6</m:t>
                  </m:r>
                </m:e>
              </m:d>
            </m:e>
          </m:eqArr>
        </m:oMath>
      </m:oMathPara>
    </w:p>
    <w:p w14:paraId="17BE8868" w14:textId="38B220DE" w:rsidR="00666618" w:rsidRPr="00B424FD"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where</w:t>
      </w:r>
      <w:r w:rsidRPr="00B424FD">
        <w:rPr>
          <w:rFonts w:ascii="Times New Roman" w:hAnsi="Times New Roman" w:cs="Times New Roman"/>
          <w:color w:val="0D0D0D"/>
          <w:sz w:val="20"/>
          <w:szCs w:val="20"/>
          <w:shd w:val="clear" w:color="auto" w:fill="FFFFFF"/>
          <w:lang w:val="en-GB"/>
        </w:rPr>
        <w:br/>
      </w: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eqArr>
                            <m:eqArrPr>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e>
                            <m:e>
                              <m:r>
                                <w:rPr>
                                  <w:rFonts w:ascii="Cambria Math" w:hAnsi="Cambria Math" w:cs="Times New Roman"/>
                                  <w:color w:val="0D0D0D"/>
                                  <w:sz w:val="20"/>
                                  <w:szCs w:val="20"/>
                                  <w:shd w:val="clear" w:color="auto" w:fill="FFFFFF"/>
                                  <w:lang w:val="en-GB"/>
                                </w:rPr>
                                <m:t>+ 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eqAr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8</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9</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10</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m:t>
                  </m:r>
                </m:e>
              </m:d>
            </m:e>
          </m:eqArr>
        </m:oMath>
      </m:oMathPara>
    </w:p>
    <w:p w14:paraId="4D388520" w14:textId="083D54B8" w:rsidR="00373D9B" w:rsidRPr="00B424FD"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B424FD">
        <w:rPr>
          <w:rFonts w:ascii="Times New Roman" w:hAnsi="Times New Roman" w:cs="Times New Roman"/>
          <w:color w:val="0D0D0D"/>
          <w:sz w:val="20"/>
          <w:szCs w:val="20"/>
          <w:shd w:val="clear" w:color="auto" w:fill="FFFFFF"/>
          <w:lang w:val="en-GB"/>
        </w:rPr>
        <w:t xml:space="preserve"> denotes the time variable of integration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oMath>
      <w:r w:rsidR="001F6852" w:rsidRPr="00B424FD">
        <w:rPr>
          <w:rFonts w:ascii="Times New Roman" w:hAnsi="Times New Roman" w:cs="Times New Roman"/>
          <w:iCs/>
          <w:color w:val="0D0D0D"/>
          <w:sz w:val="20"/>
          <w:szCs w:val="20"/>
          <w:shd w:val="clear" w:color="auto" w:fill="FFFFFF"/>
          <w:lang w:val="en-GB"/>
        </w:rPr>
        <w:t xml:space="preserve"> </w:t>
      </w:r>
      <w:r w:rsidRPr="00B424FD">
        <w:rPr>
          <w:rFonts w:ascii="Times New Roman" w:hAnsi="Times New Roman" w:cs="Times New Roman"/>
          <w:color w:val="0D0D0D"/>
          <w:sz w:val="20"/>
          <w:szCs w:val="20"/>
          <w:shd w:val="clear" w:color="auto" w:fill="FFFFFF"/>
          <w:lang w:val="en-GB"/>
        </w:rPr>
        <w:t xml:space="preserve">denotes the </w:t>
      </w:r>
      <w:r w:rsidR="001F6852" w:rsidRPr="00B424FD">
        <w:rPr>
          <w:rFonts w:ascii="Times New Roman" w:hAnsi="Times New Roman" w:cs="Times New Roman"/>
          <w:color w:val="0D0D0D"/>
          <w:sz w:val="20"/>
          <w:szCs w:val="20"/>
          <w:shd w:val="clear" w:color="auto" w:fill="FFFFFF"/>
          <w:lang w:val="en-GB"/>
        </w:rPr>
        <w:t xml:space="preserve">shared </w:t>
      </w:r>
      <w:r w:rsidRPr="00B424FD">
        <w:rPr>
          <w:rFonts w:ascii="Times New Roman" w:hAnsi="Times New Roman" w:cs="Times New Roman"/>
          <w:color w:val="0D0D0D"/>
          <w:sz w:val="20"/>
          <w:szCs w:val="20"/>
          <w:shd w:val="clear" w:color="auto" w:fill="FFFFFF"/>
          <w:lang w:val="en-GB"/>
        </w:rPr>
        <w:t>shape parameter</w:t>
      </w:r>
      <w:r w:rsidR="00BF327B" w:rsidRPr="00B424FD">
        <w:rPr>
          <w:rFonts w:ascii="Times New Roman" w:hAnsi="Times New Roman" w:cs="Times New Roman"/>
          <w:color w:val="0D0D0D"/>
          <w:sz w:val="20"/>
          <w:szCs w:val="20"/>
          <w:shd w:val="clear" w:color="auto" w:fill="FFFFFF"/>
          <w:lang w:val="en-GB"/>
        </w:rPr>
        <w:t xml:space="preserve"> for GUMCAD data streams</w:t>
      </w:r>
      <w:r w:rsidRPr="00B424FD">
        <w:rPr>
          <w:rFonts w:ascii="Times New Roman" w:hAnsi="Times New Roman" w:cs="Times New Roman"/>
          <w:color w:val="0D0D0D"/>
          <w:sz w:val="20"/>
          <w:szCs w:val="20"/>
          <w:shd w:val="clear" w:color="auto" w:fill="FFFFFF"/>
          <w:lang w:val="en-GB"/>
        </w:rPr>
        <w:t>.</w:t>
      </w:r>
    </w:p>
    <w:p w14:paraId="51FC9C33" w14:textId="79E2AAB9" w:rsidR="003C1F45" w:rsidRPr="00B424FD" w:rsidRDefault="003C1F45"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sidRPr="00B424FD">
        <w:rPr>
          <w:rFonts w:ascii="Times New Roman" w:hAnsi="Times New Roman" w:cs="Times New Roman"/>
          <w:color w:val="000000"/>
          <w:sz w:val="20"/>
          <w:szCs w:val="20"/>
          <w:lang w:val="en-GB"/>
        </w:rPr>
        <w:t xml:space="preserve">We compared the observed annual number of symptomatic gonorrhoea diagnoses in the </w:t>
      </w:r>
      <w:r w:rsidR="0084213D" w:rsidRPr="00B424FD">
        <w:rPr>
          <w:rFonts w:ascii="Times New Roman" w:hAnsi="Times New Roman" w:cs="Times New Roman"/>
          <w:color w:val="000000"/>
          <w:sz w:val="20"/>
          <w:szCs w:val="20"/>
          <w:lang w:val="en-GB"/>
        </w:rPr>
        <w:t>Gonococcal Resistance to Antimicrobials Surveillance Program (</w:t>
      </w:r>
      <w:r w:rsidRPr="00B424FD">
        <w:rPr>
          <w:rFonts w:ascii="Times New Roman" w:hAnsi="Times New Roman" w:cs="Times New Roman"/>
          <w:color w:val="000000"/>
          <w:sz w:val="20"/>
          <w:szCs w:val="20"/>
          <w:lang w:val="en-GB"/>
        </w:rPr>
        <w:t>GRASP</w:t>
      </w:r>
      <w:r w:rsidR="0084213D" w:rsidRPr="00B424FD">
        <w:rPr>
          <w:rFonts w:ascii="Times New Roman" w:hAnsi="Times New Roman" w:cs="Times New Roman"/>
          <w:color w:val="000000"/>
          <w:sz w:val="20"/>
          <w:szCs w:val="20"/>
          <w:lang w:val="en-GB"/>
        </w:rPr>
        <w:t>)</w:t>
      </w:r>
      <w:r w:rsidRPr="00B424FD">
        <w:rPr>
          <w:rFonts w:ascii="Times New Roman" w:hAnsi="Times New Roman" w:cs="Times New Roman"/>
          <w:color w:val="000000"/>
          <w:sz w:val="20"/>
          <w:szCs w:val="20"/>
          <w:lang w:val="en-GB"/>
        </w:rPr>
        <w:t xml:space="preserve"> sample,</w:t>
      </w:r>
      <w:r w:rsidRPr="00B424FD">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iCs/>
          <w:color w:val="0D0D0D"/>
          <w:sz w:val="20"/>
          <w:szCs w:val="20"/>
          <w:shd w:val="clear" w:color="auto" w:fill="FFFFFF"/>
          <w:lang w:val="en-GB"/>
        </w:rPr>
        <w:t>,</w:t>
      </w:r>
      <w:r w:rsidRPr="00B424FD">
        <w:rPr>
          <w:rFonts w:ascii="Times New Roman" w:hAnsi="Times New Roman" w:cs="Times New Roman"/>
          <w:color w:val="000000"/>
          <w:sz w:val="20"/>
          <w:szCs w:val="20"/>
          <w:lang w:val="en-GB"/>
        </w:rPr>
        <w:t xml:space="preserve"> 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w:t>
      </w:r>
      <w:r w:rsidRPr="00B424FD">
        <w:rPr>
          <w:rFonts w:ascii="Times New Roman" w:hAnsi="Times New Roman" w:cs="Times New Roman"/>
          <w:color w:val="000000"/>
          <w:sz w:val="20"/>
          <w:szCs w:val="20"/>
          <w:lang w:val="en-GB"/>
        </w:rPr>
        <w:t xml:space="preserve">using </w:t>
      </w:r>
      <w:r w:rsidR="0079342B" w:rsidRPr="00B424FD">
        <w:rPr>
          <w:rFonts w:ascii="Times New Roman" w:hAnsi="Times New Roman" w:cs="Times New Roman"/>
          <w:color w:val="000000"/>
          <w:sz w:val="20"/>
          <w:szCs w:val="20"/>
          <w:lang w:val="en-GB"/>
        </w:rPr>
        <w:t>a Beta</w:t>
      </w:r>
      <w:r w:rsidRPr="00B424FD">
        <w:rPr>
          <w:rFonts w:ascii="Times New Roman" w:hAnsi="Times New Roman" w:cs="Times New Roman"/>
          <w:color w:val="000000"/>
          <w:sz w:val="20"/>
          <w:szCs w:val="20"/>
          <w:lang w:val="en-GB"/>
        </w:rPr>
        <w:t xml:space="preserve">-Binomial </w:t>
      </w:r>
      <w:r w:rsidR="0079342B" w:rsidRPr="00B424FD">
        <w:rPr>
          <w:rFonts w:ascii="Times New Roman" w:hAnsi="Times New Roman" w:cs="Times New Roman"/>
          <w:color w:val="000000"/>
          <w:sz w:val="20"/>
          <w:szCs w:val="20"/>
          <w:lang w:val="en-GB"/>
        </w:rPr>
        <w:t>likelihood</w:t>
      </w:r>
      <w:r w:rsidRPr="00B424FD">
        <w:rPr>
          <w:rFonts w:ascii="Times New Roman" w:hAnsi="Times New Roman" w:cs="Times New Roman"/>
          <w:color w:val="000000"/>
          <w:sz w:val="20"/>
          <w:szCs w:val="20"/>
          <w:lang w:val="en-GB"/>
        </w:rPr>
        <w:t>.</w:t>
      </w:r>
      <w:r w:rsidRPr="00B424FD">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Pr="00B424FD">
        <w:rPr>
          <w:rFonts w:ascii="Times New Roman" w:hAnsi="Times New Roman" w:cs="Times New Roman"/>
          <w:sz w:val="20"/>
          <w:szCs w:val="20"/>
          <w:lang w:val="en-GB"/>
        </w:rPr>
        <w:t xml:space="preserve"> </w:t>
      </w:r>
      <w:r w:rsidRPr="00B424FD">
        <w:rPr>
          <w:rFonts w:ascii="Cambria Math" w:hAnsi="Cambria Math" w:cs="Cambria Math"/>
          <w:sz w:val="20"/>
          <w:szCs w:val="20"/>
          <w:lang w:val="en-GB"/>
        </w:rPr>
        <w:t>∼</w:t>
      </w:r>
      <w:r w:rsidRPr="00B424FD">
        <w:rPr>
          <w:rFonts w:ascii="Times New Roman" w:hAnsi="Times New Roman" w:cs="Times New Roman"/>
          <w:sz w:val="20"/>
          <w:szCs w:val="20"/>
          <w:lang w:val="en-GB"/>
        </w:rPr>
        <w:t xml:space="preserve"> </w:t>
      </w:r>
      <w:proofErr w:type="spellStart"/>
      <w:proofErr w:type="gramStart"/>
      <w:r w:rsidR="0079342B" w:rsidRPr="00B424FD">
        <w:rPr>
          <w:rFonts w:ascii="Times New Roman" w:hAnsi="Times New Roman" w:cs="Times New Roman"/>
          <w:sz w:val="20"/>
          <w:szCs w:val="20"/>
          <w:lang w:val="en-GB"/>
        </w:rPr>
        <w:t>Beta</w:t>
      </w:r>
      <w:r w:rsidRPr="00B424FD">
        <w:rPr>
          <w:rFonts w:ascii="Times New Roman" w:hAnsi="Times New Roman" w:cs="Times New Roman"/>
          <w:sz w:val="20"/>
          <w:szCs w:val="20"/>
          <w:lang w:val="en-GB"/>
        </w:rPr>
        <w:t>Binom</w:t>
      </w:r>
      <w:proofErr w:type="spellEnd"/>
      <w:r w:rsidRPr="00B424FD">
        <w:rPr>
          <w:rFonts w:ascii="Times New Roman" w:hAnsi="Times New Roman" w:cs="Times New Roman"/>
          <w:sz w:val="20"/>
          <w:szCs w:val="20"/>
          <w:lang w:val="en-GB"/>
        </w:rPr>
        <w:t>(</w:t>
      </w:r>
      <w:proofErr w:type="gramEnd"/>
      <m:oMath>
        <m:r>
          <w:rPr>
            <w:rFonts w:ascii="Cambria Math" w:hAnsi="Cambria Math" w:cs="Times New Roman"/>
            <w:sz w:val="20"/>
            <w:szCs w:val="20"/>
            <w:lang w:val="en-GB"/>
          </w:rPr>
          <m:t>n</m:t>
        </m:r>
      </m:oMath>
      <w:r w:rsidRPr="00B424FD">
        <w:rPr>
          <w:rFonts w:ascii="Times New Roman" w:hAnsi="Times New Roman" w:cs="Times New Roman"/>
          <w:sz w:val="20"/>
          <w:szCs w:val="20"/>
          <w:lang w:val="en-GB"/>
        </w:rPr>
        <w:t>,</w:t>
      </w:r>
      <w:r w:rsidR="0079342B" w:rsidRPr="00B424FD">
        <w:rPr>
          <w:rFonts w:ascii="Cambria Math" w:hAnsi="Cambria Math" w:cs="Times New Roman"/>
          <w:i/>
          <w:sz w:val="20"/>
          <w:szCs w:val="20"/>
          <w:lang w:val="en-GB"/>
        </w:rPr>
        <w:t xml:space="preserve"> </w:t>
      </w:r>
      <m:oMath>
        <m:r>
          <w:rPr>
            <w:rFonts w:ascii="Cambria Math" w:hAnsi="Cambria Math" w:cs="Times New Roman"/>
            <w:sz w:val="20"/>
            <w:szCs w:val="20"/>
            <w:lang w:val="en-GB"/>
          </w:rPr>
          <m:t>p</m:t>
        </m:r>
      </m:oMath>
      <w:r w:rsidR="0079342B" w:rsidRPr="00B424FD">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xml:space="preserve">), with </w:t>
      </w:r>
      <w:r w:rsidR="0079342B" w:rsidRPr="00B424FD">
        <w:rPr>
          <w:rFonts w:ascii="Times New Roman" w:hAnsi="Times New Roman" w:cs="Times New Roman"/>
          <w:sz w:val="20"/>
          <w:szCs w:val="20"/>
          <w:lang w:val="en-GB"/>
        </w:rPr>
        <w:t xml:space="preserve">size </w:t>
      </w:r>
      <m:oMath>
        <m:r>
          <w:rPr>
            <w:rFonts w:ascii="Cambria Math" w:hAnsi="Cambria Math" w:cs="Times New Roman"/>
            <w:sz w:val="20"/>
            <w:szCs w:val="20"/>
            <w:lang w:val="en-GB"/>
          </w:rPr>
          <m:t>n</m:t>
        </m:r>
      </m:oMath>
      <w:r w:rsidR="0079342B" w:rsidRPr="00B424FD">
        <w:rPr>
          <w:rFonts w:ascii="Times New Roman" w:hAnsi="Times New Roman" w:cs="Times New Roman"/>
          <w:sz w:val="20"/>
          <w:szCs w:val="20"/>
          <w:lang w:val="en-GB"/>
        </w:rPr>
        <w:t xml:space="preserve">, probability </w:t>
      </w:r>
      <m:oMath>
        <m:r>
          <w:rPr>
            <w:rFonts w:ascii="Cambria Math" w:hAnsi="Cambria Math" w:cs="Times New Roman"/>
            <w:sz w:val="20"/>
            <w:szCs w:val="20"/>
            <w:lang w:val="en-GB"/>
          </w:rPr>
          <m:t>p</m:t>
        </m:r>
      </m:oMath>
      <w:r w:rsidR="0079342B" w:rsidRPr="00B424FD">
        <w:rPr>
          <w:rFonts w:ascii="Times New Roman" w:hAnsi="Times New Roman" w:cs="Times New Roman"/>
          <w:sz w:val="20"/>
          <w:szCs w:val="20"/>
          <w:lang w:val="en-GB"/>
        </w:rPr>
        <w:t xml:space="preserve"> </w:t>
      </w:r>
      <w:r w:rsidRPr="00B424FD">
        <w:rPr>
          <w:rFonts w:ascii="Times New Roman" w:hAnsi="Times New Roman" w:cs="Times New Roman"/>
          <w:sz w:val="20"/>
          <w:szCs w:val="20"/>
          <w:lang w:val="en-GB"/>
        </w:rPr>
        <w:t xml:space="preserve">and </w:t>
      </w:r>
      <w:r w:rsidR="0079342B" w:rsidRPr="00B424FD">
        <w:rPr>
          <w:rFonts w:ascii="Times New Roman" w:hAnsi="Times New Roman" w:cs="Times New Roman"/>
          <w:sz w:val="20"/>
          <w:szCs w:val="20"/>
          <w:lang w:val="en-GB"/>
        </w:rPr>
        <w:t>over-dispersion</w:t>
      </w:r>
      <w:r w:rsidRPr="00B424FD">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then:</w:t>
      </w:r>
    </w:p>
    <w:p w14:paraId="49884553" w14:textId="468B5D64" w:rsidR="003C1F45" w:rsidRPr="00B424FD"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n,p,</m:t>
                  </m:r>
                  <m:r>
                    <m:rPr>
                      <m:sty m:val="p"/>
                    </m:rPr>
                    <w:rPr>
                      <w:rFonts w:ascii="Cambria Math" w:hAnsi="Cambria Math" w:cs="Times New Roman"/>
                      <w:color w:val="0D0D0D"/>
                      <w:sz w:val="20"/>
                      <w:szCs w:val="20"/>
                      <w:shd w:val="clear" w:color="auto" w:fill="FFFFFF"/>
                      <w:lang w:val="en-GB"/>
                    </w:rPr>
                    <m:t>κ</m:t>
                  </m:r>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f>
                    <m:fPr>
                      <m:type m:val="noBa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n</m:t>
                      </m:r>
                    </m:num>
                    <m:den>
                      <m:r>
                        <w:rPr>
                          <w:rFonts w:ascii="Cambria Math" w:hAnsi="Cambria Math" w:cs="Times New Roman"/>
                          <w:color w:val="0D0D0D"/>
                          <w:sz w:val="20"/>
                          <w:szCs w:val="20"/>
                          <w:shd w:val="clear" w:color="auto" w:fill="FFFFFF"/>
                          <w:lang w:val="en-GB"/>
                        </w:rPr>
                        <m:t>x</m:t>
                      </m:r>
                    </m:den>
                  </m:f>
                </m:e>
              </m:d>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x+a,n-x+b</m:t>
                      </m:r>
                    </m:e>
                  </m:d>
                  <m:ctrlPr>
                    <w:rPr>
                      <w:rFonts w:ascii="Cambria Math" w:hAnsi="Cambria Math" w:cs="Times New Roman"/>
                      <w:i/>
                      <w:color w:val="0D0D0D"/>
                      <w:sz w:val="20"/>
                      <w:szCs w:val="20"/>
                      <w:shd w:val="clear" w:color="auto" w:fill="FFFFFF"/>
                      <w:lang w:val="en-GB"/>
                    </w:rPr>
                  </m:ctrlPr>
                </m:num>
                <m:den>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a,b</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12</m:t>
                  </m:r>
                </m:e>
              </m:d>
            </m:e>
          </m:eqArr>
        </m:oMath>
      </m:oMathPara>
    </w:p>
    <w:p w14:paraId="31083E4B" w14:textId="0851C929" w:rsidR="000B2196" w:rsidRPr="00B424FD"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where</w:t>
      </w:r>
      <w:r w:rsidR="000B2196" w:rsidRPr="00B424FD">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m:t>
            </m:r>
          </m:e>
        </m:d>
      </m:oMath>
      <w:r w:rsidR="000B2196" w:rsidRPr="00B424FD">
        <w:rPr>
          <w:rFonts w:ascii="Times New Roman" w:hAnsi="Times New Roman" w:cs="Times New Roman"/>
          <w:color w:val="0D0D0D"/>
          <w:sz w:val="20"/>
          <w:szCs w:val="20"/>
          <w:shd w:val="clear" w:color="auto" w:fill="FFFFFF"/>
          <w:lang w:val="en-GB"/>
        </w:rPr>
        <w:t xml:space="preserve"> is the Beta function and </w:t>
      </w:r>
      <m:oMath>
        <m:r>
          <w:rPr>
            <w:rFonts w:ascii="Cambria Math" w:hAnsi="Cambria Math" w:cs="Times New Roman"/>
            <w:color w:val="0D0D0D"/>
            <w:sz w:val="20"/>
            <w:szCs w:val="20"/>
            <w:shd w:val="clear" w:color="auto" w:fill="FFFFFF"/>
            <w:lang w:val="en-GB"/>
          </w:rPr>
          <m:t>a=p</m:t>
        </m:r>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B424FD">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B424FD">
        <w:rPr>
          <w:rFonts w:ascii="Times New Roman" w:hAnsi="Times New Roman" w:cs="Times New Roman"/>
          <w:color w:val="0D0D0D"/>
          <w:sz w:val="20"/>
          <w:szCs w:val="20"/>
          <w:shd w:val="clear" w:color="auto" w:fill="FFFFFF"/>
          <w:lang w:val="en-GB"/>
        </w:rPr>
        <w:t xml:space="preserve">. Under the Beta-Binomial distribution, the mean and variance of </w:t>
      </w:r>
      <m:oMath>
        <m:r>
          <w:rPr>
            <w:rFonts w:ascii="Cambria Math" w:hAnsi="Cambria Math" w:cs="Times New Roman"/>
            <w:color w:val="0D0D0D"/>
            <w:sz w:val="20"/>
            <w:szCs w:val="20"/>
            <w:shd w:val="clear" w:color="auto" w:fill="FFFFFF"/>
            <w:lang w:val="en-GB"/>
          </w:rPr>
          <m:t>X</m:t>
        </m:r>
      </m:oMath>
      <w:r w:rsidR="000B2196" w:rsidRPr="00B424FD">
        <w:rPr>
          <w:rFonts w:ascii="Times New Roman" w:hAnsi="Times New Roman" w:cs="Times New Roman"/>
          <w:color w:val="0D0D0D"/>
          <w:sz w:val="20"/>
          <w:szCs w:val="20"/>
          <w:shd w:val="clear" w:color="auto" w:fill="FFFFFF"/>
          <w:lang w:val="en-GB"/>
        </w:rPr>
        <w:t xml:space="preserve"> are </w:t>
      </w:r>
      <m:oMath>
        <m:r>
          <w:rPr>
            <w:rFonts w:ascii="Cambria Math" w:hAnsi="Cambria Math" w:cs="Times New Roman"/>
            <w:color w:val="0D0D0D"/>
            <w:sz w:val="20"/>
            <w:szCs w:val="20"/>
            <w:shd w:val="clear" w:color="auto" w:fill="FFFFFF"/>
            <w:lang w:val="en-GB"/>
          </w:rPr>
          <m:t>E</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oMath>
      <w:r w:rsidR="000B2196" w:rsidRPr="00B424FD">
        <w:rPr>
          <w:rFonts w:ascii="Times New Roman" w:hAnsi="Times New Roman" w:cs="Times New Roman"/>
          <w:color w:val="0D0D0D"/>
          <w:sz w:val="20"/>
          <w:szCs w:val="20"/>
          <w:shd w:val="clear" w:color="auto" w:fill="FFFFFF"/>
          <w:lang w:val="en-GB"/>
        </w:rPr>
        <w:t xml:space="preserve"> and </w:t>
      </w:r>
      <m:oMath>
        <m:r>
          <w:rPr>
            <w:rFonts w:ascii="Cambria Math" w:hAnsi="Cambria Math" w:cs="Times New Roman"/>
            <w:color w:val="0D0D0D"/>
            <w:sz w:val="20"/>
            <w:szCs w:val="20"/>
            <w:shd w:val="clear" w:color="auto" w:fill="FFFFFF"/>
            <w:lang w:val="en-GB"/>
          </w:rPr>
          <m:t>Var</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n-1</m:t>
                </m:r>
              </m:e>
            </m:d>
            <m:r>
              <m:rPr>
                <m:sty m:val="p"/>
              </m:rPr>
              <w:rPr>
                <w:rFonts w:ascii="Cambria Math" w:hAnsi="Cambria Math" w:cs="Times New Roman"/>
                <w:color w:val="0D0D0D"/>
                <w:sz w:val="20"/>
                <w:szCs w:val="20"/>
                <w:shd w:val="clear" w:color="auto" w:fill="FFFFFF"/>
                <w:lang w:val="en-GB"/>
              </w:rPr>
              <m:t>κ</m:t>
            </m:r>
          </m:e>
        </m:d>
      </m:oMath>
      <w:r w:rsidR="00EE4B38" w:rsidRPr="00B424FD">
        <w:rPr>
          <w:rFonts w:ascii="Times New Roman" w:hAnsi="Times New Roman" w:cs="Times New Roman"/>
          <w:color w:val="0D0D0D"/>
          <w:sz w:val="20"/>
          <w:szCs w:val="20"/>
          <w:shd w:val="clear" w:color="auto" w:fill="FFFFFF"/>
          <w:lang w:val="en-GB"/>
        </w:rPr>
        <w:t xml:space="preserve"> respectively.</w:t>
      </w:r>
    </w:p>
    <w:p w14:paraId="1EA6A0DE" w14:textId="77777777" w:rsidR="00EE4B38" w:rsidRPr="00B424FD"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The model-predicted probability that a diagnosis in year </w:t>
      </w:r>
      <m:oMath>
        <m:r>
          <w:rPr>
            <w:rFonts w:ascii="Cambria Math" w:hAnsi="Cambria Math" w:cs="Times New Roman"/>
            <w:color w:val="0D0D0D"/>
            <w:sz w:val="20"/>
            <w:szCs w:val="20"/>
            <w:shd w:val="clear" w:color="auto" w:fill="FFFFFF"/>
            <w:lang w:val="en-GB"/>
          </w:rPr>
          <m:t>t</m:t>
        </m:r>
      </m:oMath>
      <w:r w:rsidRPr="00B424FD">
        <w:rPr>
          <w:rFonts w:ascii="Times New Roman" w:hAnsi="Times New Roman" w:cs="Times New Roman"/>
          <w:color w:val="0D0D0D"/>
          <w:sz w:val="20"/>
          <w:szCs w:val="20"/>
          <w:shd w:val="clear" w:color="auto" w:fill="FFFFFF"/>
          <w:lang w:val="en-GB"/>
        </w:rPr>
        <w:t xml:space="preserve"> was symptomatic is </w:t>
      </w:r>
    </w:p>
    <w:p w14:paraId="72655DE5" w14:textId="3FBE625D" w:rsidR="00EE4B38" w:rsidRPr="00B424FD"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f>
                <m:fPr>
                  <m:ctrlPr>
                    <w:rPr>
                      <w:rFonts w:ascii="Cambria Math" w:hAnsi="Cambria Math" w:cs="Times New Roman"/>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13</m:t>
                  </m:r>
                </m:e>
              </m:d>
            </m:e>
          </m:eqArr>
        </m:oMath>
      </m:oMathPara>
    </w:p>
    <w:p w14:paraId="78599312" w14:textId="01B55053" w:rsidR="00EE4B38" w:rsidRPr="00B424FD"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where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and the number of symptomatic and asymptomatic diagnoses in year </w:t>
      </w:r>
      <m:oMath>
        <m:r>
          <w:rPr>
            <w:rFonts w:ascii="Cambria Math" w:hAnsi="Cambria Math" w:cs="Times New Roman"/>
            <w:color w:val="0D0D0D"/>
            <w:sz w:val="20"/>
            <w:szCs w:val="20"/>
            <w:shd w:val="clear" w:color="auto" w:fill="FFFFFF"/>
            <w:lang w:val="en-GB"/>
          </w:rPr>
          <m:t>t</m:t>
        </m:r>
      </m:oMath>
      <w:r w:rsidRPr="00B424FD">
        <w:rPr>
          <w:rFonts w:ascii="Times New Roman" w:hAnsi="Times New Roman" w:cs="Times New Roman"/>
          <w:color w:val="0D0D0D"/>
          <w:sz w:val="20"/>
          <w:szCs w:val="20"/>
          <w:shd w:val="clear" w:color="auto" w:fill="FFFFFF"/>
          <w:lang w:val="en-GB"/>
        </w:rPr>
        <w:t>, respectively, as follows:</w:t>
      </w:r>
    </w:p>
    <w:p w14:paraId="1ACB1A93" w14:textId="48BB77FE" w:rsidR="00877A9C" w:rsidRPr="00B424FD"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14</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15</m:t>
                  </m:r>
                </m:e>
              </m:d>
            </m:e>
          </m:eqArr>
        </m:oMath>
      </m:oMathPara>
    </w:p>
    <w:p w14:paraId="55CAC18B" w14:textId="75561A94" w:rsidR="00877A9C" w:rsidRPr="00B424FD"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iCs/>
          <w:color w:val="0D0D0D"/>
          <w:sz w:val="20"/>
          <w:szCs w:val="20"/>
          <w:shd w:val="clear" w:color="auto" w:fill="FFFFFF"/>
          <w:lang w:val="en-GB"/>
        </w:rPr>
        <w:t>We model</w:t>
      </w:r>
      <w:r w:rsidR="00F5221A" w:rsidRPr="00B424FD">
        <w:rPr>
          <w:rFonts w:ascii="Times New Roman" w:hAnsi="Times New Roman" w:cs="Times New Roman"/>
          <w:iCs/>
          <w:color w:val="0D0D0D"/>
          <w:sz w:val="20"/>
          <w:szCs w:val="20"/>
          <w:shd w:val="clear" w:color="auto" w:fill="FFFFFF"/>
          <w:lang w:val="en-GB"/>
        </w:rPr>
        <w:t>l</w:t>
      </w:r>
      <w:r w:rsidRPr="00B424FD">
        <w:rPr>
          <w:rFonts w:ascii="Times New Roman" w:hAnsi="Times New Roman" w:cs="Times New Roman"/>
          <w:iCs/>
          <w:color w:val="0D0D0D"/>
          <w:sz w:val="20"/>
          <w:szCs w:val="20"/>
          <w:shd w:val="clear" w:color="auto" w:fill="FFFFFF"/>
          <w:lang w:val="en-GB"/>
        </w:rPr>
        <w:t xml:space="preserve">ed </w:t>
      </w:r>
      <w:r w:rsidR="00F5221A" w:rsidRPr="00B424FD">
        <w:rPr>
          <w:rFonts w:ascii="Times New Roman" w:hAnsi="Times New Roman" w:cs="Times New Roman"/>
          <w:iCs/>
          <w:color w:val="0D0D0D"/>
          <w:sz w:val="20"/>
          <w:szCs w:val="20"/>
          <w:shd w:val="clear" w:color="auto" w:fill="FFFFFF"/>
          <w:lang w:val="en-GB"/>
        </w:rPr>
        <w:t xml:space="preserve">the number of symptomatic diagnoses in GRASP, accounting for the size of the GRASP sample,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F5221A" w:rsidRPr="00B424FD">
        <w:rPr>
          <w:rFonts w:ascii="Times New Roman" w:hAnsi="Times New Roman" w:cs="Times New Roman"/>
          <w:iCs/>
          <w:color w:val="0D0D0D"/>
          <w:sz w:val="20"/>
          <w:szCs w:val="20"/>
          <w:shd w:val="clear" w:color="auto" w:fill="FFFFFF"/>
          <w:lang w:val="en-GB"/>
        </w:rPr>
        <w:t xml:space="preserve">, and fitted the shape parameter for the GRASP dataset,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oMath>
      <w:r w:rsidR="00F5221A" w:rsidRPr="00B424FD">
        <w:rPr>
          <w:rFonts w:ascii="Times New Roman" w:hAnsi="Times New Roman" w:cs="Times New Roman"/>
          <w:color w:val="0D0D0D"/>
          <w:sz w:val="20"/>
          <w:szCs w:val="20"/>
          <w:shd w:val="clear" w:color="auto" w:fill="FFFFFF"/>
          <w:lang w:val="en-GB"/>
        </w:rPr>
        <w:t>, within the Bayesian framework:</w:t>
      </w:r>
    </w:p>
    <w:p w14:paraId="12E230CF" w14:textId="2161DA68" w:rsidR="00F5221A" w:rsidRPr="00B424FD"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~BetaBinom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f>
                        <m:fPr>
                          <m:ctrlPr>
                            <w:rPr>
                              <w:rFonts w:ascii="Cambria Math" w:hAnsi="Cambria Math" w:cs="Times New Roman"/>
                              <w:i/>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den>
                      </m:f>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16</m:t>
                  </m:r>
                </m:e>
              </m:d>
            </m:e>
          </m:eqArr>
        </m:oMath>
      </m:oMathPara>
    </w:p>
    <w:p w14:paraId="0C57FEA2" w14:textId="50B50D6A" w:rsidR="00373D9B" w:rsidRPr="00B424FD"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The overall likelihood of the data given the modelled trajectories produced by parameter set </w:t>
      </w:r>
      <m:oMath>
        <m:r>
          <m:rPr>
            <m:sty m:val="p"/>
          </m:rPr>
          <w:rPr>
            <w:rFonts w:ascii="Cambria Math" w:hAnsi="Cambria Math" w:cs="Times New Roman"/>
            <w:color w:val="0D0D0D"/>
            <w:sz w:val="20"/>
            <w:szCs w:val="20"/>
            <w:shd w:val="clear" w:color="auto" w:fill="FFFFFF"/>
            <w:lang w:val="en-GB"/>
          </w:rPr>
          <m:t>Θ</m:t>
        </m:r>
      </m:oMath>
      <w:r w:rsidRPr="00B424FD">
        <w:rPr>
          <w:rFonts w:ascii="Times New Roman" w:hAnsi="Times New Roman" w:cs="Times New Roman"/>
          <w:color w:val="0D0D0D"/>
          <w:sz w:val="20"/>
          <w:szCs w:val="20"/>
          <w:shd w:val="clear" w:color="auto" w:fill="FFFFFF"/>
          <w:lang w:val="en-GB"/>
        </w:rPr>
        <w:t xml:space="preserve"> was calculated as the product of the likelihoods of the </w:t>
      </w:r>
      <w:r w:rsidR="00506AFF" w:rsidRPr="00B424FD">
        <w:rPr>
          <w:rFonts w:ascii="Times New Roman" w:hAnsi="Times New Roman" w:cs="Times New Roman"/>
          <w:color w:val="0D0D0D"/>
          <w:sz w:val="20"/>
          <w:szCs w:val="20"/>
          <w:shd w:val="clear" w:color="auto" w:fill="FFFFFF"/>
          <w:lang w:val="en-GB"/>
        </w:rPr>
        <w:t xml:space="preserve">six </w:t>
      </w:r>
      <w:r w:rsidRPr="00B424FD">
        <w:rPr>
          <w:rFonts w:ascii="Times New Roman" w:hAnsi="Times New Roman" w:cs="Times New Roman"/>
          <w:color w:val="0D0D0D"/>
          <w:sz w:val="20"/>
          <w:szCs w:val="20"/>
          <w:shd w:val="clear" w:color="auto" w:fill="FFFFFF"/>
          <w:lang w:val="en-GB"/>
        </w:rPr>
        <w:t>data stream</w:t>
      </w:r>
      <w:r w:rsidR="00506AFF" w:rsidRPr="00B424FD">
        <w:rPr>
          <w:rFonts w:ascii="Times New Roman" w:hAnsi="Times New Roman" w:cs="Times New Roman"/>
          <w:color w:val="0D0D0D"/>
          <w:sz w:val="20"/>
          <w:szCs w:val="20"/>
          <w:shd w:val="clear" w:color="auto" w:fill="FFFFFF"/>
          <w:lang w:val="en-GB"/>
        </w:rPr>
        <w:t>s</w:t>
      </w:r>
      <w:r w:rsidRPr="00B424FD">
        <w:rPr>
          <w:rFonts w:ascii="Times New Roman" w:hAnsi="Times New Roman" w:cs="Times New Roman"/>
          <w:color w:val="0D0D0D"/>
          <w:sz w:val="20"/>
          <w:szCs w:val="20"/>
          <w:shd w:val="clear" w:color="auto" w:fill="FFFFFF"/>
          <w:lang w:val="en-GB"/>
        </w:rPr>
        <w:t xml:space="preserve"> in each year </w:t>
      </w:r>
      <m:oMath>
        <m:r>
          <w:rPr>
            <w:rFonts w:ascii="Cambria Math" w:hAnsi="Cambria Math" w:cs="Times New Roman"/>
            <w:color w:val="0D0D0D"/>
            <w:sz w:val="20"/>
            <w:szCs w:val="20"/>
            <w:shd w:val="clear" w:color="auto" w:fill="FFFFFF"/>
            <w:lang w:val="en-GB"/>
          </w:rPr>
          <m:t>t</m:t>
        </m:r>
      </m:oMath>
      <w:r w:rsidRPr="00B424FD">
        <w:rPr>
          <w:rFonts w:ascii="Times New Roman" w:hAnsi="Times New Roman" w:cs="Times New Roman"/>
          <w:color w:val="0D0D0D"/>
          <w:sz w:val="20"/>
          <w:szCs w:val="20"/>
          <w:shd w:val="clear" w:color="auto" w:fill="FFFFFF"/>
          <w:lang w:val="en-GB"/>
        </w:rPr>
        <w:t xml:space="preserve"> = 2011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0</m:t>
            </m:r>
          </m:sub>
        </m:sSub>
      </m:oMath>
      <w:r w:rsidRPr="00B424FD">
        <w:rPr>
          <w:rFonts w:ascii="Times New Roman" w:hAnsi="Times New Roman" w:cs="Times New Roman"/>
          <w:color w:val="0D0D0D"/>
          <w:sz w:val="20"/>
          <w:szCs w:val="20"/>
          <w:shd w:val="clear" w:color="auto" w:fill="FFFFFF"/>
          <w:lang w:val="en-GB"/>
        </w:rPr>
        <w:t>), …, 20</w:t>
      </w:r>
      <w:r w:rsidR="002A1438" w:rsidRPr="00B424FD">
        <w:rPr>
          <w:rFonts w:ascii="Times New Roman" w:hAnsi="Times New Roman" w:cs="Times New Roman"/>
          <w:color w:val="0D0D0D"/>
          <w:sz w:val="20"/>
          <w:szCs w:val="20"/>
          <w:shd w:val="clear" w:color="auto" w:fill="FFFFFF"/>
          <w:lang w:val="en-GB"/>
        </w:rPr>
        <w:t>19, 2022</w:t>
      </w:r>
      <w:r w:rsidRPr="00B424FD">
        <w:rPr>
          <w:rFonts w:ascii="Times New Roman" w:hAnsi="Times New Roman" w:cs="Times New Roman"/>
          <w:color w:val="0D0D0D"/>
          <w:sz w:val="20"/>
          <w:szCs w:val="20"/>
          <w:shd w:val="clear" w:color="auto" w:fill="FFFFFF"/>
          <w:lang w:val="en-GB"/>
        </w:rPr>
        <w:t>, 2023, 2024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max</m:t>
            </m:r>
          </m:sub>
        </m:sSub>
      </m:oMath>
      <w:r w:rsidRPr="00B424FD">
        <w:rPr>
          <w:rFonts w:ascii="Times New Roman" w:hAnsi="Times New Roman" w:cs="Times New Roman"/>
          <w:color w:val="0D0D0D"/>
          <w:sz w:val="20"/>
          <w:szCs w:val="20"/>
          <w:shd w:val="clear" w:color="auto" w:fill="FFFFFF"/>
          <w:lang w:val="en-GB"/>
        </w:rPr>
        <w:t>) for England</w:t>
      </w:r>
      <w:r w:rsidR="000D472A" w:rsidRPr="00B424FD">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t=2020, 2021</m:t>
        </m:r>
      </m:oMath>
      <w:r w:rsidR="000D472A" w:rsidRPr="00B424FD">
        <w:rPr>
          <w:rFonts w:ascii="Times New Roman" w:hAnsi="Times New Roman" w:cs="Times New Roman"/>
          <w:color w:val="0D0D0D"/>
          <w:sz w:val="20"/>
          <w:szCs w:val="20"/>
          <w:shd w:val="clear" w:color="auto" w:fill="FFFFFF"/>
          <w:lang w:val="en-GB"/>
        </w:rPr>
        <w:t xml:space="preserve"> </w:t>
      </w:r>
      <w:r w:rsidR="0016426E" w:rsidRPr="00B424FD">
        <w:rPr>
          <w:rFonts w:ascii="Times New Roman" w:hAnsi="Times New Roman" w:cs="Times New Roman"/>
          <w:color w:val="0D0D0D"/>
          <w:sz w:val="20"/>
          <w:szCs w:val="20"/>
          <w:shd w:val="clear" w:color="auto" w:fill="FFFFFF"/>
          <w:lang w:val="en-GB"/>
        </w:rPr>
        <w:t>were excluded</w:t>
      </w:r>
      <w:r w:rsidR="000D472A" w:rsidRPr="00B424FD">
        <w:rPr>
          <w:rFonts w:ascii="Times New Roman" w:hAnsi="Times New Roman" w:cs="Times New Roman"/>
          <w:color w:val="0D0D0D"/>
          <w:sz w:val="20"/>
          <w:szCs w:val="20"/>
          <w:shd w:val="clear" w:color="auto" w:fill="FFFFFF"/>
          <w:lang w:val="en-GB"/>
        </w:rPr>
        <w:t xml:space="preserve"> for England for all six data streams)</w:t>
      </w:r>
      <w:r w:rsidR="00506AFF" w:rsidRPr="00B424FD">
        <w:rPr>
          <w:rFonts w:ascii="Times New Roman" w:hAnsi="Times New Roman" w:cs="Times New Roman"/>
          <w:color w:val="0D0D0D"/>
          <w:sz w:val="20"/>
          <w:szCs w:val="20"/>
          <w:shd w:val="clear" w:color="auto" w:fill="FFFFFF"/>
          <w:lang w:val="en-GB"/>
        </w:rPr>
        <w:t>, as follows:</w:t>
      </w:r>
    </w:p>
    <w:p w14:paraId="4E99A476" w14:textId="4BB48032" w:rsidR="001725A7" w:rsidRPr="00B424FD" w:rsidRDefault="00000000" w:rsidP="003B3837">
      <w:pPr>
        <w:pStyle w:val="NormalWeb"/>
        <w:spacing w:line="276" w:lineRule="auto"/>
        <w:jc w:val="both"/>
        <w:rPr>
          <w:i/>
          <w:sz w:val="20"/>
          <w:szCs w:val="20"/>
          <w:lang w:val="en-GB"/>
        </w:rPr>
      </w:pPr>
      <m:oMathPara>
        <m:oMath>
          <m:eqArr>
            <m:eqArrPr>
              <m:maxDist m:val="1"/>
              <m:ctrlPr>
                <w:rPr>
                  <w:rFonts w:ascii="Cambria Math" w:hAnsi="Cambria Math"/>
                  <w:i/>
                  <w:color w:val="0D0D0D"/>
                  <w:sz w:val="20"/>
                  <w:szCs w:val="20"/>
                  <w:shd w:val="clear" w:color="auto" w:fill="FFFFFF"/>
                  <w:lang w:val="en-GB"/>
                </w:rPr>
              </m:ctrlPr>
            </m:eqArrPr>
            <m:e>
              <m:r>
                <w:rPr>
                  <w:rFonts w:ascii="Cambria Math" w:hAnsi="Cambria Math"/>
                  <w:color w:val="0D0D0D"/>
                  <w:sz w:val="20"/>
                  <w:szCs w:val="20"/>
                  <w:shd w:val="clear" w:color="auto" w:fill="FFFFFF"/>
                  <w:lang w:val="en-GB"/>
                </w:rPr>
                <m:t>L</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Z</m:t>
                  </m:r>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 xml:space="preserve"> </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t=2015</m:t>
                      </m:r>
                    </m:sub>
                    <m:sup>
                      <m:r>
                        <w:rPr>
                          <w:rFonts w:ascii="Cambria Math" w:hAnsi="Cambria Math"/>
                          <w:color w:val="0D0D0D"/>
                          <w:sz w:val="20"/>
                          <w:szCs w:val="20"/>
                          <w:shd w:val="clear" w:color="auto" w:fill="FFFFFF"/>
                          <w:lang w:val="en-GB"/>
                        </w:rPr>
                        <m:t>2022</m:t>
                      </m:r>
                    </m:sup>
                    <m:e>
                      <m:sSub>
                        <m:sSubPr>
                          <m:ctrlPr>
                            <w:rPr>
                              <w:rFonts w:ascii="Cambria Math" w:hAnsi="Cambria Math"/>
                              <w:i/>
                              <w:color w:val="0D0D0D"/>
                              <w:sz w:val="20"/>
                              <w:szCs w:val="20"/>
                              <w:shd w:val="clear" w:color="auto" w:fill="FFFFFF"/>
                              <w:lang w:val="en-GB"/>
                            </w:rPr>
                          </m:ctrlPr>
                        </m:sSub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eastAsiaTheme="minorEastAsia" w:hAnsi="Cambria Math"/>
                                      <w:color w:val="0D0D0D"/>
                                      <w:kern w:val="2"/>
                                      <w:sz w:val="20"/>
                                      <w:szCs w:val="20"/>
                                      <w:shd w:val="clear" w:color="auto" w:fill="FFFFFF"/>
                                      <w:lang w:val="en-GB"/>
                                      <w14:ligatures w14:val="standardContextual"/>
                                    </w:rPr>
                                    <m:t>0</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0</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e>
                  </m:nary>
                </m:e>
              </m:nary>
              <m:ctrlPr>
                <w:rPr>
                  <w:rFonts w:ascii="Cambria Math" w:eastAsia="Cambria Math" w:hAnsi="Cambria Math" w:cs="Cambria Math"/>
                  <w:i/>
                  <w:color w:val="0D0D0D"/>
                  <w:sz w:val="20"/>
                  <w:szCs w:val="20"/>
                  <w:shd w:val="clear" w:color="auto" w:fill="FFFFFF"/>
                  <w:lang w:val="en-GB"/>
                </w:rPr>
              </m:ctrlPr>
            </m:e>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t=2013</m:t>
                  </m:r>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R</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 Θ</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17</m:t>
                  </m:r>
                </m:e>
              </m:d>
            </m:e>
          </m:eqArr>
        </m:oMath>
      </m:oMathPara>
    </w:p>
    <w:p w14:paraId="6F102B0D" w14:textId="7067E972" w:rsidR="000B68AF" w:rsidRPr="00B424FD"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hAnsi="Times New Roman" w:cs="Times New Roman"/>
          <w:sz w:val="20"/>
          <w:szCs w:val="20"/>
          <w:lang w:val="en-GB"/>
        </w:rPr>
        <w:t xml:space="preserve">Gonorrhoea can infect multiple anatomical sites (i.e., the rectum, pharynx, and urethra) each associated with distinct probabilities of symptom development and transmission potential </w:t>
      </w:r>
      <w:r w:rsidRPr="00B424FD">
        <w:rPr>
          <w:rFonts w:ascii="Times New Roman" w:eastAsia="Times New Roman" w:hAnsi="Times New Roman" w:cs="Times New Roman"/>
          <w:color w:val="000000" w:themeColor="text1"/>
          <w:kern w:val="0"/>
          <w:sz w:val="20"/>
          <w:szCs w:val="20"/>
          <w:lang w:val="en-GB"/>
          <w14:ligatures w14:val="none"/>
        </w:rPr>
        <w:fldChar w:fldCharType="begin"/>
      </w:r>
      <w:r w:rsidR="001E6F22">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{"citationID":"gu82ZKtP","properties":{"formattedCitation":"[24]","plainCitation":"[24]","noteIndex":0},"citationItems":[{"id":426,"uris":["http://zotero.org/users/9663344/items/5WMZE529"],"itemData":{"id":426,"type":"article-journal","abstract":"We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B424FD">
        <w:rPr>
          <w:rFonts w:ascii="Times New Roman" w:eastAsia="Times New Roman" w:hAnsi="Times New Roman" w:cs="Times New Roman"/>
          <w:color w:val="000000" w:themeColor="text1"/>
          <w:kern w:val="0"/>
          <w:sz w:val="20"/>
          <w:szCs w:val="20"/>
          <w:lang w:val="en-GB"/>
          <w14:ligatures w14:val="none"/>
        </w:rPr>
        <w:fldChar w:fldCharType="separate"/>
      </w:r>
      <w:r w:rsidR="001E6F22">
        <w:rPr>
          <w:rFonts w:ascii="Times New Roman" w:eastAsia="Times New Roman" w:hAnsi="Times New Roman" w:cs="Times New Roman"/>
          <w:color w:val="000000" w:themeColor="text1"/>
          <w:kern w:val="0"/>
          <w:sz w:val="20"/>
          <w:szCs w:val="20"/>
          <w:lang w:val="en-GB"/>
          <w14:ligatures w14:val="none"/>
        </w:rPr>
        <w:t>[24]</w:t>
      </w:r>
      <w:r w:rsidRPr="00B424FD">
        <w:rPr>
          <w:rFonts w:ascii="Times New Roman" w:eastAsia="Times New Roman" w:hAnsi="Times New Roman" w:cs="Times New Roman"/>
          <w:color w:val="000000" w:themeColor="text1"/>
          <w:kern w:val="0"/>
          <w:sz w:val="20"/>
          <w:szCs w:val="20"/>
          <w:lang w:val="en-GB"/>
          <w14:ligatures w14:val="none"/>
        </w:rPr>
        <w:fldChar w:fldCharType="end"/>
      </w:r>
      <w:r w:rsidRPr="00B424FD">
        <w:rPr>
          <w:rFonts w:ascii="Times New Roman" w:eastAsia="Times New Roman" w:hAnsi="Times New Roman" w:cs="Times New Roman"/>
          <w:color w:val="000000" w:themeColor="text1"/>
          <w:kern w:val="0"/>
          <w:sz w:val="20"/>
          <w:szCs w:val="20"/>
          <w:lang w:val="en-GB"/>
          <w14:ligatures w14:val="none"/>
        </w:rPr>
        <w:t xml:space="preserve">. </w:t>
      </w:r>
      <w:r w:rsidRPr="00B424FD">
        <w:rPr>
          <w:rFonts w:ascii="Times New Roman" w:hAnsi="Times New Roman" w:cs="Times New Roman"/>
          <w:sz w:val="20"/>
          <w:szCs w:val="20"/>
          <w:lang w:val="en-GB"/>
        </w:rPr>
        <w:t xml:space="preserve">Because available surveillance data are not disaggregated by infection site, model parameters represent site-averaged values. The model further assumes that infection does not confer lasting natural immunity </w:t>
      </w:r>
      <w:r w:rsidRPr="00B424FD">
        <w:rPr>
          <w:rFonts w:ascii="Times New Roman" w:eastAsia="Times New Roman" w:hAnsi="Times New Roman" w:cs="Times New Roman"/>
          <w:color w:val="000000" w:themeColor="text1"/>
          <w:kern w:val="0"/>
          <w:sz w:val="20"/>
          <w:szCs w:val="20"/>
          <w:lang w:val="en-GB"/>
          <w14:ligatures w14:val="none"/>
        </w:rPr>
        <w:fldChar w:fldCharType="begin"/>
      </w:r>
      <w:r w:rsidR="001E6F22">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{"citationID":"KrHKNrh4","properties":{"formattedCitation":"[25], [26]","plainCitation":"[25], [26]","noteIndex":0},"citationItems":[{"id":428,"uris":["http://zotero.org/users/9663344/items/E74QJDGX"],"itemData":{"id":428,"type":"article-journal","abstract":"BACKGROUND: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B424FD">
        <w:rPr>
          <w:rFonts w:ascii="Times New Roman" w:eastAsia="Times New Roman" w:hAnsi="Times New Roman" w:cs="Times New Roman"/>
          <w:color w:val="000000" w:themeColor="text1"/>
          <w:kern w:val="0"/>
          <w:sz w:val="20"/>
          <w:szCs w:val="20"/>
          <w:lang w:val="en-GB"/>
          <w14:ligatures w14:val="none"/>
        </w:rPr>
        <w:fldChar w:fldCharType="separate"/>
      </w:r>
      <w:r w:rsidR="001E6F22">
        <w:rPr>
          <w:rFonts w:ascii="Times New Roman" w:eastAsia="Times New Roman" w:hAnsi="Times New Roman" w:cs="Times New Roman"/>
          <w:color w:val="000000" w:themeColor="text1"/>
          <w:kern w:val="0"/>
          <w:sz w:val="20"/>
          <w:szCs w:val="20"/>
          <w:lang w:val="en-GB"/>
          <w14:ligatures w14:val="none"/>
        </w:rPr>
        <w:t>[25], [26]</w:t>
      </w:r>
      <w:r w:rsidRPr="00B424FD">
        <w:rPr>
          <w:rFonts w:ascii="Times New Roman" w:eastAsia="Times New Roman" w:hAnsi="Times New Roman" w:cs="Times New Roman"/>
          <w:color w:val="000000" w:themeColor="text1"/>
          <w:kern w:val="0"/>
          <w:sz w:val="20"/>
          <w:szCs w:val="20"/>
          <w:lang w:val="en-GB"/>
          <w14:ligatures w14:val="none"/>
        </w:rPr>
        <w:fldChar w:fldCharType="end"/>
      </w:r>
      <w:r w:rsidRPr="00B424FD">
        <w:rPr>
          <w:rFonts w:ascii="Times New Roman" w:eastAsia="Times New Roman" w:hAnsi="Times New Roman" w:cs="Times New Roman"/>
          <w:color w:val="000000" w:themeColor="text1"/>
          <w:kern w:val="0"/>
          <w:sz w:val="20"/>
          <w:szCs w:val="20"/>
          <w:lang w:val="en-GB"/>
          <w14:ligatures w14:val="none"/>
        </w:rPr>
        <w:t>.</w:t>
      </w:r>
    </w:p>
    <w:p w14:paraId="012611B1" w14:textId="6018BFA5" w:rsidR="000B68AF" w:rsidRPr="00B424FD"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t>Table 1: Fixed parameters.</w:t>
      </w:r>
    </w:p>
    <w:tbl>
      <w:tblPr>
        <w:tblStyle w:val="TableGrid"/>
        <w:tblW w:w="0" w:type="auto"/>
        <w:tblLook w:val="04A0" w:firstRow="1" w:lastRow="0" w:firstColumn="1" w:lastColumn="0" w:noHBand="0" w:noVBand="1"/>
      </w:tblPr>
      <w:tblGrid>
        <w:gridCol w:w="1202"/>
        <w:gridCol w:w="4108"/>
        <w:gridCol w:w="1800"/>
        <w:gridCol w:w="1916"/>
      </w:tblGrid>
      <w:tr w:rsidR="000B68AF" w:rsidRPr="00B424FD" w14:paraId="2BF301F7" w14:textId="77777777" w:rsidTr="004338C0">
        <w:tc>
          <w:tcPr>
            <w:tcW w:w="1202" w:type="dxa"/>
            <w:tcBorders>
              <w:top w:val="single" w:sz="4" w:space="0" w:color="auto"/>
              <w:bottom w:val="single" w:sz="4" w:space="0" w:color="auto"/>
            </w:tcBorders>
          </w:tcPr>
          <w:p w14:paraId="2C816FD8" w14:textId="7777777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08" w:type="dxa"/>
            <w:tcBorders>
              <w:top w:val="single" w:sz="4" w:space="0" w:color="auto"/>
              <w:bottom w:val="single" w:sz="4" w:space="0" w:color="auto"/>
            </w:tcBorders>
          </w:tcPr>
          <w:p w14:paraId="7CAC8250" w14:textId="77777777" w:rsidR="000B68AF" w:rsidRPr="00B424FD" w:rsidRDefault="000B68AF" w:rsidP="003B3837">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Definition</w:t>
            </w:r>
          </w:p>
        </w:tc>
        <w:tc>
          <w:tcPr>
            <w:tcW w:w="1800" w:type="dxa"/>
            <w:tcBorders>
              <w:top w:val="single" w:sz="4" w:space="0" w:color="auto"/>
              <w:bottom w:val="single" w:sz="4" w:space="0" w:color="auto"/>
            </w:tcBorders>
          </w:tcPr>
          <w:p w14:paraId="01104265" w14:textId="7777777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Value</w:t>
            </w:r>
          </w:p>
        </w:tc>
        <w:tc>
          <w:tcPr>
            <w:tcW w:w="1916" w:type="dxa"/>
            <w:tcBorders>
              <w:top w:val="single" w:sz="4" w:space="0" w:color="auto"/>
              <w:bottom w:val="single" w:sz="4" w:space="0" w:color="auto"/>
            </w:tcBorders>
          </w:tcPr>
          <w:p w14:paraId="67CFDA35" w14:textId="7777777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Source</w:t>
            </w:r>
          </w:p>
        </w:tc>
      </w:tr>
      <w:tr w:rsidR="000B68AF" w:rsidRPr="00B424FD" w14:paraId="75959899" w14:textId="77777777" w:rsidTr="004338C0">
        <w:tc>
          <w:tcPr>
            <w:tcW w:w="1202" w:type="dxa"/>
            <w:tcBorders>
              <w:top w:val="single" w:sz="4" w:space="0" w:color="auto"/>
            </w:tcBorders>
          </w:tcPr>
          <w:p w14:paraId="249F3673" w14:textId="77777777" w:rsidR="000B68AF" w:rsidRPr="00B424FD" w:rsidRDefault="000B68AF" w:rsidP="003B3837">
            <w:pPr>
              <w:spacing w:before="100" w:beforeAutospacing="1" w:after="100" w:afterAutospacing="1" w:line="276" w:lineRule="auto"/>
              <w:rPr>
                <w:rFonts w:eastAsia="Times New Roman"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N</m:t>
                </m:r>
                <m:d>
                  <m:dPr>
                    <m:ctrlPr>
                      <w:rPr>
                        <w:rFonts w:ascii="Cambria Math" w:eastAsia="Times New Roman" w:hAnsi="Cambria Math" w:cs="Times New Roman"/>
                        <w:i/>
                        <w:color w:val="000000" w:themeColor="text1"/>
                        <w:kern w:val="0"/>
                        <w:szCs w:val="20"/>
                        <w:lang w:val="en-GB"/>
                        <w14:ligatures w14:val="none"/>
                      </w:rPr>
                    </m:ctrlPr>
                  </m:dPr>
                  <m:e>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08" w:type="dxa"/>
            <w:tcBorders>
              <w:top w:val="single" w:sz="4" w:space="0" w:color="auto"/>
            </w:tcBorders>
          </w:tcPr>
          <w:p w14:paraId="0AF8ABD4" w14:textId="6AF0716A"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Initial population size of </w:t>
            </w:r>
            <w:r w:rsidR="005806F6" w:rsidRPr="00B424FD">
              <w:rPr>
                <w:rFonts w:eastAsia="Times New Roman" w:cs="Times New Roman"/>
                <w:color w:val="000000" w:themeColor="text1"/>
                <w:kern w:val="0"/>
                <w:szCs w:val="20"/>
                <w:lang w:val="en-GB"/>
                <w14:ligatures w14:val="none"/>
              </w:rPr>
              <w:t>England</w:t>
            </w:r>
            <w:r w:rsidRPr="00B424FD">
              <w:rPr>
                <w:rFonts w:eastAsia="Times New Roman" w:cs="Times New Roman"/>
                <w:color w:val="000000" w:themeColor="text1"/>
                <w:kern w:val="0"/>
                <w:szCs w:val="20"/>
                <w:lang w:val="en-GB"/>
                <w14:ligatures w14:val="none"/>
              </w:rPr>
              <w:t xml:space="preserve"> MSM</w:t>
            </w:r>
          </w:p>
        </w:tc>
        <w:tc>
          <w:tcPr>
            <w:tcW w:w="1800" w:type="dxa"/>
            <w:tcBorders>
              <w:top w:val="single" w:sz="4" w:space="0" w:color="auto"/>
            </w:tcBorders>
          </w:tcPr>
          <w:p w14:paraId="00E49386" w14:textId="700678A3"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600,000</w:t>
            </w:r>
          </w:p>
        </w:tc>
        <w:tc>
          <w:tcPr>
            <w:tcW w:w="1916" w:type="dxa"/>
            <w:tcBorders>
              <w:top w:val="single" w:sz="4" w:space="0" w:color="auto"/>
            </w:tcBorders>
          </w:tcPr>
          <w:p w14:paraId="5BFC354C" w14:textId="505F8C59"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1E6F22">
              <w:rPr>
                <w:szCs w:val="20"/>
                <w:lang w:val="en-GB"/>
              </w:rPr>
              <w:instrText xml:space="preserve"> ADDIN ZOTERO_ITEM CSL_CITATION {"citationID":"MKMGDMCL","properties":{"formattedCitation":"[15]","plainCitation":"[15]","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1E6F22">
              <w:rPr>
                <w:szCs w:val="20"/>
                <w:lang w:val="en-GB"/>
              </w:rPr>
              <w:t>[15]</w:t>
            </w:r>
            <w:r w:rsidRPr="00B424FD">
              <w:rPr>
                <w:szCs w:val="20"/>
                <w:lang w:val="en-GB"/>
              </w:rPr>
              <w:fldChar w:fldCharType="end"/>
            </w:r>
          </w:p>
        </w:tc>
      </w:tr>
      <w:tr w:rsidR="000B68AF" w:rsidRPr="00B424FD" w14:paraId="50526759" w14:textId="77777777" w:rsidTr="0007760A">
        <w:tc>
          <w:tcPr>
            <w:tcW w:w="1202" w:type="dxa"/>
          </w:tcPr>
          <w:p w14:paraId="070C11C8" w14:textId="77777777" w:rsidR="000B68AF" w:rsidRPr="00B424FD" w:rsidRDefault="000B68AF"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α</m:t>
                </m:r>
              </m:oMath>
            </m:oMathPara>
          </w:p>
        </w:tc>
        <w:tc>
          <w:tcPr>
            <w:tcW w:w="4108" w:type="dxa"/>
          </w:tcPr>
          <w:p w14:paraId="7512E438"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Annual population entrance (at age 15)</w:t>
            </w:r>
          </w:p>
        </w:tc>
        <w:tc>
          <w:tcPr>
            <w:tcW w:w="1800" w:type="dxa"/>
          </w:tcPr>
          <w:p w14:paraId="70CA2BE1" w14:textId="5C4446F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12,000</w:t>
            </w:r>
          </w:p>
        </w:tc>
        <w:tc>
          <w:tcPr>
            <w:tcW w:w="1916" w:type="dxa"/>
          </w:tcPr>
          <w:p w14:paraId="17025A64" w14:textId="389BBEFF"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1E6F22">
              <w:rPr>
                <w:szCs w:val="20"/>
                <w:lang w:val="en-GB"/>
              </w:rPr>
              <w:instrText xml:space="preserve"> ADDIN ZOTERO_ITEM CSL_CITATION {"citationID":"w57P0FhY","properties":{"formattedCitation":"[15]","plainCitation":"[15]","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1E6F22">
              <w:rPr>
                <w:szCs w:val="20"/>
                <w:lang w:val="en-GB"/>
              </w:rPr>
              <w:t>[15]</w:t>
            </w:r>
            <w:r w:rsidRPr="00B424FD">
              <w:rPr>
                <w:szCs w:val="20"/>
                <w:lang w:val="en-GB"/>
              </w:rPr>
              <w:fldChar w:fldCharType="end"/>
            </w:r>
          </w:p>
        </w:tc>
      </w:tr>
      <w:tr w:rsidR="000B68AF" w:rsidRPr="00B424FD" w14:paraId="6F071FDD" w14:textId="77777777" w:rsidTr="0007760A">
        <w:tc>
          <w:tcPr>
            <w:tcW w:w="1202" w:type="dxa"/>
          </w:tcPr>
          <w:p w14:paraId="0453A3F1" w14:textId="77777777" w:rsidR="000B68AF" w:rsidRPr="00B424FD" w:rsidRDefault="000B68AF"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γ</m:t>
                </m:r>
              </m:oMath>
            </m:oMathPara>
          </w:p>
        </w:tc>
        <w:tc>
          <w:tcPr>
            <w:tcW w:w="4108" w:type="dxa"/>
          </w:tcPr>
          <w:p w14:paraId="17C50987"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Years spent in the </w:t>
            </w:r>
            <w:proofErr w:type="gramStart"/>
            <w:r w:rsidRPr="00B424FD">
              <w:rPr>
                <w:rFonts w:eastAsia="Times New Roman" w:cs="Times New Roman"/>
                <w:color w:val="000000" w:themeColor="text1"/>
                <w:kern w:val="0"/>
                <w:szCs w:val="20"/>
                <w:lang w:val="en-GB"/>
                <w14:ligatures w14:val="none"/>
              </w:rPr>
              <w:t>sexually-active</w:t>
            </w:r>
            <w:proofErr w:type="gramEnd"/>
            <w:r w:rsidRPr="00B424FD">
              <w:rPr>
                <w:rFonts w:eastAsia="Times New Roman" w:cs="Times New Roman"/>
                <w:color w:val="000000" w:themeColor="text1"/>
                <w:kern w:val="0"/>
                <w:szCs w:val="20"/>
                <w:lang w:val="en-GB"/>
                <w14:ligatures w14:val="none"/>
              </w:rPr>
              <w:t xml:space="preserve"> population</w:t>
            </w:r>
          </w:p>
        </w:tc>
        <w:tc>
          <w:tcPr>
            <w:tcW w:w="1800" w:type="dxa"/>
          </w:tcPr>
          <w:p w14:paraId="7D0B43A0" w14:textId="4C6D9C2E"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50</w:t>
            </w:r>
          </w:p>
        </w:tc>
        <w:tc>
          <w:tcPr>
            <w:tcW w:w="1916" w:type="dxa"/>
          </w:tcPr>
          <w:p w14:paraId="342E4B2F" w14:textId="32500E4D" w:rsidR="000B68AF" w:rsidRPr="00B424FD" w:rsidRDefault="000B68AF" w:rsidP="003B3837">
            <w:pPr>
              <w:spacing w:before="100" w:beforeAutospacing="1" w:after="100" w:afterAutospacing="1" w:line="276" w:lineRule="auto"/>
              <w:rPr>
                <w:szCs w:val="20"/>
                <w:lang w:val="en-GB"/>
              </w:rPr>
            </w:pPr>
            <w:r w:rsidRPr="00B424FD">
              <w:rPr>
                <w:szCs w:val="20"/>
                <w:lang w:val="en-GB"/>
              </w:rPr>
              <w:t>Ages 15-65</w:t>
            </w:r>
          </w:p>
        </w:tc>
      </w:tr>
      <w:tr w:rsidR="000B68AF" w:rsidRPr="00B424FD" w14:paraId="61185994" w14:textId="77777777" w:rsidTr="0007760A">
        <w:tc>
          <w:tcPr>
            <w:tcW w:w="1202" w:type="dxa"/>
          </w:tcPr>
          <w:p w14:paraId="7F5E60A9"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62AF2B81"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7524D44B" w14:textId="1C1972B3"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0.85</w:t>
            </w:r>
          </w:p>
        </w:tc>
        <w:tc>
          <w:tcPr>
            <w:tcW w:w="1916" w:type="dxa"/>
          </w:tcPr>
          <w:p w14:paraId="20F138AF" w14:textId="525A2958"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1E6F22">
              <w:rPr>
                <w:szCs w:val="20"/>
                <w:lang w:val="en-GB"/>
              </w:rPr>
              <w:instrText xml:space="preserve"> ADDIN ZOTERO_ITEM CSL_CITATION {"citationID":"ImYdrbxT","properties":{"formattedCitation":"[15]","plainCitation":"[15]","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1E6F22">
              <w:rPr>
                <w:szCs w:val="20"/>
                <w:lang w:val="en-GB"/>
              </w:rPr>
              <w:t>[15]</w:t>
            </w:r>
            <w:r w:rsidRPr="00B424FD">
              <w:rPr>
                <w:szCs w:val="20"/>
                <w:lang w:val="en-GB"/>
              </w:rPr>
              <w:fldChar w:fldCharType="end"/>
            </w:r>
          </w:p>
        </w:tc>
      </w:tr>
      <w:tr w:rsidR="000B68AF" w:rsidRPr="00B424FD" w14:paraId="3B19744C" w14:textId="77777777" w:rsidTr="0007760A">
        <w:tc>
          <w:tcPr>
            <w:tcW w:w="1202" w:type="dxa"/>
          </w:tcPr>
          <w:p w14:paraId="7E3171F5"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49EDB31F"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3EFD947D" w14:textId="428AE10D"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0.15</w:t>
            </w:r>
          </w:p>
        </w:tc>
        <w:tc>
          <w:tcPr>
            <w:tcW w:w="1916" w:type="dxa"/>
          </w:tcPr>
          <w:p w14:paraId="21364C4A" w14:textId="4787CFC5" w:rsidR="000B68AF" w:rsidRPr="00B424FD" w:rsidRDefault="000B68AF" w:rsidP="003B3837">
            <w:pPr>
              <w:spacing w:before="100" w:beforeAutospacing="1" w:after="100" w:afterAutospacing="1" w:line="276" w:lineRule="auto"/>
              <w:rPr>
                <w:szCs w:val="20"/>
                <w:lang w:val="en-GB"/>
              </w:rPr>
            </w:pPr>
            <m:oMathPara>
              <m:oMath>
                <m:r>
                  <w:rPr>
                    <w:rFonts w:ascii="Cambria Math" w:hAnsi="Cambria Math"/>
                    <w:szCs w:val="20"/>
                    <w:lang w:val="en-GB"/>
                  </w:rPr>
                  <m:t>1-</m:t>
                </m:r>
                <m:sSub>
                  <m:sSubPr>
                    <m:ctrlPr>
                      <w:rPr>
                        <w:rFonts w:ascii="Cambria Math" w:hAnsi="Cambria Math"/>
                        <w:i/>
                        <w:szCs w:val="20"/>
                        <w:lang w:val="en-GB"/>
                      </w:rPr>
                    </m:ctrlPr>
                  </m:sSubPr>
                  <m:e>
                    <m:r>
                      <w:rPr>
                        <w:rFonts w:ascii="Cambria Math" w:hAnsi="Cambria Math"/>
                        <w:szCs w:val="20"/>
                        <w:lang w:val="en-GB"/>
                      </w:rPr>
                      <m:t>q</m:t>
                    </m:r>
                  </m:e>
                  <m:sub>
                    <m:r>
                      <w:rPr>
                        <w:rFonts w:ascii="Cambria Math" w:hAnsi="Cambria Math"/>
                        <w:szCs w:val="20"/>
                        <w:lang w:val="en-GB"/>
                      </w:rPr>
                      <m:t>L</m:t>
                    </m:r>
                  </m:sub>
                </m:sSub>
              </m:oMath>
            </m:oMathPara>
          </w:p>
        </w:tc>
      </w:tr>
      <w:tr w:rsidR="000B68AF" w:rsidRPr="00B424FD" w14:paraId="43DFE4C6" w14:textId="77777777" w:rsidTr="0007760A">
        <w:tc>
          <w:tcPr>
            <w:tcW w:w="1202" w:type="dxa"/>
          </w:tcPr>
          <w:p w14:paraId="5A8F510A"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4724C6C5"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68EA611C" w14:textId="21D8D3EA"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0.6</w:t>
            </w:r>
          </w:p>
        </w:tc>
        <w:tc>
          <w:tcPr>
            <w:tcW w:w="1916" w:type="dxa"/>
          </w:tcPr>
          <w:p w14:paraId="029C5E72" w14:textId="296BF803"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1E6F22">
              <w:rPr>
                <w:szCs w:val="20"/>
                <w:lang w:val="en-GB"/>
              </w:rPr>
              <w:instrText xml:space="preserve"> ADDIN ZOTERO_ITEM CSL_CITATION {"citationID":"wN04tvFd","properties":{"formattedCitation":"[15]","plainCitation":"[15]","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1E6F22">
              <w:rPr>
                <w:szCs w:val="20"/>
                <w:lang w:val="en-GB"/>
              </w:rPr>
              <w:t>[15]</w:t>
            </w:r>
            <w:r w:rsidRPr="00B424FD">
              <w:rPr>
                <w:szCs w:val="20"/>
                <w:lang w:val="en-GB"/>
              </w:rPr>
              <w:fldChar w:fldCharType="end"/>
            </w:r>
          </w:p>
        </w:tc>
      </w:tr>
      <w:tr w:rsidR="000B68AF" w:rsidRPr="00B424FD" w14:paraId="1EF3BDCD" w14:textId="77777777" w:rsidTr="0007760A">
        <w:tc>
          <w:tcPr>
            <w:tcW w:w="1202" w:type="dxa"/>
          </w:tcPr>
          <w:p w14:paraId="7F5863F5"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7CFFB1A6"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784F330C" w14:textId="6232E810"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15.6</w:t>
            </w:r>
          </w:p>
        </w:tc>
        <w:tc>
          <w:tcPr>
            <w:tcW w:w="1916" w:type="dxa"/>
          </w:tcPr>
          <w:p w14:paraId="11665C68" w14:textId="6D1ABF1C"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1E6F22">
              <w:rPr>
                <w:szCs w:val="20"/>
                <w:lang w:val="en-GB"/>
              </w:rPr>
              <w:instrText xml:space="preserve"> ADDIN ZOTERO_ITEM CSL_CITATION {"citationID":"iZMaP5Y4","properties":{"formattedCitation":"[15]","plainCitation":"[15]","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1E6F22">
              <w:rPr>
                <w:szCs w:val="20"/>
                <w:lang w:val="en-GB"/>
              </w:rPr>
              <w:t>[15]</w:t>
            </w:r>
            <w:r w:rsidRPr="00B424FD">
              <w:rPr>
                <w:szCs w:val="20"/>
                <w:lang w:val="en-GB"/>
              </w:rPr>
              <w:fldChar w:fldCharType="end"/>
            </w:r>
          </w:p>
        </w:tc>
      </w:tr>
    </w:tbl>
    <w:p w14:paraId="6D387D3F" w14:textId="05A00855" w:rsidR="000B68AF" w:rsidRPr="00B424FD" w:rsidRDefault="00362BD9" w:rsidP="003B3837">
      <w:pPr>
        <w:pStyle w:val="NormalWeb"/>
        <w:spacing w:line="276" w:lineRule="auto"/>
        <w:jc w:val="both"/>
        <w:rPr>
          <w:sz w:val="20"/>
          <w:szCs w:val="20"/>
          <w:lang w:val="en-GB"/>
        </w:rPr>
      </w:pPr>
      <w:r w:rsidRPr="00B424FD">
        <w:rPr>
          <w:sz w:val="20"/>
          <w:szCs w:val="20"/>
          <w:lang w:val="en-GB"/>
        </w:rPr>
        <w:t>Data from 2020 and 2021 were excluded from both model calibration and forward simulation due to substantial disruptions associated with the COVID-19 pandemic. During this period, sexual behaviour, healthcare access, testing practices, clinic attendance, and reporting systems were markedly altered by lockdown measures, service reallocation, and changes in care-seeking behaviour. These disruptions resulted in surveillance data that do not reflect the underlying natural transmission dynamics assumed in our model framework. Because the transmission model does not explicitly incorporate COVID-19-related behavioural restrictions or service interruptions, including these years in either the likelihood (calibration) or prediction phase would introduce structural model misspecification. This could bias parameter estimates, distort inferred transmission trends, and reduce predictive validity for post-pandemic scenarios. Excluding 2020</w:t>
      </w:r>
      <w:r w:rsidR="00CE1D02" w:rsidRPr="00B424FD">
        <w:rPr>
          <w:sz w:val="20"/>
          <w:szCs w:val="20"/>
          <w:lang w:val="en-GB"/>
        </w:rPr>
        <w:t>-</w:t>
      </w:r>
      <w:r w:rsidRPr="00B424FD">
        <w:rPr>
          <w:sz w:val="20"/>
          <w:szCs w:val="20"/>
          <w:lang w:val="en-GB"/>
        </w:rPr>
        <w:t>2021 therefore ensures internal consistency between model structure and observed data, yielding parameter estimates that better represent stable transmission conditions and providing more reliable projections for future, non-pandemic epidemiological settings.</w:t>
      </w:r>
    </w:p>
    <w:p w14:paraId="7C255E31" w14:textId="39F13391" w:rsidR="00362BD9" w:rsidRPr="00B424FD" w:rsidRDefault="0075770A" w:rsidP="003B3837">
      <w:pPr>
        <w:pStyle w:val="NormalWeb"/>
        <w:spacing w:line="276" w:lineRule="auto"/>
        <w:jc w:val="both"/>
        <w:rPr>
          <w:sz w:val="20"/>
          <w:szCs w:val="20"/>
          <w:lang w:val="en-GB"/>
        </w:rPr>
      </w:pPr>
      <w:r w:rsidRPr="00B424FD">
        <w:rPr>
          <w:sz w:val="20"/>
          <w:szCs w:val="20"/>
          <w:lang w:val="en-GB"/>
        </w:rPr>
        <w:t xml:space="preserve">The vast majority of anorectal and pharyngeal </w:t>
      </w:r>
      <w:r w:rsidRPr="00B424FD">
        <w:rPr>
          <w:rStyle w:val="Emphasis"/>
          <w:sz w:val="20"/>
          <w:szCs w:val="20"/>
          <w:lang w:val="en-GB"/>
        </w:rPr>
        <w:t>N. gonorrhoeae</w:t>
      </w:r>
      <w:r w:rsidRPr="00B424FD">
        <w:rPr>
          <w:sz w:val="20"/>
          <w:szCs w:val="20"/>
          <w:lang w:val="en-GB"/>
        </w:rPr>
        <w:t xml:space="preserve"> infections are asymptomatic and often self-resolving, and therefore may not come to clinical attention </w:t>
      </w:r>
      <w:r w:rsidRPr="00B424FD">
        <w:rPr>
          <w:sz w:val="20"/>
          <w:szCs w:val="20"/>
          <w:lang w:val="en-GB"/>
        </w:rPr>
        <w:fldChar w:fldCharType="begin"/>
      </w:r>
      <w:r w:rsidR="001E6F22">
        <w:rPr>
          <w:sz w:val="20"/>
          <w:szCs w:val="20"/>
          <w:lang w:val="en-GB"/>
        </w:rPr>
        <w:instrText xml:space="preserve"> ADDIN ZOTERO_ITEM CSL_CITATION {"citationID":"AoMNwVfY","properties":{"unsorted":false,"formattedCitation":"[27]","plainCitation":"[27]","noteIndex":0},"citationItems":[{"id":466,"uris":["http://zotero.org/users/9663344/items/KSZNZDBB"],"itemData":{"id":466,"type":"article-journal","container-title":"The Lancet Regional Health – Europe","DOI":"10.1016/j.lanepe.2023.100743","ISSN":"2666-7762","journalAbbreviation":"The Lancet Regional Health – Europe","language":"English","publisher":"Elsevier","source":"www.thelancet.com","title":"Management of asymptomatic sexually transmitted infections in Europe: towards a differentiated, evidence-based approach","title-short":"Management of asymptomatic sexually transmitted infections in Europe","URL":"https://www.thelancet.com/journals/lanepe/article/PIIS2666-7762%2823%2900162-X/fulltext?utm_source=chatgpt.com","volume":"34","author":[{"family":"Kenyon","given":"Chris"},{"family":"Herrmann","given":"Björn"},{"family":"Hughes","given":"Gwenda"},{"family":"Vries","given":"Henry J. C.","dropping-particle":"de"}],"accessed":{"date-parts":[["2026",3,16]]},"issued":{"date-parts":[["2023",11,1]]}}}],"schema":"https://github.com/citation-style-language/schema/raw/master/csl-citation.json"} </w:instrText>
      </w:r>
      <w:r w:rsidRPr="00B424FD">
        <w:rPr>
          <w:sz w:val="20"/>
          <w:szCs w:val="20"/>
          <w:lang w:val="en-GB"/>
        </w:rPr>
        <w:fldChar w:fldCharType="separate"/>
      </w:r>
      <w:r w:rsidR="001E6F22">
        <w:rPr>
          <w:sz w:val="20"/>
          <w:szCs w:val="20"/>
          <w:lang w:val="en-GB"/>
        </w:rPr>
        <w:t>[27]</w:t>
      </w:r>
      <w:r w:rsidRPr="00B424FD">
        <w:rPr>
          <w:sz w:val="20"/>
          <w:szCs w:val="20"/>
          <w:lang w:val="en-GB"/>
        </w:rPr>
        <w:fldChar w:fldCharType="end"/>
      </w:r>
      <w:r w:rsidRPr="00B424FD">
        <w:rPr>
          <w:sz w:val="20"/>
          <w:szCs w:val="20"/>
          <w:lang w:val="en-GB"/>
        </w:rPr>
        <w:t xml:space="preserve">. In addition, many infections remain undiagnosed because regular screening is not universal, even among high-risk populations. Routine surveillance systems capture only diagnosed cases rather than the true underlying incidence. Consequently, gonorrhoea is widely considered to be substantially underdiagnosed and underreported worldwide </w:t>
      </w:r>
      <w:r w:rsidRPr="00B424FD">
        <w:rPr>
          <w:sz w:val="20"/>
          <w:szCs w:val="20"/>
          <w:lang w:val="en-GB"/>
        </w:rPr>
        <w:fldChar w:fldCharType="begin"/>
      </w:r>
      <w:r w:rsidR="001E6F22">
        <w:rPr>
          <w:sz w:val="20"/>
          <w:szCs w:val="20"/>
          <w:lang w:val="en-GB"/>
        </w:rPr>
        <w:instrText xml:space="preserve"> ADDIN ZOTERO_ITEM CSL_CITATION {"citationID":"swB3iheD","properties":{"unsorted":false,"formattedCitation":"[28]","plainCitation":"[28]","noteIndex":0},"citationItems":[{"id":459,"uris":["http://zotero.org/users/9663344/items/H5QEVIVK"],"itemData":{"id":459,"type":"article-journal","abstract":"Background\nThe World Health Organization (WHO) recommends periodic gonorrhoea prevalence assessments in the general population or proxies thereof (including pregnant women, women attending family planning clinics, military recruits, and men undergoing employment physicals for example) and in population groups at increased risk, including men-who-have-sex-with-men (MSM) and sex workers.\n\nMethod\nWe evaluated reported prevalence data, including estimates from proxy general population samples to reflect the WHO recommendations. We describe the outcomes from the general population country-by-country and extend previous reviews to include MSM, sex workers, and extragenital infections.\n\nResult and conclusion\nIn our systematic search, 2015 titles were reviewed (January 2010–April 2019) and 174 full-text publications were included. National, population-based prevalence data were identified in only four countries (the United States of America, the United Kingdom, Peru, New Caledonia) and local population-based estimates were reported in areas within five countries (China, South Africa, Brazil, Benin, and Malawi). The remaining studies identified only reported test positivity from non-probability, proxy general population samples. Due to the diversity of the reviewed studies, detailed comparison across studies was not possible. In MSM, data were identified from 64 studies in 25 countries. Rectal infection rates were generally higher than urogenital or pharyngeal infection rates, where extragenital testing was conducted. Data on sex workers were identified from 41 studies in 23 countries; rates in female sex workers were high. Current prevalence monitoring was shown to be highly suboptimal worldwide. Serial prevalence monitoring of critical epidemiological variables, and guidelines to optimize prevalence study conduct and reporting beyond antenatal settings are recommended.\n\nSupplementary Information\nThe online version contains supplementary material available at 10.1186/s12879-021-06381-4.","container-title":"BMC Infectious Diseases","DOI":"10.1186/s12879-021-06381-4","ISSN":"1471-2334","journalAbbreviation":"BMC Infect Dis","page":"1152","PMID":"34763670","PMCID":"PMC8582208","source":"PubMed Central","title":"Gonorrhoea: a systematic review of prevalence reporting globally","title-short":"Gonorrhoea","volume":"21","author":[{"family":"Whelan","given":"Jane"},{"family":"Abbing-Karahagopian","given":"Victoria"},{"family":"Serino","given":"Laura"},{"family":"Unemo","given":"Magnus"}],"issued":{"date-parts":[["2021",11,11]]}}}],"schema":"https://github.com/citation-style-language/schema/raw/master/csl-citation.json"} </w:instrText>
      </w:r>
      <w:r w:rsidRPr="00B424FD">
        <w:rPr>
          <w:sz w:val="20"/>
          <w:szCs w:val="20"/>
          <w:lang w:val="en-GB"/>
        </w:rPr>
        <w:fldChar w:fldCharType="separate"/>
      </w:r>
      <w:r w:rsidR="001E6F22">
        <w:rPr>
          <w:sz w:val="20"/>
          <w:szCs w:val="20"/>
          <w:lang w:val="en-GB"/>
        </w:rPr>
        <w:t>[28]</w:t>
      </w:r>
      <w:r w:rsidRPr="00B424FD">
        <w:rPr>
          <w:sz w:val="20"/>
          <w:szCs w:val="20"/>
          <w:lang w:val="en-GB"/>
        </w:rPr>
        <w:fldChar w:fldCharType="end"/>
      </w:r>
      <w:r w:rsidRPr="00B424FD">
        <w:rPr>
          <w:sz w:val="20"/>
          <w:szCs w:val="20"/>
          <w:lang w:val="en-GB"/>
        </w:rPr>
        <w:t xml:space="preserve">. </w:t>
      </w:r>
    </w:p>
    <w:p w14:paraId="0C0E4E81" w14:textId="31DD353F" w:rsidR="00362BD9" w:rsidRPr="00B424FD" w:rsidRDefault="00362BD9" w:rsidP="003B3837">
      <w:pPr>
        <w:pStyle w:val="NormalWeb"/>
        <w:spacing w:line="276" w:lineRule="auto"/>
        <w:jc w:val="both"/>
        <w:rPr>
          <w:sz w:val="20"/>
          <w:szCs w:val="20"/>
          <w:lang w:val="en-GB"/>
        </w:rPr>
        <w:sectPr w:rsidR="00362BD9" w:rsidRPr="00B424FD" w:rsidSect="001725A7">
          <w:pgSz w:w="11906" w:h="16838"/>
          <w:pgMar w:top="1440" w:right="1440" w:bottom="1440" w:left="1440" w:header="708" w:footer="708" w:gutter="0"/>
          <w:cols w:space="708"/>
          <w:docGrid w:linePitch="360"/>
        </w:sectPr>
      </w:pPr>
    </w:p>
    <w:p w14:paraId="0A66F148" w14:textId="5590B512" w:rsidR="006173E0" w:rsidRPr="00B424FD" w:rsidRDefault="006173E0"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color w:val="000000"/>
          <w:sz w:val="20"/>
          <w:szCs w:val="20"/>
          <w:lang w:val="en-GB"/>
        </w:rPr>
        <w:lastRenderedPageBreak/>
        <w:t xml:space="preserve">Table 1. </w:t>
      </w:r>
      <w:r w:rsidRPr="00B424FD">
        <w:rPr>
          <w:rFonts w:ascii="Times New Roman" w:hAnsi="Times New Roman" w:cs="Times New Roman"/>
          <w:color w:val="0D0D0D"/>
          <w:sz w:val="20"/>
          <w:szCs w:val="20"/>
          <w:shd w:val="clear" w:color="auto" w:fill="FFFFFF"/>
          <w:lang w:val="en-GB"/>
        </w:rPr>
        <w:t xml:space="preserve">Annual </w:t>
      </w:r>
      <w:proofErr w:type="spellStart"/>
      <w:r w:rsidRPr="00B424FD">
        <w:rPr>
          <w:rFonts w:ascii="Times New Roman" w:hAnsi="Times New Roman" w:cs="Times New Roman"/>
          <w:color w:val="0D0D0D"/>
          <w:sz w:val="20"/>
          <w:szCs w:val="20"/>
          <w:shd w:val="clear" w:color="auto" w:fill="FFFFFF"/>
          <w:lang w:val="en-GB"/>
        </w:rPr>
        <w:t>gonorrhea</w:t>
      </w:r>
      <w:proofErr w:type="spellEnd"/>
      <w:r w:rsidRPr="00B424FD">
        <w:rPr>
          <w:rFonts w:ascii="Times New Roman" w:hAnsi="Times New Roman" w:cs="Times New Roman"/>
          <w:color w:val="0D0D0D"/>
          <w:sz w:val="20"/>
          <w:szCs w:val="20"/>
          <w:shd w:val="clear" w:color="auto" w:fill="FFFFFF"/>
          <w:lang w:val="en-GB"/>
        </w:rPr>
        <w:t xml:space="preserve"> diagnose</w:t>
      </w:r>
      <w:r w:rsidR="006108A8" w:rsidRPr="00B424FD">
        <w:rPr>
          <w:rFonts w:ascii="Times New Roman" w:hAnsi="Times New Roman" w:cs="Times New Roman"/>
          <w:color w:val="0D0D0D"/>
          <w:sz w:val="20"/>
          <w:szCs w:val="20"/>
          <w:shd w:val="clear" w:color="auto" w:fill="FFFFFF"/>
          <w:lang w:val="en-GB"/>
        </w:rPr>
        <w:t xml:space="preserve">s, tests, symptomatic diagnoses, asymptomatic diagnoses, percentage ceftriaxone-resistant, and percentage tetracycline-resistant </w:t>
      </w:r>
      <w:r w:rsidRPr="00B424FD">
        <w:rPr>
          <w:rFonts w:ascii="Times New Roman" w:hAnsi="Times New Roman" w:cs="Times New Roman"/>
          <w:color w:val="0D0D0D"/>
          <w:sz w:val="20"/>
          <w:szCs w:val="20"/>
          <w:shd w:val="clear" w:color="auto" w:fill="FFFFFF"/>
          <w:lang w:val="en-GB"/>
        </w:rPr>
        <w:t>among MSM in England.</w:t>
      </w:r>
      <w:r w:rsidR="001010DC" w:rsidRPr="00B424FD">
        <w:rPr>
          <w:rFonts w:ascii="Times New Roman" w:hAnsi="Times New Roman" w:cs="Times New Roman"/>
          <w:color w:val="0D0D0D"/>
          <w:sz w:val="20"/>
          <w:szCs w:val="20"/>
          <w:shd w:val="clear" w:color="auto" w:fill="FFFFFF"/>
          <w:lang w:val="en-GB"/>
        </w:rPr>
        <w:t xml:space="preserve"> </w:t>
      </w:r>
      <w:r w:rsidR="00630081" w:rsidRPr="00B424FD">
        <w:rPr>
          <w:rFonts w:ascii="Times New Roman" w:hAnsi="Times New Roman" w:cs="Times New Roman"/>
          <w:sz w:val="20"/>
          <w:szCs w:val="20"/>
          <w:lang w:val="en-GB"/>
        </w:rPr>
        <w:t xml:space="preserve">Doxycycline susceptibility cannot be directly assessed because doxycycline MICs were not routinely available. Therefore, we used tetracycline MIC </w:t>
      </w:r>
      <m:oMath>
        <m:r>
          <w:rPr>
            <w:rFonts w:ascii="Cambria Math" w:hAnsi="Cambria Math" w:cs="Times New Roman"/>
            <w:sz w:val="20"/>
            <w:szCs w:val="20"/>
            <w:lang w:val="en-GB"/>
          </w:rPr>
          <m:t>&gt;</m:t>
        </m:r>
      </m:oMath>
      <w:r w:rsidR="00630081" w:rsidRPr="00B424FD">
        <w:rPr>
          <w:rFonts w:ascii="Times New Roman" w:hAnsi="Times New Roman" w:cs="Times New Roman"/>
          <w:sz w:val="20"/>
          <w:szCs w:val="20"/>
          <w:lang w:val="en-GB"/>
        </w:rPr>
        <w:t xml:space="preserve"> 1 mg/L among MSM isolates as the primary proxy for doxycycline non-susceptibility, consistent with surveillance practice. High-level plasmid-mediated resistance (tetM), typically associated with tetracycline MIC </w:t>
      </w:r>
      <m:oMath>
        <m:r>
          <w:rPr>
            <w:rFonts w:ascii="Cambria Math" w:hAnsi="Cambria Math" w:cs="Times New Roman"/>
            <w:sz w:val="20"/>
            <w:szCs w:val="20"/>
            <w:lang w:val="en-GB"/>
          </w:rPr>
          <m:t>≥</m:t>
        </m:r>
      </m:oMath>
      <w:r w:rsidR="00630081" w:rsidRPr="00B424FD">
        <w:rPr>
          <w:rFonts w:ascii="Times New Roman" w:hAnsi="Times New Roman" w:cs="Times New Roman"/>
          <w:sz w:val="20"/>
          <w:szCs w:val="20"/>
          <w:lang w:val="en-GB"/>
        </w:rPr>
        <w:t xml:space="preserve"> 8 mg/L, was available only for the general population; these data were used solely for sensitivity analyses to bound the prevalence of high-level doxycycline resistance in MSM.</w:t>
      </w:r>
    </w:p>
    <w:tbl>
      <w:tblPr>
        <w:tblStyle w:val="TableGrid"/>
        <w:tblW w:w="13958" w:type="dxa"/>
        <w:jc w:val="center"/>
        <w:tblBorders>
          <w:insideV w:val="single" w:sz="4" w:space="0" w:color="auto"/>
        </w:tblBorders>
        <w:tblLook w:val="04A0" w:firstRow="1" w:lastRow="0" w:firstColumn="1" w:lastColumn="0" w:noHBand="0" w:noVBand="1"/>
      </w:tblPr>
      <w:tblGrid>
        <w:gridCol w:w="746"/>
        <w:gridCol w:w="1773"/>
        <w:gridCol w:w="1529"/>
        <w:gridCol w:w="1856"/>
        <w:gridCol w:w="1527"/>
        <w:gridCol w:w="1389"/>
        <w:gridCol w:w="1890"/>
        <w:gridCol w:w="1710"/>
        <w:gridCol w:w="1538"/>
      </w:tblGrid>
      <w:tr w:rsidR="00D95BD9" w:rsidRPr="00B424FD" w14:paraId="6EBD6B1A" w14:textId="3F6EA2B6" w:rsidTr="007D28FF">
        <w:trPr>
          <w:jc w:val="center"/>
        </w:trPr>
        <w:tc>
          <w:tcPr>
            <w:tcW w:w="746" w:type="dxa"/>
            <w:tcBorders>
              <w:top w:val="single" w:sz="4" w:space="0" w:color="auto"/>
              <w:bottom w:val="single" w:sz="4" w:space="0" w:color="auto"/>
              <w:right w:val="nil"/>
            </w:tcBorders>
          </w:tcPr>
          <w:p w14:paraId="2A4310C7"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Year</w:t>
            </w:r>
          </w:p>
        </w:tc>
        <w:tc>
          <w:tcPr>
            <w:tcW w:w="1773" w:type="dxa"/>
            <w:tcBorders>
              <w:top w:val="single" w:sz="4" w:space="0" w:color="auto"/>
              <w:left w:val="nil"/>
              <w:bottom w:val="single" w:sz="4" w:space="0" w:color="auto"/>
              <w:right w:val="nil"/>
            </w:tcBorders>
          </w:tcPr>
          <w:p w14:paraId="69E76FEB" w14:textId="523D3CC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diagnoses</w:t>
            </w:r>
          </w:p>
        </w:tc>
        <w:tc>
          <w:tcPr>
            <w:tcW w:w="1529" w:type="dxa"/>
            <w:tcBorders>
              <w:top w:val="single" w:sz="4" w:space="0" w:color="auto"/>
              <w:left w:val="nil"/>
              <w:bottom w:val="single" w:sz="4" w:space="0" w:color="auto"/>
              <w:right w:val="nil"/>
            </w:tcBorders>
          </w:tcPr>
          <w:p w14:paraId="34A265CB" w14:textId="338889D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tests</w:t>
            </w:r>
          </w:p>
        </w:tc>
        <w:tc>
          <w:tcPr>
            <w:tcW w:w="1856" w:type="dxa"/>
            <w:tcBorders>
              <w:top w:val="single" w:sz="4" w:space="0" w:color="auto"/>
              <w:left w:val="nil"/>
              <w:bottom w:val="single" w:sz="4" w:space="0" w:color="auto"/>
              <w:right w:val="nil"/>
            </w:tcBorders>
          </w:tcPr>
          <w:p w14:paraId="20F3F035" w14:textId="6603A37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MSM in GRASP report</w:t>
            </w:r>
          </w:p>
        </w:tc>
        <w:tc>
          <w:tcPr>
            <w:tcW w:w="1527" w:type="dxa"/>
            <w:tcBorders>
              <w:top w:val="single" w:sz="4" w:space="0" w:color="auto"/>
              <w:left w:val="nil"/>
              <w:bottom w:val="single" w:sz="4" w:space="0" w:color="auto"/>
              <w:right w:val="nil"/>
            </w:tcBorders>
          </w:tcPr>
          <w:p w14:paraId="69308E99" w14:textId="261A6395"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symptomatic diagnoses in GRASP report</w:t>
            </w:r>
          </w:p>
        </w:tc>
        <w:tc>
          <w:tcPr>
            <w:tcW w:w="1389" w:type="dxa"/>
            <w:tcBorders>
              <w:top w:val="single" w:sz="4" w:space="0" w:color="auto"/>
              <w:left w:val="nil"/>
              <w:bottom w:val="single" w:sz="4" w:space="0" w:color="auto"/>
              <w:right w:val="nil"/>
            </w:tcBorders>
          </w:tcPr>
          <w:p w14:paraId="72FD1652" w14:textId="5D6B12A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asymptomatic diagnoses in GRASP report</w:t>
            </w:r>
          </w:p>
        </w:tc>
        <w:tc>
          <w:tcPr>
            <w:tcW w:w="1890" w:type="dxa"/>
            <w:tcBorders>
              <w:top w:val="single" w:sz="4" w:space="0" w:color="auto"/>
              <w:left w:val="nil"/>
              <w:bottom w:val="single" w:sz="4" w:space="0" w:color="auto"/>
              <w:right w:val="nil"/>
            </w:tcBorders>
          </w:tcPr>
          <w:p w14:paraId="5F1223B7" w14:textId="4DBC514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 xml:space="preserve">Percentage ceftriaxone-resistant </w:t>
            </w:r>
            <w:r w:rsidR="007D28FF" w:rsidRPr="00B424FD">
              <w:rPr>
                <w:rFonts w:cs="Times New Roman"/>
                <w:color w:val="0D0D0D"/>
                <w:szCs w:val="20"/>
                <w:shd w:val="clear" w:color="auto" w:fill="FFFFFF"/>
                <w:lang w:val="en-GB"/>
              </w:rPr>
              <w:t xml:space="preserve">in MSM         </w:t>
            </w:r>
            <w:proofErr w:type="gramStart"/>
            <w:r w:rsidR="007D28FF" w:rsidRPr="00B424FD">
              <w:rPr>
                <w:rFonts w:cs="Times New Roman"/>
                <w:color w:val="0D0D0D"/>
                <w:szCs w:val="20"/>
                <w:shd w:val="clear" w:color="auto" w:fill="FFFFFF"/>
                <w:lang w:val="en-GB"/>
              </w:rPr>
              <w:t xml:space="preserve">   </w:t>
            </w:r>
            <w:r w:rsidRPr="00B424FD">
              <w:rPr>
                <w:rFonts w:cs="Times New Roman"/>
                <w:color w:val="0D0D0D"/>
                <w:szCs w:val="20"/>
                <w:shd w:val="clear" w:color="auto" w:fill="FFFFFF"/>
                <w:lang w:val="en-GB"/>
              </w:rPr>
              <w:t>(</w:t>
            </w:r>
            <w:proofErr w:type="gramEnd"/>
            <w:r w:rsidRPr="00B424FD">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B424FD">
              <w:rPr>
                <w:rFonts w:cs="Times New Roman"/>
                <w:color w:val="0D0D0D"/>
                <w:szCs w:val="20"/>
                <w:shd w:val="clear" w:color="auto" w:fill="FFFFFF"/>
                <w:lang w:val="en-GB"/>
              </w:rPr>
              <w:t xml:space="preserve"> 0.125mg/L)</w:t>
            </w:r>
          </w:p>
        </w:tc>
        <w:tc>
          <w:tcPr>
            <w:tcW w:w="1710" w:type="dxa"/>
            <w:tcBorders>
              <w:top w:val="single" w:sz="4" w:space="0" w:color="auto"/>
              <w:left w:val="nil"/>
              <w:bottom w:val="single" w:sz="4" w:space="0" w:color="auto"/>
            </w:tcBorders>
          </w:tcPr>
          <w:p w14:paraId="5B9ABA7C" w14:textId="1AA7528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 xml:space="preserve">Percentage tetracycline-resistant </w:t>
            </w:r>
            <w:r w:rsidR="007D28FF" w:rsidRPr="00B424FD">
              <w:rPr>
                <w:rFonts w:cs="Times New Roman"/>
                <w:color w:val="0D0D0D"/>
                <w:szCs w:val="20"/>
                <w:shd w:val="clear" w:color="auto" w:fill="FFFFFF"/>
                <w:lang w:val="en-GB"/>
              </w:rPr>
              <w:t xml:space="preserve">in MSM </w:t>
            </w:r>
            <w:r w:rsidRPr="00B424FD">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B424FD">
              <w:rPr>
                <w:rFonts w:cs="Times New Roman"/>
                <w:color w:val="0D0D0D"/>
                <w:szCs w:val="20"/>
                <w:shd w:val="clear" w:color="auto" w:fill="FFFFFF"/>
                <w:lang w:val="en-GB"/>
              </w:rPr>
              <w:t xml:space="preserve"> 1mg/L)</w:t>
            </w:r>
          </w:p>
        </w:tc>
        <w:tc>
          <w:tcPr>
            <w:tcW w:w="1538" w:type="dxa"/>
            <w:tcBorders>
              <w:top w:val="single" w:sz="4" w:space="0" w:color="auto"/>
              <w:bottom w:val="single" w:sz="4" w:space="0" w:color="auto"/>
            </w:tcBorders>
          </w:tcPr>
          <w:p w14:paraId="1264EBDF" w14:textId="0619623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 xml:space="preserve">Percentage tetracycline-resistant </w:t>
            </w:r>
            <w:r w:rsidR="007D28FF" w:rsidRPr="00B424FD">
              <w:rPr>
                <w:rFonts w:cs="Times New Roman"/>
                <w:color w:val="0D0D0D"/>
                <w:szCs w:val="20"/>
                <w:shd w:val="clear" w:color="auto" w:fill="FFFFFF"/>
                <w:lang w:val="en-GB"/>
              </w:rPr>
              <w:t xml:space="preserve">     </w:t>
            </w:r>
            <w:proofErr w:type="gramStart"/>
            <w:r w:rsidR="007D28FF" w:rsidRPr="00B424FD">
              <w:rPr>
                <w:rFonts w:cs="Times New Roman"/>
                <w:color w:val="0D0D0D"/>
                <w:szCs w:val="20"/>
                <w:shd w:val="clear" w:color="auto" w:fill="FFFFFF"/>
                <w:lang w:val="en-GB"/>
              </w:rPr>
              <w:t xml:space="preserve">   </w:t>
            </w:r>
            <w:r w:rsidRPr="00B424FD">
              <w:rPr>
                <w:rFonts w:cs="Times New Roman"/>
                <w:color w:val="0D0D0D"/>
                <w:szCs w:val="20"/>
                <w:shd w:val="clear" w:color="auto" w:fill="FFFFFF"/>
                <w:lang w:val="en-GB"/>
              </w:rPr>
              <w:t>(</w:t>
            </w:r>
            <w:proofErr w:type="gramEnd"/>
            <w:r w:rsidRPr="00B424FD">
              <w:rPr>
                <w:rFonts w:cs="Times New Roman"/>
                <w:color w:val="0D0D0D"/>
                <w:szCs w:val="20"/>
                <w:shd w:val="clear" w:color="auto" w:fill="FFFFFF"/>
                <w:lang w:val="en-GB"/>
              </w:rPr>
              <w:t>MIC</w:t>
            </w:r>
            <w:r w:rsidR="003E7919" w:rsidRPr="00B424FD">
              <w:rPr>
                <w:rFonts w:cs="Times New Roman"/>
                <w:color w:val="0D0D0D"/>
                <w:szCs w:val="20"/>
                <w:shd w:val="clear" w:color="auto" w:fill="FFFFFF"/>
                <w:lang w:val="en-GB"/>
              </w:rPr>
              <w:t xml:space="preserve"> </w:t>
            </w:r>
            <m:oMath>
              <m:r>
                <w:rPr>
                  <w:rFonts w:ascii="Cambria Math" w:hAnsi="Cambria Math" w:cs="Times New Roman"/>
                  <w:sz w:val="16"/>
                  <w:szCs w:val="16"/>
                  <w:lang w:val="en-GB"/>
                </w:rPr>
                <m:t>≥</m:t>
              </m:r>
            </m:oMath>
            <w:r w:rsidRPr="00B424FD">
              <w:rPr>
                <w:rFonts w:cs="Times New Roman"/>
                <w:color w:val="0D0D0D"/>
                <w:szCs w:val="20"/>
                <w:shd w:val="clear" w:color="auto" w:fill="FFFFFF"/>
                <w:lang w:val="en-GB"/>
              </w:rPr>
              <w:t xml:space="preserve"> 8mg/L)</w:t>
            </w:r>
          </w:p>
        </w:tc>
      </w:tr>
      <w:tr w:rsidR="00D95BD9" w:rsidRPr="00B424FD" w14:paraId="46193362" w14:textId="44B995FD" w:rsidTr="007D28FF">
        <w:trPr>
          <w:jc w:val="center"/>
        </w:trPr>
        <w:tc>
          <w:tcPr>
            <w:tcW w:w="746" w:type="dxa"/>
            <w:tcBorders>
              <w:top w:val="single" w:sz="4" w:space="0" w:color="auto"/>
              <w:right w:val="nil"/>
            </w:tcBorders>
          </w:tcPr>
          <w:p w14:paraId="73C2B163"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2011</w:t>
            </w:r>
          </w:p>
        </w:tc>
        <w:tc>
          <w:tcPr>
            <w:tcW w:w="1773" w:type="dxa"/>
            <w:tcBorders>
              <w:top w:val="single" w:sz="4" w:space="0" w:color="auto"/>
              <w:left w:val="nil"/>
              <w:right w:val="nil"/>
            </w:tcBorders>
          </w:tcPr>
          <w:p w14:paraId="0F1C2737" w14:textId="2FA33D7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7797</w:t>
            </w:r>
          </w:p>
        </w:tc>
        <w:tc>
          <w:tcPr>
            <w:tcW w:w="1529" w:type="dxa"/>
            <w:tcBorders>
              <w:top w:val="single" w:sz="4" w:space="0" w:color="auto"/>
              <w:left w:val="nil"/>
              <w:bottom w:val="nil"/>
              <w:right w:val="nil"/>
            </w:tcBorders>
          </w:tcPr>
          <w:p w14:paraId="78205630" w14:textId="51DDBBC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86472</w:t>
            </w:r>
          </w:p>
        </w:tc>
        <w:tc>
          <w:tcPr>
            <w:tcW w:w="1856" w:type="dxa"/>
            <w:tcBorders>
              <w:top w:val="single" w:sz="4" w:space="0" w:color="auto"/>
              <w:left w:val="nil"/>
              <w:bottom w:val="nil"/>
              <w:right w:val="nil"/>
            </w:tcBorders>
          </w:tcPr>
          <w:p w14:paraId="0A72B334" w14:textId="5527EF9E"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27" w:type="dxa"/>
            <w:tcBorders>
              <w:top w:val="single" w:sz="4" w:space="0" w:color="auto"/>
              <w:left w:val="nil"/>
              <w:bottom w:val="nil"/>
              <w:right w:val="nil"/>
            </w:tcBorders>
          </w:tcPr>
          <w:p w14:paraId="2D9DD03A" w14:textId="13D82206"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389" w:type="dxa"/>
            <w:tcBorders>
              <w:top w:val="single" w:sz="4" w:space="0" w:color="auto"/>
              <w:left w:val="nil"/>
              <w:bottom w:val="nil"/>
              <w:right w:val="nil"/>
            </w:tcBorders>
          </w:tcPr>
          <w:p w14:paraId="4088A8E2" w14:textId="659DEFAF"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890" w:type="dxa"/>
            <w:tcBorders>
              <w:top w:val="single" w:sz="4" w:space="0" w:color="auto"/>
              <w:left w:val="nil"/>
              <w:right w:val="nil"/>
            </w:tcBorders>
          </w:tcPr>
          <w:p w14:paraId="1D3DD5E8" w14:textId="724E4A6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top w:val="single" w:sz="4" w:space="0" w:color="auto"/>
              <w:left w:val="nil"/>
            </w:tcBorders>
          </w:tcPr>
          <w:p w14:paraId="0E656E83" w14:textId="45054DD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38" w:type="dxa"/>
            <w:tcBorders>
              <w:top w:val="single" w:sz="4" w:space="0" w:color="auto"/>
            </w:tcBorders>
          </w:tcPr>
          <w:p w14:paraId="1EBBEBCB" w14:textId="0B3EC42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348D0FEF" w14:textId="2A519F44" w:rsidTr="007D28FF">
        <w:trPr>
          <w:jc w:val="center"/>
        </w:trPr>
        <w:tc>
          <w:tcPr>
            <w:tcW w:w="746" w:type="dxa"/>
            <w:tcBorders>
              <w:right w:val="nil"/>
            </w:tcBorders>
          </w:tcPr>
          <w:p w14:paraId="4FD51E9A"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2012</w:t>
            </w:r>
          </w:p>
        </w:tc>
        <w:tc>
          <w:tcPr>
            <w:tcW w:w="1773" w:type="dxa"/>
            <w:tcBorders>
              <w:left w:val="nil"/>
              <w:right w:val="nil"/>
            </w:tcBorders>
          </w:tcPr>
          <w:p w14:paraId="3E03D848" w14:textId="3500E6E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10690</w:t>
            </w:r>
          </w:p>
        </w:tc>
        <w:tc>
          <w:tcPr>
            <w:tcW w:w="1529" w:type="dxa"/>
            <w:tcBorders>
              <w:top w:val="nil"/>
              <w:left w:val="nil"/>
              <w:bottom w:val="nil"/>
              <w:right w:val="nil"/>
            </w:tcBorders>
          </w:tcPr>
          <w:p w14:paraId="4B8319AC" w14:textId="112AC85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99558</w:t>
            </w:r>
          </w:p>
        </w:tc>
        <w:tc>
          <w:tcPr>
            <w:tcW w:w="1856" w:type="dxa"/>
            <w:tcBorders>
              <w:top w:val="nil"/>
              <w:left w:val="nil"/>
              <w:bottom w:val="nil"/>
              <w:right w:val="nil"/>
            </w:tcBorders>
          </w:tcPr>
          <w:p w14:paraId="6B7ED86E" w14:textId="0B976ED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27" w:type="dxa"/>
            <w:tcBorders>
              <w:top w:val="nil"/>
              <w:left w:val="nil"/>
              <w:bottom w:val="nil"/>
              <w:right w:val="nil"/>
            </w:tcBorders>
          </w:tcPr>
          <w:p w14:paraId="286A2925" w14:textId="3D9BF799"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389" w:type="dxa"/>
            <w:tcBorders>
              <w:top w:val="nil"/>
              <w:left w:val="nil"/>
              <w:bottom w:val="nil"/>
              <w:right w:val="nil"/>
            </w:tcBorders>
          </w:tcPr>
          <w:p w14:paraId="502063CF" w14:textId="23767E4D"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890" w:type="dxa"/>
            <w:tcBorders>
              <w:left w:val="nil"/>
              <w:right w:val="nil"/>
            </w:tcBorders>
          </w:tcPr>
          <w:p w14:paraId="0FB10733" w14:textId="55C3B5C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02431400" w14:textId="01F8E8B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38" w:type="dxa"/>
          </w:tcPr>
          <w:p w14:paraId="1857C959" w14:textId="1CEEABB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9.5</w:t>
            </w:r>
          </w:p>
        </w:tc>
      </w:tr>
      <w:tr w:rsidR="00D95BD9" w:rsidRPr="00B424FD" w14:paraId="0EFC8EF0" w14:textId="7AD42668" w:rsidTr="007D28FF">
        <w:trPr>
          <w:jc w:val="center"/>
        </w:trPr>
        <w:tc>
          <w:tcPr>
            <w:tcW w:w="746" w:type="dxa"/>
            <w:tcBorders>
              <w:right w:val="nil"/>
            </w:tcBorders>
          </w:tcPr>
          <w:p w14:paraId="22A90C22"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2013</w:t>
            </w:r>
          </w:p>
        </w:tc>
        <w:tc>
          <w:tcPr>
            <w:tcW w:w="1773" w:type="dxa"/>
            <w:tcBorders>
              <w:left w:val="nil"/>
              <w:right w:val="nil"/>
            </w:tcBorders>
          </w:tcPr>
          <w:p w14:paraId="4A4332B1" w14:textId="2305CD3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13579</w:t>
            </w:r>
          </w:p>
        </w:tc>
        <w:tc>
          <w:tcPr>
            <w:tcW w:w="1529" w:type="dxa"/>
            <w:tcBorders>
              <w:top w:val="nil"/>
              <w:left w:val="nil"/>
              <w:bottom w:val="nil"/>
              <w:right w:val="nil"/>
            </w:tcBorders>
          </w:tcPr>
          <w:p w14:paraId="6F3F1792" w14:textId="60345B4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114282</w:t>
            </w:r>
          </w:p>
        </w:tc>
        <w:tc>
          <w:tcPr>
            <w:tcW w:w="1856" w:type="dxa"/>
            <w:tcBorders>
              <w:top w:val="nil"/>
              <w:left w:val="nil"/>
              <w:bottom w:val="nil"/>
              <w:right w:val="nil"/>
            </w:tcBorders>
          </w:tcPr>
          <w:p w14:paraId="075816FE" w14:textId="7F7CBBD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1090</w:t>
            </w:r>
          </w:p>
        </w:tc>
        <w:tc>
          <w:tcPr>
            <w:tcW w:w="1527" w:type="dxa"/>
            <w:tcBorders>
              <w:top w:val="nil"/>
              <w:left w:val="nil"/>
              <w:bottom w:val="nil"/>
              <w:right w:val="nil"/>
            </w:tcBorders>
          </w:tcPr>
          <w:p w14:paraId="5C9D5243" w14:textId="432DD0C1"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402</w:t>
            </w:r>
          </w:p>
        </w:tc>
        <w:tc>
          <w:tcPr>
            <w:tcW w:w="1389" w:type="dxa"/>
            <w:tcBorders>
              <w:top w:val="nil"/>
              <w:left w:val="nil"/>
              <w:bottom w:val="nil"/>
              <w:right w:val="nil"/>
            </w:tcBorders>
          </w:tcPr>
          <w:p w14:paraId="300CA7BB" w14:textId="1802C71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191</w:t>
            </w:r>
          </w:p>
        </w:tc>
        <w:tc>
          <w:tcPr>
            <w:tcW w:w="1890" w:type="dxa"/>
            <w:tcBorders>
              <w:left w:val="nil"/>
              <w:right w:val="nil"/>
            </w:tcBorders>
          </w:tcPr>
          <w:p w14:paraId="3708C83D" w14:textId="05A1ECF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0AFBE6A5" w14:textId="6079A5C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92.5</w:t>
            </w:r>
            <w:r w:rsidRPr="00B424FD">
              <w:rPr>
                <w:rStyle w:val="FootnoteReference"/>
                <w:rFonts w:cs="Times New Roman"/>
                <w:color w:val="0D0D0D"/>
                <w:szCs w:val="20"/>
                <w:shd w:val="clear" w:color="auto" w:fill="FFFFFF"/>
                <w:lang w:val="en-GB"/>
              </w:rPr>
              <w:footnoteReference w:id="2"/>
            </w:r>
          </w:p>
        </w:tc>
        <w:tc>
          <w:tcPr>
            <w:tcW w:w="1538" w:type="dxa"/>
          </w:tcPr>
          <w:p w14:paraId="37D26422" w14:textId="6498C11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11.2</w:t>
            </w:r>
          </w:p>
        </w:tc>
      </w:tr>
      <w:tr w:rsidR="00D95BD9" w:rsidRPr="00B424FD" w14:paraId="4BC81B48" w14:textId="1D584C0A" w:rsidTr="007D28FF">
        <w:trPr>
          <w:jc w:val="center"/>
        </w:trPr>
        <w:tc>
          <w:tcPr>
            <w:tcW w:w="746" w:type="dxa"/>
            <w:tcBorders>
              <w:right w:val="nil"/>
            </w:tcBorders>
          </w:tcPr>
          <w:p w14:paraId="0A04507A"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2014</w:t>
            </w:r>
          </w:p>
        </w:tc>
        <w:tc>
          <w:tcPr>
            <w:tcW w:w="1773" w:type="dxa"/>
            <w:tcBorders>
              <w:left w:val="nil"/>
              <w:right w:val="nil"/>
            </w:tcBorders>
          </w:tcPr>
          <w:p w14:paraId="62901024" w14:textId="13AD81B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18017</w:t>
            </w:r>
          </w:p>
        </w:tc>
        <w:tc>
          <w:tcPr>
            <w:tcW w:w="1529" w:type="dxa"/>
            <w:tcBorders>
              <w:top w:val="nil"/>
              <w:left w:val="nil"/>
              <w:bottom w:val="nil"/>
              <w:right w:val="nil"/>
            </w:tcBorders>
          </w:tcPr>
          <w:p w14:paraId="37A0BFCF" w14:textId="65968CD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146991</w:t>
            </w:r>
          </w:p>
        </w:tc>
        <w:tc>
          <w:tcPr>
            <w:tcW w:w="1856" w:type="dxa"/>
            <w:tcBorders>
              <w:top w:val="nil"/>
              <w:left w:val="nil"/>
              <w:bottom w:val="nil"/>
              <w:right w:val="nil"/>
            </w:tcBorders>
          </w:tcPr>
          <w:p w14:paraId="3E71D7B6" w14:textId="62782E9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1073</w:t>
            </w:r>
          </w:p>
        </w:tc>
        <w:tc>
          <w:tcPr>
            <w:tcW w:w="1527" w:type="dxa"/>
            <w:tcBorders>
              <w:top w:val="nil"/>
              <w:left w:val="nil"/>
              <w:bottom w:val="nil"/>
              <w:right w:val="nil"/>
            </w:tcBorders>
          </w:tcPr>
          <w:p w14:paraId="63126EF8" w14:textId="5542DA1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573</w:t>
            </w:r>
          </w:p>
        </w:tc>
        <w:tc>
          <w:tcPr>
            <w:tcW w:w="1389" w:type="dxa"/>
            <w:tcBorders>
              <w:top w:val="nil"/>
              <w:left w:val="nil"/>
              <w:bottom w:val="nil"/>
              <w:right w:val="nil"/>
            </w:tcBorders>
          </w:tcPr>
          <w:p w14:paraId="350417D8" w14:textId="39437652"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361</w:t>
            </w:r>
          </w:p>
        </w:tc>
        <w:tc>
          <w:tcPr>
            <w:tcW w:w="1890" w:type="dxa"/>
            <w:tcBorders>
              <w:left w:val="nil"/>
              <w:right w:val="nil"/>
            </w:tcBorders>
          </w:tcPr>
          <w:p w14:paraId="1DEC6F74" w14:textId="708B8F4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368A9FCA" w14:textId="3C077C4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B424FD">
              <w:rPr>
                <w:rFonts w:cs="Times New Roman"/>
                <w:color w:val="0D0D0D"/>
                <w:szCs w:val="20"/>
                <w:shd w:val="clear" w:color="auto" w:fill="FFFFFF"/>
                <w:lang w:val="en-GB"/>
              </w:rPr>
              <w:t>91.5</w:t>
            </w:r>
            <w:r w:rsidRPr="00B424FD">
              <w:rPr>
                <w:rFonts w:cs="Times New Roman"/>
                <w:color w:val="0D0D0D"/>
                <w:szCs w:val="20"/>
                <w:shd w:val="clear" w:color="auto" w:fill="FFFFFF"/>
                <w:vertAlign w:val="superscript"/>
                <w:lang w:val="en-GB"/>
              </w:rPr>
              <w:t>*</w:t>
            </w:r>
          </w:p>
        </w:tc>
        <w:tc>
          <w:tcPr>
            <w:tcW w:w="1538" w:type="dxa"/>
          </w:tcPr>
          <w:p w14:paraId="5F69CD62" w14:textId="057EE1E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0C9DCFA6" w14:textId="78F919D1" w:rsidTr="007D28FF">
        <w:trPr>
          <w:jc w:val="center"/>
        </w:trPr>
        <w:tc>
          <w:tcPr>
            <w:tcW w:w="746" w:type="dxa"/>
            <w:tcBorders>
              <w:right w:val="nil"/>
            </w:tcBorders>
          </w:tcPr>
          <w:p w14:paraId="56CB69B4"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2015</w:t>
            </w:r>
          </w:p>
        </w:tc>
        <w:tc>
          <w:tcPr>
            <w:tcW w:w="1773" w:type="dxa"/>
            <w:tcBorders>
              <w:left w:val="nil"/>
              <w:right w:val="nil"/>
            </w:tcBorders>
          </w:tcPr>
          <w:p w14:paraId="54A30258" w14:textId="02D00AB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22042</w:t>
            </w:r>
          </w:p>
        </w:tc>
        <w:tc>
          <w:tcPr>
            <w:tcW w:w="1529" w:type="dxa"/>
            <w:tcBorders>
              <w:top w:val="nil"/>
              <w:left w:val="nil"/>
              <w:bottom w:val="nil"/>
              <w:right w:val="nil"/>
            </w:tcBorders>
          </w:tcPr>
          <w:p w14:paraId="56B63DCC" w14:textId="3F298E7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162071</w:t>
            </w:r>
          </w:p>
        </w:tc>
        <w:tc>
          <w:tcPr>
            <w:tcW w:w="1856" w:type="dxa"/>
            <w:tcBorders>
              <w:top w:val="nil"/>
              <w:left w:val="nil"/>
              <w:bottom w:val="nil"/>
              <w:right w:val="nil"/>
            </w:tcBorders>
          </w:tcPr>
          <w:p w14:paraId="6A4A915D" w14:textId="2CEB375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1226</w:t>
            </w:r>
          </w:p>
        </w:tc>
        <w:tc>
          <w:tcPr>
            <w:tcW w:w="1527" w:type="dxa"/>
            <w:tcBorders>
              <w:top w:val="nil"/>
              <w:left w:val="nil"/>
              <w:bottom w:val="nil"/>
              <w:right w:val="nil"/>
            </w:tcBorders>
          </w:tcPr>
          <w:p w14:paraId="60454E71" w14:textId="15FA1591"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454</w:t>
            </w:r>
          </w:p>
        </w:tc>
        <w:tc>
          <w:tcPr>
            <w:tcW w:w="1389" w:type="dxa"/>
            <w:tcBorders>
              <w:top w:val="nil"/>
              <w:left w:val="nil"/>
              <w:bottom w:val="nil"/>
              <w:right w:val="nil"/>
            </w:tcBorders>
          </w:tcPr>
          <w:p w14:paraId="7C666DA1" w14:textId="2447E9B0"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358</w:t>
            </w:r>
          </w:p>
        </w:tc>
        <w:tc>
          <w:tcPr>
            <w:tcW w:w="1890" w:type="dxa"/>
            <w:tcBorders>
              <w:left w:val="nil"/>
              <w:right w:val="nil"/>
            </w:tcBorders>
          </w:tcPr>
          <w:p w14:paraId="4A5040DD" w14:textId="791381C5"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287FD9D1" w14:textId="57F7E5F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41.6</w:t>
            </w:r>
          </w:p>
        </w:tc>
        <w:tc>
          <w:tcPr>
            <w:tcW w:w="1538" w:type="dxa"/>
          </w:tcPr>
          <w:p w14:paraId="07605260" w14:textId="0E84141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76F246AD" w14:textId="1544F27C" w:rsidTr="007D28FF">
        <w:trPr>
          <w:trHeight w:val="58"/>
          <w:jc w:val="center"/>
        </w:trPr>
        <w:tc>
          <w:tcPr>
            <w:tcW w:w="746" w:type="dxa"/>
            <w:tcBorders>
              <w:right w:val="nil"/>
            </w:tcBorders>
          </w:tcPr>
          <w:p w14:paraId="1D33D971"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2016</w:t>
            </w:r>
          </w:p>
        </w:tc>
        <w:tc>
          <w:tcPr>
            <w:tcW w:w="1773" w:type="dxa"/>
            <w:tcBorders>
              <w:left w:val="nil"/>
              <w:right w:val="nil"/>
            </w:tcBorders>
          </w:tcPr>
          <w:p w14:paraId="69297820" w14:textId="524B399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17297</w:t>
            </w:r>
          </w:p>
        </w:tc>
        <w:tc>
          <w:tcPr>
            <w:tcW w:w="1529" w:type="dxa"/>
            <w:tcBorders>
              <w:top w:val="nil"/>
              <w:left w:val="nil"/>
              <w:bottom w:val="nil"/>
              <w:right w:val="nil"/>
            </w:tcBorders>
          </w:tcPr>
          <w:p w14:paraId="10FA88CE" w14:textId="7980DD4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170936</w:t>
            </w:r>
          </w:p>
        </w:tc>
        <w:tc>
          <w:tcPr>
            <w:tcW w:w="1856" w:type="dxa"/>
            <w:tcBorders>
              <w:top w:val="nil"/>
              <w:left w:val="nil"/>
              <w:bottom w:val="nil"/>
              <w:right w:val="nil"/>
            </w:tcBorders>
          </w:tcPr>
          <w:p w14:paraId="1FC458FD" w14:textId="286DA25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821</w:t>
            </w:r>
          </w:p>
        </w:tc>
        <w:tc>
          <w:tcPr>
            <w:tcW w:w="1527" w:type="dxa"/>
            <w:tcBorders>
              <w:top w:val="nil"/>
              <w:left w:val="nil"/>
              <w:bottom w:val="nil"/>
              <w:right w:val="nil"/>
            </w:tcBorders>
          </w:tcPr>
          <w:p w14:paraId="5662C376" w14:textId="28C714FA"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366</w:t>
            </w:r>
          </w:p>
        </w:tc>
        <w:tc>
          <w:tcPr>
            <w:tcW w:w="1389" w:type="dxa"/>
            <w:tcBorders>
              <w:top w:val="nil"/>
              <w:left w:val="nil"/>
              <w:bottom w:val="nil"/>
              <w:right w:val="nil"/>
            </w:tcBorders>
          </w:tcPr>
          <w:p w14:paraId="190084C6" w14:textId="48B6E7C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325</w:t>
            </w:r>
          </w:p>
        </w:tc>
        <w:tc>
          <w:tcPr>
            <w:tcW w:w="1890" w:type="dxa"/>
            <w:tcBorders>
              <w:left w:val="nil"/>
              <w:right w:val="nil"/>
            </w:tcBorders>
          </w:tcPr>
          <w:p w14:paraId="24DFC06C" w14:textId="0088BE7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1BDB5728" w14:textId="7112132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45.1</w:t>
            </w:r>
          </w:p>
        </w:tc>
        <w:tc>
          <w:tcPr>
            <w:tcW w:w="1538" w:type="dxa"/>
          </w:tcPr>
          <w:p w14:paraId="11174F13" w14:textId="460A26EC"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3BAFCFBC" w14:textId="46413F14" w:rsidTr="007D28FF">
        <w:trPr>
          <w:jc w:val="center"/>
        </w:trPr>
        <w:tc>
          <w:tcPr>
            <w:tcW w:w="746" w:type="dxa"/>
            <w:tcBorders>
              <w:right w:val="nil"/>
            </w:tcBorders>
          </w:tcPr>
          <w:p w14:paraId="478E5FFF"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2017</w:t>
            </w:r>
          </w:p>
        </w:tc>
        <w:tc>
          <w:tcPr>
            <w:tcW w:w="1773" w:type="dxa"/>
            <w:tcBorders>
              <w:left w:val="nil"/>
              <w:right w:val="nil"/>
            </w:tcBorders>
          </w:tcPr>
          <w:p w14:paraId="3C058AEF" w14:textId="13288D6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21209</w:t>
            </w:r>
          </w:p>
        </w:tc>
        <w:tc>
          <w:tcPr>
            <w:tcW w:w="1529" w:type="dxa"/>
            <w:tcBorders>
              <w:top w:val="nil"/>
              <w:left w:val="nil"/>
              <w:bottom w:val="nil"/>
              <w:right w:val="nil"/>
            </w:tcBorders>
          </w:tcPr>
          <w:p w14:paraId="335410A4" w14:textId="10EFAD7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190941</w:t>
            </w:r>
          </w:p>
        </w:tc>
        <w:tc>
          <w:tcPr>
            <w:tcW w:w="1856" w:type="dxa"/>
            <w:tcBorders>
              <w:top w:val="nil"/>
              <w:left w:val="nil"/>
              <w:bottom w:val="nil"/>
              <w:right w:val="nil"/>
            </w:tcBorders>
          </w:tcPr>
          <w:p w14:paraId="0E104717" w14:textId="765EF11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839</w:t>
            </w:r>
          </w:p>
        </w:tc>
        <w:tc>
          <w:tcPr>
            <w:tcW w:w="1527" w:type="dxa"/>
            <w:tcBorders>
              <w:top w:val="nil"/>
              <w:left w:val="nil"/>
              <w:bottom w:val="nil"/>
              <w:right w:val="nil"/>
            </w:tcBorders>
          </w:tcPr>
          <w:p w14:paraId="392226B8" w14:textId="4A3B6032"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355</w:t>
            </w:r>
          </w:p>
        </w:tc>
        <w:tc>
          <w:tcPr>
            <w:tcW w:w="1389" w:type="dxa"/>
            <w:tcBorders>
              <w:top w:val="nil"/>
              <w:left w:val="nil"/>
              <w:bottom w:val="nil"/>
              <w:right w:val="nil"/>
            </w:tcBorders>
          </w:tcPr>
          <w:p w14:paraId="4428A66D" w14:textId="3F4AEA2B"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327</w:t>
            </w:r>
          </w:p>
        </w:tc>
        <w:tc>
          <w:tcPr>
            <w:tcW w:w="1890" w:type="dxa"/>
            <w:tcBorders>
              <w:left w:val="nil"/>
              <w:right w:val="nil"/>
            </w:tcBorders>
          </w:tcPr>
          <w:p w14:paraId="23ED62CA" w14:textId="43F25EB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7339A368" w14:textId="6DF3CB9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54.4</w:t>
            </w:r>
          </w:p>
        </w:tc>
        <w:tc>
          <w:tcPr>
            <w:tcW w:w="1538" w:type="dxa"/>
          </w:tcPr>
          <w:p w14:paraId="501DBE6D" w14:textId="7D0F10F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43.7</w:t>
            </w:r>
          </w:p>
        </w:tc>
      </w:tr>
      <w:tr w:rsidR="00D95BD9" w:rsidRPr="00B424FD" w14:paraId="07D7E33D" w14:textId="201F4579" w:rsidTr="007D28FF">
        <w:trPr>
          <w:jc w:val="center"/>
        </w:trPr>
        <w:tc>
          <w:tcPr>
            <w:tcW w:w="746" w:type="dxa"/>
            <w:tcBorders>
              <w:right w:val="nil"/>
            </w:tcBorders>
          </w:tcPr>
          <w:p w14:paraId="62C14220"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2018</w:t>
            </w:r>
          </w:p>
        </w:tc>
        <w:tc>
          <w:tcPr>
            <w:tcW w:w="1773" w:type="dxa"/>
            <w:tcBorders>
              <w:left w:val="nil"/>
              <w:right w:val="nil"/>
            </w:tcBorders>
          </w:tcPr>
          <w:p w14:paraId="2B12B5DF" w14:textId="3B94A24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26748</w:t>
            </w:r>
          </w:p>
        </w:tc>
        <w:tc>
          <w:tcPr>
            <w:tcW w:w="1529" w:type="dxa"/>
            <w:tcBorders>
              <w:top w:val="nil"/>
              <w:left w:val="nil"/>
              <w:bottom w:val="nil"/>
              <w:right w:val="nil"/>
            </w:tcBorders>
          </w:tcPr>
          <w:p w14:paraId="53DEF618" w14:textId="4C9BD39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228103</w:t>
            </w:r>
          </w:p>
        </w:tc>
        <w:tc>
          <w:tcPr>
            <w:tcW w:w="1856" w:type="dxa"/>
            <w:tcBorders>
              <w:top w:val="nil"/>
              <w:left w:val="nil"/>
              <w:bottom w:val="nil"/>
              <w:right w:val="nil"/>
            </w:tcBorders>
          </w:tcPr>
          <w:p w14:paraId="5C0040F7" w14:textId="3B0F453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799</w:t>
            </w:r>
          </w:p>
        </w:tc>
        <w:tc>
          <w:tcPr>
            <w:tcW w:w="1527" w:type="dxa"/>
            <w:tcBorders>
              <w:top w:val="nil"/>
              <w:left w:val="nil"/>
              <w:bottom w:val="nil"/>
              <w:right w:val="nil"/>
            </w:tcBorders>
          </w:tcPr>
          <w:p w14:paraId="6271B7A0" w14:textId="592C9A1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361</w:t>
            </w:r>
          </w:p>
        </w:tc>
        <w:tc>
          <w:tcPr>
            <w:tcW w:w="1389" w:type="dxa"/>
            <w:tcBorders>
              <w:top w:val="nil"/>
              <w:left w:val="nil"/>
              <w:bottom w:val="nil"/>
              <w:right w:val="nil"/>
            </w:tcBorders>
          </w:tcPr>
          <w:p w14:paraId="2B075967" w14:textId="21F168AD"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328</w:t>
            </w:r>
          </w:p>
        </w:tc>
        <w:tc>
          <w:tcPr>
            <w:tcW w:w="1890" w:type="dxa"/>
            <w:tcBorders>
              <w:left w:val="nil"/>
              <w:right w:val="nil"/>
            </w:tcBorders>
          </w:tcPr>
          <w:p w14:paraId="725DF0AC" w14:textId="6685833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542B3E3A" w14:textId="26ABECB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63.6</w:t>
            </w:r>
          </w:p>
        </w:tc>
        <w:tc>
          <w:tcPr>
            <w:tcW w:w="1538" w:type="dxa"/>
          </w:tcPr>
          <w:p w14:paraId="6AB8FFAE" w14:textId="28D2416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43.2</w:t>
            </w:r>
          </w:p>
        </w:tc>
      </w:tr>
      <w:tr w:rsidR="00D95BD9" w:rsidRPr="00B424FD" w14:paraId="58ECEB2E" w14:textId="5635B66A" w:rsidTr="00932C73">
        <w:trPr>
          <w:jc w:val="center"/>
        </w:trPr>
        <w:tc>
          <w:tcPr>
            <w:tcW w:w="746" w:type="dxa"/>
            <w:tcBorders>
              <w:bottom w:val="nil"/>
              <w:right w:val="nil"/>
            </w:tcBorders>
          </w:tcPr>
          <w:p w14:paraId="0035499F"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2019</w:t>
            </w:r>
          </w:p>
        </w:tc>
        <w:tc>
          <w:tcPr>
            <w:tcW w:w="1773" w:type="dxa"/>
            <w:tcBorders>
              <w:left w:val="nil"/>
              <w:bottom w:val="nil"/>
              <w:right w:val="nil"/>
            </w:tcBorders>
          </w:tcPr>
          <w:p w14:paraId="1755FD8E" w14:textId="4E81EEA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33634</w:t>
            </w:r>
          </w:p>
        </w:tc>
        <w:tc>
          <w:tcPr>
            <w:tcW w:w="1529" w:type="dxa"/>
            <w:tcBorders>
              <w:top w:val="nil"/>
              <w:left w:val="nil"/>
              <w:bottom w:val="nil"/>
              <w:right w:val="nil"/>
            </w:tcBorders>
          </w:tcPr>
          <w:p w14:paraId="5FA69BC7" w14:textId="694EE94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268605</w:t>
            </w:r>
          </w:p>
        </w:tc>
        <w:tc>
          <w:tcPr>
            <w:tcW w:w="1856" w:type="dxa"/>
            <w:tcBorders>
              <w:top w:val="nil"/>
              <w:left w:val="nil"/>
              <w:bottom w:val="nil"/>
              <w:right w:val="nil"/>
            </w:tcBorders>
          </w:tcPr>
          <w:p w14:paraId="118E188A" w14:textId="2B93C98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971</w:t>
            </w:r>
          </w:p>
        </w:tc>
        <w:tc>
          <w:tcPr>
            <w:tcW w:w="1527" w:type="dxa"/>
            <w:tcBorders>
              <w:top w:val="nil"/>
              <w:left w:val="nil"/>
              <w:bottom w:val="nil"/>
              <w:right w:val="nil"/>
            </w:tcBorders>
          </w:tcPr>
          <w:p w14:paraId="3C782FA8" w14:textId="6C9C3A46" w:rsidR="00E5498B" w:rsidRPr="00B424FD"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408</w:t>
            </w:r>
          </w:p>
        </w:tc>
        <w:tc>
          <w:tcPr>
            <w:tcW w:w="1389" w:type="dxa"/>
            <w:tcBorders>
              <w:top w:val="nil"/>
              <w:left w:val="nil"/>
              <w:bottom w:val="nil"/>
              <w:right w:val="nil"/>
            </w:tcBorders>
          </w:tcPr>
          <w:p w14:paraId="420C4E67" w14:textId="4C25B11D" w:rsidR="00E5498B" w:rsidRPr="00B424FD"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419</w:t>
            </w:r>
          </w:p>
        </w:tc>
        <w:tc>
          <w:tcPr>
            <w:tcW w:w="1890" w:type="dxa"/>
            <w:tcBorders>
              <w:left w:val="nil"/>
              <w:bottom w:val="nil"/>
              <w:right w:val="nil"/>
            </w:tcBorders>
          </w:tcPr>
          <w:p w14:paraId="6F7B90B7" w14:textId="53FD936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bottom w:val="nil"/>
            </w:tcBorders>
          </w:tcPr>
          <w:p w14:paraId="68B73222" w14:textId="6A2BC7D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75.0</w:t>
            </w:r>
          </w:p>
        </w:tc>
        <w:tc>
          <w:tcPr>
            <w:tcW w:w="1538" w:type="dxa"/>
            <w:tcBorders>
              <w:bottom w:val="nil"/>
            </w:tcBorders>
          </w:tcPr>
          <w:p w14:paraId="65A3D22D" w14:textId="62D80AB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45.2</w:t>
            </w:r>
          </w:p>
        </w:tc>
      </w:tr>
      <w:tr w:rsidR="00393D45" w:rsidRPr="00B424FD" w14:paraId="02936333" w14:textId="77777777" w:rsidTr="00932C73">
        <w:trPr>
          <w:jc w:val="center"/>
        </w:trPr>
        <w:tc>
          <w:tcPr>
            <w:tcW w:w="746" w:type="dxa"/>
            <w:tcBorders>
              <w:top w:val="nil"/>
              <w:bottom w:val="nil"/>
              <w:right w:val="nil"/>
            </w:tcBorders>
          </w:tcPr>
          <w:p w14:paraId="77C8A8D0" w14:textId="4CEC4A2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2020</w:t>
            </w:r>
            <w:r w:rsidRPr="00B424FD">
              <w:rPr>
                <w:rStyle w:val="FootnoteReference"/>
                <w:rFonts w:cs="Times New Roman"/>
                <w:color w:val="0D0D0D"/>
                <w:szCs w:val="20"/>
                <w:highlight w:val="yellow"/>
                <w:shd w:val="clear" w:color="auto" w:fill="FFFFFF"/>
                <w:lang w:val="en-GB"/>
              </w:rPr>
              <w:footnoteReference w:customMarkFollows="1" w:id="3"/>
              <w:t>**</w:t>
            </w:r>
          </w:p>
        </w:tc>
        <w:tc>
          <w:tcPr>
            <w:tcW w:w="1773" w:type="dxa"/>
            <w:tcBorders>
              <w:top w:val="nil"/>
              <w:left w:val="nil"/>
              <w:bottom w:val="nil"/>
              <w:right w:val="nil"/>
            </w:tcBorders>
          </w:tcPr>
          <w:p w14:paraId="68011A70" w14:textId="75790F9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24936</w:t>
            </w:r>
          </w:p>
        </w:tc>
        <w:tc>
          <w:tcPr>
            <w:tcW w:w="1529" w:type="dxa"/>
            <w:tcBorders>
              <w:top w:val="nil"/>
              <w:left w:val="nil"/>
              <w:bottom w:val="nil"/>
              <w:right w:val="nil"/>
            </w:tcBorders>
          </w:tcPr>
          <w:p w14:paraId="0ED79356" w14:textId="1465D0F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219721</w:t>
            </w:r>
          </w:p>
        </w:tc>
        <w:tc>
          <w:tcPr>
            <w:tcW w:w="1856" w:type="dxa"/>
            <w:tcBorders>
              <w:top w:val="nil"/>
              <w:left w:val="nil"/>
              <w:bottom w:val="nil"/>
              <w:right w:val="nil"/>
            </w:tcBorders>
          </w:tcPr>
          <w:p w14:paraId="01A0169C" w14:textId="15B2FE6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785</w:t>
            </w:r>
          </w:p>
        </w:tc>
        <w:tc>
          <w:tcPr>
            <w:tcW w:w="1527" w:type="dxa"/>
            <w:tcBorders>
              <w:top w:val="nil"/>
              <w:left w:val="nil"/>
              <w:bottom w:val="nil"/>
              <w:right w:val="nil"/>
            </w:tcBorders>
          </w:tcPr>
          <w:p w14:paraId="5F437C1A" w14:textId="7DA0F0A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410</w:t>
            </w:r>
          </w:p>
        </w:tc>
        <w:tc>
          <w:tcPr>
            <w:tcW w:w="1389" w:type="dxa"/>
            <w:tcBorders>
              <w:top w:val="nil"/>
              <w:left w:val="nil"/>
              <w:bottom w:val="nil"/>
              <w:right w:val="nil"/>
            </w:tcBorders>
          </w:tcPr>
          <w:p w14:paraId="47F1757D" w14:textId="5D64053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265</w:t>
            </w:r>
          </w:p>
        </w:tc>
        <w:tc>
          <w:tcPr>
            <w:tcW w:w="1890" w:type="dxa"/>
            <w:tcBorders>
              <w:top w:val="nil"/>
              <w:left w:val="nil"/>
              <w:bottom w:val="nil"/>
              <w:right w:val="nil"/>
            </w:tcBorders>
          </w:tcPr>
          <w:p w14:paraId="0D6023AA" w14:textId="6D288E8C"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0.0</w:t>
            </w:r>
          </w:p>
        </w:tc>
        <w:tc>
          <w:tcPr>
            <w:tcW w:w="1710" w:type="dxa"/>
            <w:tcBorders>
              <w:top w:val="nil"/>
              <w:left w:val="nil"/>
              <w:bottom w:val="nil"/>
              <w:right w:val="single" w:sz="4" w:space="0" w:color="auto"/>
            </w:tcBorders>
          </w:tcPr>
          <w:p w14:paraId="3C44F697" w14:textId="07E7A13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79.2</w:t>
            </w:r>
          </w:p>
        </w:tc>
        <w:tc>
          <w:tcPr>
            <w:tcW w:w="1538" w:type="dxa"/>
            <w:tcBorders>
              <w:top w:val="nil"/>
              <w:left w:val="single" w:sz="4" w:space="0" w:color="auto"/>
              <w:bottom w:val="nil"/>
            </w:tcBorders>
          </w:tcPr>
          <w:p w14:paraId="3CB4E3C9" w14:textId="3080CEB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30.7</w:t>
            </w:r>
          </w:p>
        </w:tc>
      </w:tr>
      <w:tr w:rsidR="00393D45" w:rsidRPr="00B424FD" w14:paraId="58DA3189" w14:textId="77777777" w:rsidTr="00932C73">
        <w:trPr>
          <w:jc w:val="center"/>
        </w:trPr>
        <w:tc>
          <w:tcPr>
            <w:tcW w:w="746" w:type="dxa"/>
            <w:tcBorders>
              <w:top w:val="nil"/>
              <w:bottom w:val="nil"/>
              <w:right w:val="nil"/>
            </w:tcBorders>
          </w:tcPr>
          <w:p w14:paraId="54ECB8AC" w14:textId="32C3FFF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vertAlign w:val="superscript"/>
                <w:lang w:val="en-GB"/>
              </w:rPr>
            </w:pPr>
            <w:r w:rsidRPr="00B424FD">
              <w:rPr>
                <w:rFonts w:cs="Times New Roman"/>
                <w:color w:val="0D0D0D"/>
                <w:szCs w:val="20"/>
                <w:highlight w:val="yellow"/>
                <w:shd w:val="clear" w:color="auto" w:fill="FFFFFF"/>
                <w:lang w:val="en-GB"/>
              </w:rPr>
              <w:t>2021</w:t>
            </w:r>
            <w:r w:rsidRPr="00B424FD">
              <w:rPr>
                <w:rFonts w:cs="Times New Roman"/>
                <w:color w:val="0D0D0D"/>
                <w:szCs w:val="20"/>
                <w:highlight w:val="yellow"/>
                <w:shd w:val="clear" w:color="auto" w:fill="FFFFFF"/>
                <w:vertAlign w:val="superscript"/>
                <w:lang w:val="en-GB"/>
              </w:rPr>
              <w:t>**</w:t>
            </w:r>
          </w:p>
        </w:tc>
        <w:tc>
          <w:tcPr>
            <w:tcW w:w="1773" w:type="dxa"/>
            <w:tcBorders>
              <w:top w:val="nil"/>
              <w:left w:val="nil"/>
              <w:bottom w:val="nil"/>
              <w:right w:val="nil"/>
            </w:tcBorders>
          </w:tcPr>
          <w:p w14:paraId="1875855D" w14:textId="1ECE704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24830</w:t>
            </w:r>
          </w:p>
        </w:tc>
        <w:tc>
          <w:tcPr>
            <w:tcW w:w="1529" w:type="dxa"/>
            <w:tcBorders>
              <w:top w:val="nil"/>
              <w:left w:val="nil"/>
              <w:bottom w:val="nil"/>
              <w:right w:val="nil"/>
            </w:tcBorders>
          </w:tcPr>
          <w:p w14:paraId="3D027C30" w14:textId="2CDE2FE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260778</w:t>
            </w:r>
          </w:p>
        </w:tc>
        <w:tc>
          <w:tcPr>
            <w:tcW w:w="1856" w:type="dxa"/>
            <w:tcBorders>
              <w:top w:val="nil"/>
              <w:left w:val="nil"/>
              <w:bottom w:val="nil"/>
              <w:right w:val="nil"/>
            </w:tcBorders>
          </w:tcPr>
          <w:p w14:paraId="3126A3B9" w14:textId="7F3C07C1"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894</w:t>
            </w:r>
          </w:p>
        </w:tc>
        <w:tc>
          <w:tcPr>
            <w:tcW w:w="1527" w:type="dxa"/>
            <w:tcBorders>
              <w:top w:val="nil"/>
              <w:left w:val="nil"/>
              <w:bottom w:val="nil"/>
              <w:right w:val="nil"/>
            </w:tcBorders>
          </w:tcPr>
          <w:p w14:paraId="10573274" w14:textId="211643D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411</w:t>
            </w:r>
          </w:p>
        </w:tc>
        <w:tc>
          <w:tcPr>
            <w:tcW w:w="1389" w:type="dxa"/>
            <w:tcBorders>
              <w:top w:val="nil"/>
              <w:left w:val="nil"/>
              <w:bottom w:val="nil"/>
              <w:right w:val="nil"/>
            </w:tcBorders>
          </w:tcPr>
          <w:p w14:paraId="3052EA8B" w14:textId="738BB2C4"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483</w:t>
            </w:r>
          </w:p>
        </w:tc>
        <w:tc>
          <w:tcPr>
            <w:tcW w:w="1890" w:type="dxa"/>
            <w:tcBorders>
              <w:top w:val="nil"/>
              <w:left w:val="nil"/>
              <w:bottom w:val="nil"/>
              <w:right w:val="nil"/>
            </w:tcBorders>
          </w:tcPr>
          <w:p w14:paraId="6F8A0352" w14:textId="1535142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0.0</w:t>
            </w:r>
          </w:p>
        </w:tc>
        <w:tc>
          <w:tcPr>
            <w:tcW w:w="1710" w:type="dxa"/>
            <w:tcBorders>
              <w:top w:val="nil"/>
              <w:left w:val="nil"/>
              <w:bottom w:val="nil"/>
              <w:right w:val="single" w:sz="4" w:space="0" w:color="auto"/>
            </w:tcBorders>
          </w:tcPr>
          <w:p w14:paraId="1CAE4605" w14:textId="508F3415"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86.0</w:t>
            </w:r>
          </w:p>
        </w:tc>
        <w:tc>
          <w:tcPr>
            <w:tcW w:w="1538" w:type="dxa"/>
            <w:tcBorders>
              <w:top w:val="nil"/>
              <w:left w:val="single" w:sz="4" w:space="0" w:color="auto"/>
              <w:bottom w:val="nil"/>
            </w:tcBorders>
          </w:tcPr>
          <w:p w14:paraId="64C0F093" w14:textId="2596E23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33.6</w:t>
            </w:r>
          </w:p>
        </w:tc>
      </w:tr>
      <w:tr w:rsidR="00D95BD9" w:rsidRPr="00B424FD" w14:paraId="30BA7BAE" w14:textId="58C30819" w:rsidTr="007D28FF">
        <w:trPr>
          <w:jc w:val="center"/>
        </w:trPr>
        <w:tc>
          <w:tcPr>
            <w:tcW w:w="746" w:type="dxa"/>
            <w:tcBorders>
              <w:top w:val="nil"/>
              <w:right w:val="nil"/>
            </w:tcBorders>
          </w:tcPr>
          <w:p w14:paraId="14072D92"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2022</w:t>
            </w:r>
          </w:p>
        </w:tc>
        <w:tc>
          <w:tcPr>
            <w:tcW w:w="1773" w:type="dxa"/>
            <w:tcBorders>
              <w:top w:val="nil"/>
              <w:left w:val="nil"/>
              <w:right w:val="nil"/>
            </w:tcBorders>
          </w:tcPr>
          <w:p w14:paraId="726BE844" w14:textId="122BD8C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36933</w:t>
            </w:r>
          </w:p>
        </w:tc>
        <w:tc>
          <w:tcPr>
            <w:tcW w:w="1529" w:type="dxa"/>
            <w:tcBorders>
              <w:top w:val="nil"/>
              <w:left w:val="nil"/>
              <w:bottom w:val="nil"/>
              <w:right w:val="nil"/>
            </w:tcBorders>
          </w:tcPr>
          <w:p w14:paraId="292AEB5E" w14:textId="1DD4152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323012</w:t>
            </w:r>
          </w:p>
        </w:tc>
        <w:tc>
          <w:tcPr>
            <w:tcW w:w="1856" w:type="dxa"/>
            <w:tcBorders>
              <w:top w:val="nil"/>
              <w:left w:val="nil"/>
              <w:bottom w:val="nil"/>
              <w:right w:val="nil"/>
            </w:tcBorders>
          </w:tcPr>
          <w:p w14:paraId="37F20F8D" w14:textId="236307B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852</w:t>
            </w:r>
          </w:p>
        </w:tc>
        <w:tc>
          <w:tcPr>
            <w:tcW w:w="1527" w:type="dxa"/>
            <w:tcBorders>
              <w:top w:val="nil"/>
              <w:left w:val="nil"/>
              <w:bottom w:val="nil"/>
              <w:right w:val="nil"/>
            </w:tcBorders>
          </w:tcPr>
          <w:p w14:paraId="6D14F324" w14:textId="5CC0B759"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367</w:t>
            </w:r>
          </w:p>
        </w:tc>
        <w:tc>
          <w:tcPr>
            <w:tcW w:w="1389" w:type="dxa"/>
            <w:tcBorders>
              <w:top w:val="nil"/>
              <w:left w:val="nil"/>
              <w:bottom w:val="nil"/>
              <w:right w:val="nil"/>
            </w:tcBorders>
          </w:tcPr>
          <w:p w14:paraId="33FFE52C" w14:textId="4E2A5E23"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481</w:t>
            </w:r>
          </w:p>
        </w:tc>
        <w:tc>
          <w:tcPr>
            <w:tcW w:w="1890" w:type="dxa"/>
            <w:tcBorders>
              <w:top w:val="nil"/>
              <w:left w:val="nil"/>
              <w:right w:val="nil"/>
            </w:tcBorders>
          </w:tcPr>
          <w:p w14:paraId="2A5D754F" w14:textId="77FCB02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top w:val="nil"/>
              <w:left w:val="nil"/>
            </w:tcBorders>
          </w:tcPr>
          <w:p w14:paraId="64FF7F06" w14:textId="435CD04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68.5</w:t>
            </w:r>
          </w:p>
        </w:tc>
        <w:tc>
          <w:tcPr>
            <w:tcW w:w="1538" w:type="dxa"/>
            <w:tcBorders>
              <w:top w:val="nil"/>
            </w:tcBorders>
          </w:tcPr>
          <w:p w14:paraId="4D1A9BAC" w14:textId="7E97DEE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18.3</w:t>
            </w:r>
          </w:p>
        </w:tc>
      </w:tr>
      <w:tr w:rsidR="00D95BD9" w:rsidRPr="00B424FD" w14:paraId="79866FA1" w14:textId="10D2E13D" w:rsidTr="007D28FF">
        <w:trPr>
          <w:jc w:val="center"/>
        </w:trPr>
        <w:tc>
          <w:tcPr>
            <w:tcW w:w="746" w:type="dxa"/>
            <w:tcBorders>
              <w:right w:val="nil"/>
            </w:tcBorders>
          </w:tcPr>
          <w:p w14:paraId="7D27892A"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2023</w:t>
            </w:r>
          </w:p>
        </w:tc>
        <w:tc>
          <w:tcPr>
            <w:tcW w:w="1773" w:type="dxa"/>
            <w:tcBorders>
              <w:left w:val="nil"/>
              <w:bottom w:val="nil"/>
              <w:right w:val="nil"/>
            </w:tcBorders>
          </w:tcPr>
          <w:p w14:paraId="70C610FB" w14:textId="35C5531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40344</w:t>
            </w:r>
          </w:p>
        </w:tc>
        <w:tc>
          <w:tcPr>
            <w:tcW w:w="1529" w:type="dxa"/>
            <w:tcBorders>
              <w:top w:val="nil"/>
              <w:left w:val="nil"/>
              <w:bottom w:val="nil"/>
              <w:right w:val="nil"/>
            </w:tcBorders>
          </w:tcPr>
          <w:p w14:paraId="46CFFDD0" w14:textId="13886E6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364015</w:t>
            </w:r>
          </w:p>
        </w:tc>
        <w:tc>
          <w:tcPr>
            <w:tcW w:w="1856" w:type="dxa"/>
            <w:tcBorders>
              <w:top w:val="nil"/>
              <w:left w:val="nil"/>
              <w:bottom w:val="nil"/>
              <w:right w:val="nil"/>
            </w:tcBorders>
          </w:tcPr>
          <w:p w14:paraId="5417F580" w14:textId="6E94355C"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1052</w:t>
            </w:r>
          </w:p>
        </w:tc>
        <w:tc>
          <w:tcPr>
            <w:tcW w:w="1527" w:type="dxa"/>
            <w:tcBorders>
              <w:top w:val="nil"/>
              <w:left w:val="nil"/>
              <w:bottom w:val="nil"/>
              <w:right w:val="nil"/>
            </w:tcBorders>
          </w:tcPr>
          <w:p w14:paraId="10D58F00" w14:textId="2D1BDF8B"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406</w:t>
            </w:r>
          </w:p>
        </w:tc>
        <w:tc>
          <w:tcPr>
            <w:tcW w:w="1389" w:type="dxa"/>
            <w:tcBorders>
              <w:top w:val="nil"/>
              <w:left w:val="nil"/>
              <w:bottom w:val="nil"/>
              <w:right w:val="nil"/>
            </w:tcBorders>
          </w:tcPr>
          <w:p w14:paraId="70293CDF" w14:textId="7CDBE65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646</w:t>
            </w:r>
          </w:p>
        </w:tc>
        <w:tc>
          <w:tcPr>
            <w:tcW w:w="1890" w:type="dxa"/>
            <w:tcBorders>
              <w:left w:val="nil"/>
              <w:right w:val="nil"/>
            </w:tcBorders>
          </w:tcPr>
          <w:p w14:paraId="276935EF" w14:textId="7B07AA9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2C4DF5EC" w14:textId="5FA8373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85.9</w:t>
            </w:r>
            <w:r w:rsidRPr="00B424FD">
              <w:rPr>
                <w:rStyle w:val="FootnoteReference"/>
                <w:rFonts w:cs="Times New Roman"/>
                <w:color w:val="0D0D0D"/>
                <w:szCs w:val="20"/>
                <w:shd w:val="clear" w:color="auto" w:fill="FFFFFF"/>
                <w:lang w:val="en-GB"/>
              </w:rPr>
              <w:footnoteReference w:customMarkFollows="1" w:id="4"/>
              <w:t>***</w:t>
            </w:r>
          </w:p>
        </w:tc>
        <w:tc>
          <w:tcPr>
            <w:tcW w:w="1538" w:type="dxa"/>
          </w:tcPr>
          <w:p w14:paraId="0517AD24" w14:textId="4087043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16.8</w:t>
            </w:r>
          </w:p>
        </w:tc>
      </w:tr>
      <w:tr w:rsidR="00D95BD9" w:rsidRPr="00B424FD" w14:paraId="59166660" w14:textId="7859F898" w:rsidTr="007D28FF">
        <w:trPr>
          <w:jc w:val="center"/>
        </w:trPr>
        <w:tc>
          <w:tcPr>
            <w:tcW w:w="746" w:type="dxa"/>
            <w:tcBorders>
              <w:bottom w:val="single" w:sz="4" w:space="0" w:color="auto"/>
              <w:right w:val="nil"/>
            </w:tcBorders>
          </w:tcPr>
          <w:p w14:paraId="35757CD5"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2024</w:t>
            </w:r>
          </w:p>
        </w:tc>
        <w:tc>
          <w:tcPr>
            <w:tcW w:w="1773" w:type="dxa"/>
            <w:tcBorders>
              <w:top w:val="nil"/>
              <w:left w:val="nil"/>
              <w:bottom w:val="single" w:sz="4" w:space="0" w:color="auto"/>
              <w:right w:val="nil"/>
            </w:tcBorders>
          </w:tcPr>
          <w:p w14:paraId="7742CF44" w14:textId="43FE69C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38647</w:t>
            </w:r>
          </w:p>
        </w:tc>
        <w:tc>
          <w:tcPr>
            <w:tcW w:w="1529" w:type="dxa"/>
            <w:tcBorders>
              <w:top w:val="nil"/>
              <w:left w:val="nil"/>
              <w:bottom w:val="single" w:sz="4" w:space="0" w:color="auto"/>
              <w:right w:val="nil"/>
            </w:tcBorders>
          </w:tcPr>
          <w:p w14:paraId="6B5C4931" w14:textId="1518309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372371</w:t>
            </w:r>
          </w:p>
        </w:tc>
        <w:tc>
          <w:tcPr>
            <w:tcW w:w="1856" w:type="dxa"/>
            <w:tcBorders>
              <w:top w:val="nil"/>
              <w:left w:val="nil"/>
              <w:bottom w:val="single" w:sz="4" w:space="0" w:color="auto"/>
              <w:right w:val="nil"/>
            </w:tcBorders>
          </w:tcPr>
          <w:p w14:paraId="3C577557" w14:textId="3448E3E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971</w:t>
            </w:r>
          </w:p>
        </w:tc>
        <w:tc>
          <w:tcPr>
            <w:tcW w:w="1527" w:type="dxa"/>
            <w:tcBorders>
              <w:top w:val="nil"/>
              <w:left w:val="nil"/>
              <w:bottom w:val="single" w:sz="4" w:space="0" w:color="auto"/>
              <w:right w:val="nil"/>
            </w:tcBorders>
          </w:tcPr>
          <w:p w14:paraId="6429CC84" w14:textId="7F971C24"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437</w:t>
            </w:r>
          </w:p>
        </w:tc>
        <w:tc>
          <w:tcPr>
            <w:tcW w:w="1389" w:type="dxa"/>
            <w:tcBorders>
              <w:top w:val="nil"/>
              <w:left w:val="nil"/>
              <w:bottom w:val="single" w:sz="4" w:space="0" w:color="auto"/>
              <w:right w:val="nil"/>
            </w:tcBorders>
          </w:tcPr>
          <w:p w14:paraId="2371D6E3" w14:textId="3200A165"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530</w:t>
            </w:r>
          </w:p>
        </w:tc>
        <w:tc>
          <w:tcPr>
            <w:tcW w:w="1890" w:type="dxa"/>
            <w:tcBorders>
              <w:left w:val="nil"/>
              <w:bottom w:val="single" w:sz="4" w:space="0" w:color="auto"/>
              <w:right w:val="nil"/>
            </w:tcBorders>
          </w:tcPr>
          <w:p w14:paraId="58E662D1" w14:textId="7911302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45D311FB" w14:textId="4476A86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B424FD">
              <w:rPr>
                <w:rFonts w:cs="Times New Roman"/>
                <w:color w:val="0D0D0D"/>
                <w:szCs w:val="20"/>
                <w:shd w:val="clear" w:color="auto" w:fill="FFFFFF"/>
                <w:lang w:val="en-GB"/>
              </w:rPr>
              <w:t>-</w:t>
            </w:r>
          </w:p>
        </w:tc>
        <w:tc>
          <w:tcPr>
            <w:tcW w:w="1538" w:type="dxa"/>
          </w:tcPr>
          <w:p w14:paraId="2EA2DA1A" w14:textId="4548146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30.1</w:t>
            </w:r>
          </w:p>
        </w:tc>
      </w:tr>
    </w:tbl>
    <w:p w14:paraId="204B28BC" w14:textId="4338F585" w:rsidR="007864C5" w:rsidRPr="00B424FD" w:rsidRDefault="005A070B" w:rsidP="003B3837">
      <w:pPr>
        <w:pStyle w:val="NormalWeb"/>
        <w:spacing w:line="276" w:lineRule="auto"/>
        <w:jc w:val="center"/>
        <w:rPr>
          <w:sz w:val="20"/>
          <w:szCs w:val="20"/>
          <w:lang w:val="en-GB"/>
        </w:rPr>
      </w:pPr>
      <w:r>
        <w:rPr>
          <w:noProof/>
          <w:sz w:val="20"/>
          <w:szCs w:val="20"/>
          <w:lang w:val="en-GB"/>
          <w14:ligatures w14:val="standardContextual"/>
        </w:rPr>
        <w:lastRenderedPageBreak/>
        <w:drawing>
          <wp:inline distT="0" distB="0" distL="0" distR="0" wp14:anchorId="7B2FC854" wp14:editId="17057CEB">
            <wp:extent cx="4885445" cy="5029200"/>
            <wp:effectExtent l="0" t="0" r="4445" b="0"/>
            <wp:docPr id="863522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22419" name="Picture 863522419"/>
                    <pic:cNvPicPr/>
                  </pic:nvPicPr>
                  <pic:blipFill>
                    <a:blip r:embed="rId11"/>
                    <a:stretch>
                      <a:fillRect/>
                    </a:stretch>
                  </pic:blipFill>
                  <pic:spPr>
                    <a:xfrm>
                      <a:off x="0" y="0"/>
                      <a:ext cx="4885445" cy="5029200"/>
                    </a:xfrm>
                    <a:prstGeom prst="rect">
                      <a:avLst/>
                    </a:prstGeom>
                  </pic:spPr>
                </pic:pic>
              </a:graphicData>
            </a:graphic>
          </wp:inline>
        </w:drawing>
      </w:r>
    </w:p>
    <w:p w14:paraId="414EAC70" w14:textId="72A23283" w:rsidR="009E1546" w:rsidRPr="00B424FD" w:rsidRDefault="001039C4" w:rsidP="003B3837">
      <w:pPr>
        <w:pStyle w:val="NormalWeb"/>
        <w:spacing w:line="276" w:lineRule="auto"/>
        <w:jc w:val="center"/>
        <w:rPr>
          <w:sz w:val="20"/>
          <w:szCs w:val="20"/>
          <w:lang w:val="en-GB"/>
        </w:rPr>
      </w:pPr>
      <w:r>
        <w:rPr>
          <w:noProof/>
          <w:sz w:val="20"/>
          <w:szCs w:val="20"/>
          <w:lang w:val="en-GB"/>
          <w14:ligatures w14:val="standardContextual"/>
        </w:rPr>
        <w:lastRenderedPageBreak/>
        <w:drawing>
          <wp:inline distT="0" distB="0" distL="0" distR="0" wp14:anchorId="1720BA55" wp14:editId="2AF0B6E5">
            <wp:extent cx="4389120" cy="4389120"/>
            <wp:effectExtent l="0" t="0" r="5080" b="5080"/>
            <wp:docPr id="20957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5877" name="Picture 2095755877"/>
                    <pic:cNvPicPr/>
                  </pic:nvPicPr>
                  <pic:blipFill>
                    <a:blip r:embed="rId12"/>
                    <a:stretch>
                      <a:fillRect/>
                    </a:stretch>
                  </pic:blipFill>
                  <pic:spPr>
                    <a:xfrm>
                      <a:off x="0" y="0"/>
                      <a:ext cx="4389120" cy="4389120"/>
                    </a:xfrm>
                    <a:prstGeom prst="rect">
                      <a:avLst/>
                    </a:prstGeom>
                  </pic:spPr>
                </pic:pic>
              </a:graphicData>
            </a:graphic>
          </wp:inline>
        </w:drawing>
      </w:r>
      <w:r>
        <w:rPr>
          <w:noProof/>
          <w:sz w:val="20"/>
          <w:szCs w:val="20"/>
          <w:lang w:val="en-GB"/>
          <w14:ligatures w14:val="standardContextual"/>
        </w:rPr>
        <w:drawing>
          <wp:inline distT="0" distB="0" distL="0" distR="0" wp14:anchorId="5378CBA4" wp14:editId="1D0E72AE">
            <wp:extent cx="4389120" cy="4389120"/>
            <wp:effectExtent l="0" t="0" r="5080" b="5080"/>
            <wp:docPr id="117256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1427" name="Picture 1172561427"/>
                    <pic:cNvPicPr/>
                  </pic:nvPicPr>
                  <pic:blipFill>
                    <a:blip r:embed="rId13"/>
                    <a:stretch>
                      <a:fillRect/>
                    </a:stretch>
                  </pic:blipFill>
                  <pic:spPr>
                    <a:xfrm>
                      <a:off x="0" y="0"/>
                      <a:ext cx="4389120" cy="4389120"/>
                    </a:xfrm>
                    <a:prstGeom prst="rect">
                      <a:avLst/>
                    </a:prstGeom>
                  </pic:spPr>
                </pic:pic>
              </a:graphicData>
            </a:graphic>
          </wp:inline>
        </w:drawing>
      </w:r>
    </w:p>
    <w:p w14:paraId="378BEE0F" w14:textId="06CA991F" w:rsidR="00284E15" w:rsidRPr="00B424FD" w:rsidRDefault="00284E15" w:rsidP="003B3837">
      <w:pPr>
        <w:pStyle w:val="NormalWeb"/>
        <w:spacing w:line="276" w:lineRule="auto"/>
        <w:jc w:val="both"/>
        <w:rPr>
          <w:sz w:val="20"/>
          <w:szCs w:val="20"/>
          <w:lang w:val="en-GB"/>
        </w:rPr>
      </w:pPr>
      <w:r w:rsidRPr="00B424FD">
        <w:rPr>
          <w:sz w:val="20"/>
          <w:szCs w:val="20"/>
          <w:lang w:val="en-GB"/>
        </w:rPr>
        <w:t xml:space="preserve">Fig. </w:t>
      </w:r>
      <w:r w:rsidR="00D43596">
        <w:rPr>
          <w:sz w:val="20"/>
          <w:szCs w:val="20"/>
          <w:lang w:val="en-GB"/>
        </w:rPr>
        <w:t>3</w:t>
      </w:r>
      <w:r w:rsidRPr="00B424FD">
        <w:rPr>
          <w:sz w:val="20"/>
          <w:szCs w:val="20"/>
          <w:lang w:val="en-GB"/>
        </w:rPr>
        <w:t xml:space="preserve">: </w:t>
      </w:r>
      <w:proofErr w:type="spellStart"/>
      <w:r w:rsidRPr="00B424FD">
        <w:rPr>
          <w:sz w:val="20"/>
          <w:szCs w:val="20"/>
          <w:lang w:val="en-GB"/>
        </w:rPr>
        <w:t>Traceplots</w:t>
      </w:r>
      <w:proofErr w:type="spellEnd"/>
      <w:r w:rsidRPr="00B424FD">
        <w:rPr>
          <w:sz w:val="20"/>
          <w:szCs w:val="20"/>
          <w:lang w:val="en-GB"/>
        </w:rPr>
        <w:t xml:space="preserve"> (left column) and marginal posterior densities (right column) of parameter estimates. </w:t>
      </w:r>
      <w:proofErr w:type="spellStart"/>
      <w:r w:rsidRPr="00B424FD">
        <w:rPr>
          <w:sz w:val="20"/>
          <w:szCs w:val="20"/>
          <w:lang w:val="en-GB"/>
        </w:rPr>
        <w:t>Traceplots</w:t>
      </w:r>
      <w:proofErr w:type="spellEnd"/>
      <w:r w:rsidRPr="00B424FD">
        <w:rPr>
          <w:sz w:val="20"/>
          <w:szCs w:val="20"/>
          <w:lang w:val="en-GB"/>
        </w:rPr>
        <w:t xml:space="preserve"> show MCMC samples from </w:t>
      </w:r>
      <w:r w:rsidR="00E14D5D" w:rsidRPr="00B424FD">
        <w:rPr>
          <w:sz w:val="20"/>
          <w:szCs w:val="20"/>
          <w:lang w:val="en-GB"/>
        </w:rPr>
        <w:t>five</w:t>
      </w:r>
      <w:r w:rsidRPr="00B424FD">
        <w:rPr>
          <w:sz w:val="20"/>
          <w:szCs w:val="20"/>
          <w:lang w:val="en-GB"/>
        </w:rPr>
        <w:t xml:space="preserve"> chains, each with 2,000 iterations, with the first 1,000 discarded as burn-in. Coloured lines represent individual chains.</w:t>
      </w:r>
    </w:p>
    <w:p w14:paraId="733FBA18" w14:textId="1980C08E" w:rsidR="009E1546" w:rsidRPr="00B424FD" w:rsidRDefault="009E1546" w:rsidP="003B3837">
      <w:pPr>
        <w:pStyle w:val="NormalWeb"/>
        <w:spacing w:line="276" w:lineRule="auto"/>
        <w:jc w:val="both"/>
        <w:rPr>
          <w:sz w:val="20"/>
          <w:szCs w:val="20"/>
          <w:lang w:val="en-GB"/>
        </w:rPr>
      </w:pPr>
    </w:p>
    <w:p w14:paraId="243C680A" w14:textId="77777777" w:rsidR="00284E15" w:rsidRPr="00B424FD" w:rsidRDefault="00284E1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p>
    <w:p w14:paraId="6B978E84" w14:textId="2E7C8770" w:rsidR="002F1936" w:rsidRPr="00B424FD" w:rsidRDefault="002F1936"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lastRenderedPageBreak/>
        <w:t xml:space="preserve">Table 2: Fitted parameters: notation, definitions, prior distributions, and posterior estimates. </w:t>
      </w:r>
      <w:r w:rsidRPr="00B424FD">
        <w:rPr>
          <w:rFonts w:ascii="Times New Roman" w:hAnsi="Times New Roman"/>
          <w:sz w:val="20"/>
          <w:szCs w:val="20"/>
          <w:lang w:val="en-GB"/>
        </w:rPr>
        <w:t>Transition rate parameters (</w:t>
      </w:r>
      <m:oMath>
        <m:r>
          <w:rPr>
            <w:rFonts w:ascii="Cambria Math" w:hAnsi="Cambria Math"/>
            <w:sz w:val="20"/>
            <w:szCs w:val="20"/>
            <w:lang w:val="en-GB"/>
          </w:rPr>
          <m:t>θ∈</m:t>
        </m:r>
        <m:r>
          <m:rPr>
            <m:lit/>
          </m:rPr>
          <w:rPr>
            <w:rFonts w:ascii="Cambria Math" w:hAnsi="Cambria Math"/>
            <w:sz w:val="20"/>
            <w:szCs w:val="20"/>
            <w:lang w:val="en-GB"/>
          </w:rPr>
          <m:t>{</m:t>
        </m:r>
        <m:r>
          <w:rPr>
            <w:rFonts w:ascii="Cambria Math" w:hAnsi="Cambria Math"/>
            <w:sz w:val="20"/>
            <w:szCs w:val="20"/>
            <w:lang w:val="en-GB"/>
          </w:rPr>
          <m:t>σ,μ,ρ,</m:t>
        </m:r>
        <m:r>
          <w:rPr>
            <w:rFonts w:ascii="Cambria Math" w:eastAsia="Times New Roman" w:hAnsi="Cambria Math" w:cs="Times New Roman"/>
            <w:color w:val="000000" w:themeColor="text1"/>
            <w:kern w:val="0"/>
            <w:sz w:val="20"/>
            <w:szCs w:val="20"/>
            <w:lang w:val="en-GB"/>
            <w14:ligatures w14:val="none"/>
          </w:rPr>
          <m:t>ν</m:t>
        </m:r>
        <m:r>
          <m:rPr>
            <m:lit/>
          </m:rPr>
          <w:rPr>
            <w:rFonts w:ascii="Cambria Math" w:hAnsi="Cambria Math"/>
            <w:sz w:val="20"/>
            <w:szCs w:val="20"/>
            <w:lang w:val="en-GB"/>
          </w:rPr>
          <m:t>}</m:t>
        </m:r>
      </m:oMath>
      <w:r w:rsidRPr="00B424FD">
        <w:rPr>
          <w:rFonts w:ascii="Times New Roman" w:hAnsi="Times New Roman"/>
          <w:sz w:val="20"/>
          <w:szCs w:val="20"/>
          <w:lang w:val="en-GB"/>
        </w:rPr>
        <w:t xml:space="preserve">) are presented in an annual basis, giving a mean time to transition of </w:t>
      </w:r>
      <m:oMath>
        <m:r>
          <w:rPr>
            <w:rFonts w:ascii="Cambria Math" w:hAnsi="Cambria Math"/>
            <w:sz w:val="20"/>
            <w:szCs w:val="20"/>
            <w:lang w:val="en-GB"/>
          </w:rPr>
          <m:t>365/θ</m:t>
        </m:r>
      </m:oMath>
      <w:r w:rsidRPr="00B424FD">
        <w:rPr>
          <w:rFonts w:ascii="Times New Roman" w:hAnsi="Times New Roman"/>
          <w:sz w:val="20"/>
          <w:szCs w:val="20"/>
          <w:lang w:val="en-GB"/>
        </w:rPr>
        <w:t xml:space="preserve"> days. Posterior estimates are taken as the median, with 95% credible interval presented in </w:t>
      </w:r>
      <w:r w:rsidR="00AD0C45" w:rsidRPr="00B424FD">
        <w:rPr>
          <w:rFonts w:ascii="Times New Roman" w:hAnsi="Times New Roman"/>
          <w:sz w:val="20"/>
          <w:szCs w:val="20"/>
          <w:lang w:val="en-GB"/>
        </w:rPr>
        <w:t>parentheses</w:t>
      </w:r>
      <w:r w:rsidRPr="00B424FD">
        <w:rPr>
          <w:rFonts w:ascii="Times New Roman" w:hAnsi="Times New Roman"/>
          <w:sz w:val="20"/>
          <w:szCs w:val="20"/>
          <w:lang w:val="en-GB"/>
        </w:rPr>
        <w:t>.</w:t>
      </w:r>
    </w:p>
    <w:tbl>
      <w:tblPr>
        <w:tblStyle w:val="TableGrid"/>
        <w:tblW w:w="0" w:type="auto"/>
        <w:tblLook w:val="04A0" w:firstRow="1" w:lastRow="0" w:firstColumn="1" w:lastColumn="0" w:noHBand="0" w:noVBand="1"/>
      </w:tblPr>
      <w:tblGrid>
        <w:gridCol w:w="771"/>
        <w:gridCol w:w="4269"/>
        <w:gridCol w:w="3150"/>
        <w:gridCol w:w="1320"/>
        <w:gridCol w:w="3611"/>
        <w:gridCol w:w="837"/>
      </w:tblGrid>
      <w:tr w:rsidR="002F1936" w:rsidRPr="00B424FD" w14:paraId="0F87F18E" w14:textId="77777777" w:rsidTr="00D803EF">
        <w:tc>
          <w:tcPr>
            <w:tcW w:w="771" w:type="dxa"/>
            <w:tcBorders>
              <w:top w:val="single" w:sz="4" w:space="0" w:color="auto"/>
              <w:bottom w:val="single" w:sz="4" w:space="0" w:color="auto"/>
            </w:tcBorders>
          </w:tcPr>
          <w:p w14:paraId="3043422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269" w:type="dxa"/>
            <w:tcBorders>
              <w:top w:val="single" w:sz="4" w:space="0" w:color="auto"/>
              <w:bottom w:val="single" w:sz="4" w:space="0" w:color="auto"/>
            </w:tcBorders>
          </w:tcPr>
          <w:p w14:paraId="1F4CE6A6"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Definition</w:t>
            </w:r>
          </w:p>
        </w:tc>
        <w:tc>
          <w:tcPr>
            <w:tcW w:w="3150" w:type="dxa"/>
            <w:tcBorders>
              <w:top w:val="single" w:sz="4" w:space="0" w:color="auto"/>
              <w:bottom w:val="single" w:sz="4" w:space="0" w:color="auto"/>
            </w:tcBorders>
          </w:tcPr>
          <w:p w14:paraId="64392F0A" w14:textId="3861CAAD"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Prior distribution</w:t>
            </w:r>
          </w:p>
        </w:tc>
        <w:tc>
          <w:tcPr>
            <w:tcW w:w="1320" w:type="dxa"/>
            <w:tcBorders>
              <w:top w:val="single" w:sz="4" w:space="0" w:color="auto"/>
              <w:bottom w:val="single" w:sz="4" w:space="0" w:color="auto"/>
            </w:tcBorders>
          </w:tcPr>
          <w:p w14:paraId="0367FFB3" w14:textId="56266C41"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Parameter bound</w:t>
            </w:r>
          </w:p>
        </w:tc>
        <w:tc>
          <w:tcPr>
            <w:tcW w:w="3611" w:type="dxa"/>
            <w:tcBorders>
              <w:top w:val="single" w:sz="4" w:space="0" w:color="auto"/>
              <w:bottom w:val="single" w:sz="4" w:space="0" w:color="auto"/>
            </w:tcBorders>
          </w:tcPr>
          <w:p w14:paraId="761A3B2D" w14:textId="0D481E73"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Posterior estimate</w:t>
            </w:r>
          </w:p>
        </w:tc>
        <w:tc>
          <w:tcPr>
            <w:tcW w:w="837" w:type="dxa"/>
            <w:tcBorders>
              <w:top w:val="single" w:sz="4" w:space="0" w:color="auto"/>
              <w:bottom w:val="single" w:sz="4" w:space="0" w:color="auto"/>
            </w:tcBorders>
          </w:tcPr>
          <w:p w14:paraId="00CE9071" w14:textId="79519482"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Source</w:t>
            </w:r>
            <w:r w:rsidR="006C157E" w:rsidRPr="00B424FD">
              <w:rPr>
                <w:rStyle w:val="FootnoteReference"/>
                <w:rFonts w:eastAsia="Times New Roman" w:cs="Times New Roman"/>
                <w:color w:val="000000" w:themeColor="text1"/>
                <w:kern w:val="0"/>
                <w:szCs w:val="20"/>
                <w:lang w:val="en-GB"/>
                <w14:ligatures w14:val="none"/>
              </w:rPr>
              <w:footnoteReference w:id="5"/>
            </w:r>
          </w:p>
        </w:tc>
      </w:tr>
      <w:tr w:rsidR="002F1936" w:rsidRPr="00B424FD" w14:paraId="77488645" w14:textId="77777777" w:rsidTr="00D803EF">
        <w:tc>
          <w:tcPr>
            <w:tcW w:w="771" w:type="dxa"/>
            <w:tcBorders>
              <w:top w:val="single" w:sz="4" w:space="0" w:color="auto"/>
            </w:tcBorders>
          </w:tcPr>
          <w:p w14:paraId="6D4A9865"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β</m:t>
                </m:r>
              </m:oMath>
            </m:oMathPara>
          </w:p>
        </w:tc>
        <w:tc>
          <w:tcPr>
            <w:tcW w:w="4269" w:type="dxa"/>
            <w:tcBorders>
              <w:top w:val="single" w:sz="4" w:space="0" w:color="auto"/>
            </w:tcBorders>
          </w:tcPr>
          <w:p w14:paraId="61C54ECB"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Probability of transmission per-partnership</w:t>
            </w:r>
          </w:p>
        </w:tc>
        <w:tc>
          <w:tcPr>
            <w:tcW w:w="3150" w:type="dxa"/>
            <w:tcBorders>
              <w:top w:val="single" w:sz="4" w:space="0" w:color="auto"/>
            </w:tcBorders>
          </w:tcPr>
          <w:p w14:paraId="696C99C9"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Borders>
              <w:top w:val="single" w:sz="4" w:space="0" w:color="auto"/>
            </w:tcBorders>
          </w:tcPr>
          <w:p w14:paraId="0B4A0B8A" w14:textId="76908778" w:rsidR="002F1936" w:rsidRPr="00B424FD" w:rsidRDefault="00D803EF" w:rsidP="003B3837">
            <w:pPr>
              <w:spacing w:before="100" w:beforeAutospacing="1" w:after="100" w:afterAutospacing="1" w:line="276" w:lineRule="auto"/>
              <w:rPr>
                <w:szCs w:val="20"/>
                <w:lang w:val="en-GB"/>
              </w:rPr>
            </w:pPr>
            <w:r w:rsidRPr="00B424FD">
              <w:rPr>
                <w:szCs w:val="20"/>
                <w:lang w:val="en-GB"/>
              </w:rPr>
              <w:t>[0, 1]</w:t>
            </w:r>
          </w:p>
        </w:tc>
        <w:tc>
          <w:tcPr>
            <w:tcW w:w="3611" w:type="dxa"/>
            <w:tcBorders>
              <w:top w:val="single" w:sz="4" w:space="0" w:color="auto"/>
            </w:tcBorders>
          </w:tcPr>
          <w:p w14:paraId="7AD4C0F9" w14:textId="77777777" w:rsidR="002F1936" w:rsidRPr="00B424FD" w:rsidRDefault="002F1936" w:rsidP="003B3837">
            <w:pPr>
              <w:spacing w:before="100" w:beforeAutospacing="1" w:after="100" w:afterAutospacing="1" w:line="276" w:lineRule="auto"/>
              <w:rPr>
                <w:szCs w:val="20"/>
                <w:lang w:val="en-GB"/>
              </w:rPr>
            </w:pPr>
          </w:p>
        </w:tc>
        <w:tc>
          <w:tcPr>
            <w:tcW w:w="837" w:type="dxa"/>
            <w:tcBorders>
              <w:top w:val="single" w:sz="4" w:space="0" w:color="auto"/>
            </w:tcBorders>
          </w:tcPr>
          <w:p w14:paraId="06549E46" w14:textId="6607CB38"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{"citationID":"jWnqThrZ","properties":{"formattedCitation":"[20]","plainCitation":"[20]","noteIndex":0},"citationItems":[{"id":297,"uris":["http://zotero.org/users/9663344/items/KC9H5ARD"],"itemData":{"id":297,"type":"article-journal","abstract":"Gonorrhea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4B64048E" w14:textId="77777777" w:rsidTr="00D803EF">
        <w:tc>
          <w:tcPr>
            <w:tcW w:w="771" w:type="dxa"/>
          </w:tcPr>
          <w:p w14:paraId="3453F0AA" w14:textId="77777777" w:rsidR="002F1936" w:rsidRPr="00B424FD" w:rsidRDefault="00000000"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β</m:t>
                    </m:r>
                  </m:sub>
                </m:sSub>
              </m:oMath>
            </m:oMathPara>
          </w:p>
        </w:tc>
        <w:tc>
          <w:tcPr>
            <w:tcW w:w="4269" w:type="dxa"/>
          </w:tcPr>
          <w:p w14:paraId="13447D4E"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Annual increase in transmission risk behaviour</w:t>
            </w:r>
          </w:p>
        </w:tc>
        <w:tc>
          <w:tcPr>
            <w:tcW w:w="3150" w:type="dxa"/>
          </w:tcPr>
          <w:p w14:paraId="4587E11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26DAD31F" w14:textId="76F09D0D" w:rsidR="002F1936" w:rsidRPr="00B424FD" w:rsidRDefault="00D803EF" w:rsidP="003B3837">
            <w:pPr>
              <w:spacing w:before="100" w:beforeAutospacing="1" w:after="100" w:afterAutospacing="1" w:line="276" w:lineRule="auto"/>
              <w:rPr>
                <w:szCs w:val="20"/>
                <w:lang w:val="en-GB"/>
              </w:rPr>
            </w:pPr>
            <w:r w:rsidRPr="00B424FD">
              <w:rPr>
                <w:szCs w:val="20"/>
                <w:lang w:val="en-GB"/>
              </w:rPr>
              <w:t>[0, 0.5]</w:t>
            </w:r>
          </w:p>
        </w:tc>
        <w:tc>
          <w:tcPr>
            <w:tcW w:w="3611" w:type="dxa"/>
          </w:tcPr>
          <w:p w14:paraId="3435364E"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08D41631" w14:textId="03F8343F"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{"citationID":"09jqa9HJ","properties":{"formattedCitation":"[20]","plainCitation":"[20]","noteIndex":0},"citationItems":[{"id":297,"uris":["http://zotero.org/users/9663344/items/KC9H5ARD"],"itemData":{"id":297,"type":"article-journal","abstract":"Gonorrhea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23E038A2" w14:textId="77777777" w:rsidTr="00D803EF">
        <w:tc>
          <w:tcPr>
            <w:tcW w:w="771" w:type="dxa"/>
          </w:tcPr>
          <w:p w14:paraId="570FA29C"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ϵ</m:t>
                </m:r>
              </m:oMath>
            </m:oMathPara>
          </w:p>
        </w:tc>
        <w:tc>
          <w:tcPr>
            <w:tcW w:w="4269" w:type="dxa"/>
          </w:tcPr>
          <w:p w14:paraId="0DDE3183"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Level of </w:t>
            </w:r>
            <w:proofErr w:type="spellStart"/>
            <w:r w:rsidRPr="00B424FD">
              <w:rPr>
                <w:rFonts w:eastAsia="Times New Roman" w:cs="Times New Roman"/>
                <w:color w:val="000000" w:themeColor="text1"/>
                <w:kern w:val="0"/>
                <w:szCs w:val="20"/>
                <w:lang w:val="en-GB"/>
                <w14:ligatures w14:val="none"/>
              </w:rPr>
              <w:t>assotativity</w:t>
            </w:r>
            <w:proofErr w:type="spellEnd"/>
            <w:r w:rsidRPr="00B424FD">
              <w:rPr>
                <w:rFonts w:eastAsia="Times New Roman" w:cs="Times New Roman"/>
                <w:color w:val="000000" w:themeColor="text1"/>
                <w:kern w:val="0"/>
                <w:szCs w:val="20"/>
                <w:lang w:val="en-GB"/>
                <w14:ligatures w14:val="none"/>
              </w:rPr>
              <w:t xml:space="preserve"> in sexual mixing</w:t>
            </w:r>
          </w:p>
        </w:tc>
        <w:tc>
          <w:tcPr>
            <w:tcW w:w="3150" w:type="dxa"/>
          </w:tcPr>
          <w:p w14:paraId="201E2537"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03C01D6F" w14:textId="385109D5" w:rsidR="002F1936" w:rsidRPr="00B424FD" w:rsidRDefault="00D803EF" w:rsidP="003B3837">
            <w:pPr>
              <w:spacing w:before="100" w:beforeAutospacing="1" w:after="100" w:afterAutospacing="1" w:line="276" w:lineRule="auto"/>
              <w:rPr>
                <w:szCs w:val="20"/>
                <w:lang w:val="en-GB"/>
              </w:rPr>
            </w:pPr>
            <w:r w:rsidRPr="00B424FD">
              <w:rPr>
                <w:szCs w:val="20"/>
                <w:lang w:val="en-GB"/>
              </w:rPr>
              <w:t>[0, 1]</w:t>
            </w:r>
          </w:p>
        </w:tc>
        <w:tc>
          <w:tcPr>
            <w:tcW w:w="3611" w:type="dxa"/>
          </w:tcPr>
          <w:p w14:paraId="25CC12CB"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3F86726B" w14:textId="7DB91001"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{"citationID":"qZtQyyFj","properties":{"formattedCitation":"[20]","plainCitation":"[20]","noteIndex":0},"citationItems":[{"id":297,"uris":["http://zotero.org/users/9663344/items/KC9H5ARD"],"itemData":{"id":297,"type":"article-journal","abstract":"Gonorrhea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4947E055" w14:textId="77777777" w:rsidTr="00D803EF">
        <w:tc>
          <w:tcPr>
            <w:tcW w:w="771" w:type="dxa"/>
          </w:tcPr>
          <w:p w14:paraId="6BE95672"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σ</m:t>
                </m:r>
              </m:oMath>
            </m:oMathPara>
          </w:p>
        </w:tc>
        <w:tc>
          <w:tcPr>
            <w:tcW w:w="4269" w:type="dxa"/>
          </w:tcPr>
          <w:p w14:paraId="71A64B12"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leaving incubation period</w:t>
            </w:r>
          </w:p>
        </w:tc>
        <w:tc>
          <w:tcPr>
            <w:tcW w:w="3150" w:type="dxa"/>
          </w:tcPr>
          <w:p w14:paraId="139AF4E4"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 </w:t>
            </w: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4.60, 0.29]</w:t>
            </w:r>
          </w:p>
        </w:tc>
        <w:tc>
          <w:tcPr>
            <w:tcW w:w="1320" w:type="dxa"/>
          </w:tcPr>
          <w:p w14:paraId="3ABF63FD" w14:textId="2B831168" w:rsidR="002F1936" w:rsidRPr="00B424FD" w:rsidRDefault="00D803EF" w:rsidP="003B3837">
            <w:pPr>
              <w:spacing w:before="100" w:beforeAutospacing="1" w:after="100" w:afterAutospacing="1" w:line="276" w:lineRule="auto"/>
              <w:rPr>
                <w:szCs w:val="20"/>
                <w:lang w:val="en-GB"/>
              </w:rPr>
            </w:pPr>
            <w:r w:rsidRPr="00B424FD">
              <w:rPr>
                <w:szCs w:val="20"/>
                <w:lang w:val="en-GB"/>
              </w:rPr>
              <w:t>[0, 1000]</w:t>
            </w:r>
          </w:p>
        </w:tc>
        <w:tc>
          <w:tcPr>
            <w:tcW w:w="3611" w:type="dxa"/>
          </w:tcPr>
          <w:p w14:paraId="262B3261"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3AB19257" w14:textId="3147ADCF"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{"citationID":"TIJSJcID","properties":{"formattedCitation":"[20]","plainCitation":"[20]","noteIndex":0},"citationItems":[{"id":297,"uris":["http://zotero.org/users/9663344/items/KC9H5ARD"],"itemData":{"id":297,"type":"article-journal","abstract":"Gonorrhea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5EE9A2C9" w14:textId="77777777" w:rsidTr="00D803EF">
        <w:tc>
          <w:tcPr>
            <w:tcW w:w="771" w:type="dxa"/>
          </w:tcPr>
          <w:p w14:paraId="6575F6B7"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ψ</m:t>
                </m:r>
              </m:oMath>
            </m:oMathPara>
          </w:p>
        </w:tc>
        <w:tc>
          <w:tcPr>
            <w:tcW w:w="4269" w:type="dxa"/>
          </w:tcPr>
          <w:p w14:paraId="7986C283"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Probability that incident infection is symptomatic</w:t>
            </w:r>
          </w:p>
        </w:tc>
        <w:tc>
          <w:tcPr>
            <w:tcW w:w="3150" w:type="dxa"/>
          </w:tcPr>
          <w:p w14:paraId="41E11B58"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4E4730AA" w14:textId="78096A23" w:rsidR="002F1936" w:rsidRPr="00B424FD" w:rsidRDefault="00D803EF" w:rsidP="003B3837">
            <w:pPr>
              <w:spacing w:before="100" w:beforeAutospacing="1" w:after="100" w:afterAutospacing="1" w:line="276" w:lineRule="auto"/>
              <w:rPr>
                <w:szCs w:val="20"/>
                <w:lang w:val="en-GB"/>
              </w:rPr>
            </w:pPr>
            <w:r w:rsidRPr="00B424FD">
              <w:rPr>
                <w:szCs w:val="20"/>
                <w:lang w:val="en-GB"/>
              </w:rPr>
              <w:t>[0, 1]</w:t>
            </w:r>
          </w:p>
        </w:tc>
        <w:tc>
          <w:tcPr>
            <w:tcW w:w="3611" w:type="dxa"/>
          </w:tcPr>
          <w:p w14:paraId="2BD1693C"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73E2CD44" w14:textId="1891C2B8"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{"citationID":"eZSERn4C","properties":{"formattedCitation":"[20]","plainCitation":"[20]","noteIndex":0},"citationItems":[{"id":297,"uris":["http://zotero.org/users/9663344/items/KC9H5ARD"],"itemData":{"id":297,"type":"article-journal","abstract":"Gonorrhea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5A31CCAC" w14:textId="77777777" w:rsidTr="00D803EF">
        <w:tc>
          <w:tcPr>
            <w:tcW w:w="771" w:type="dxa"/>
          </w:tcPr>
          <w:p w14:paraId="4416E73D"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μ</m:t>
                </m:r>
              </m:oMath>
            </m:oMathPara>
          </w:p>
        </w:tc>
        <w:tc>
          <w:tcPr>
            <w:tcW w:w="4269" w:type="dxa"/>
          </w:tcPr>
          <w:p w14:paraId="3DB1F06B"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seeking treatment due to symptom</w:t>
            </w:r>
          </w:p>
        </w:tc>
        <w:tc>
          <w:tcPr>
            <w:tcW w:w="3150" w:type="dxa"/>
          </w:tcPr>
          <w:p w14:paraId="6E6109D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 </w:t>
            </w: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5.38, 0.44]</w:t>
            </w:r>
          </w:p>
        </w:tc>
        <w:tc>
          <w:tcPr>
            <w:tcW w:w="1320" w:type="dxa"/>
          </w:tcPr>
          <w:p w14:paraId="7CBC55FE" w14:textId="0E45A9F3" w:rsidR="002F1936" w:rsidRPr="00B424FD" w:rsidRDefault="00D803EF" w:rsidP="003B3837">
            <w:pPr>
              <w:spacing w:before="100" w:beforeAutospacing="1" w:after="100" w:afterAutospacing="1" w:line="276" w:lineRule="auto"/>
              <w:rPr>
                <w:szCs w:val="20"/>
                <w:lang w:val="en-GB"/>
              </w:rPr>
            </w:pPr>
            <w:r w:rsidRPr="00B424FD">
              <w:rPr>
                <w:szCs w:val="20"/>
                <w:lang w:val="en-GB"/>
              </w:rPr>
              <w:t>[0, 2000]</w:t>
            </w:r>
          </w:p>
        </w:tc>
        <w:tc>
          <w:tcPr>
            <w:tcW w:w="3611" w:type="dxa"/>
          </w:tcPr>
          <w:p w14:paraId="08D7CBED"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1BC4710D" w14:textId="3FD8A09C"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{"citationID":"ugcbcWQ3","properties":{"formattedCitation":"[20]","plainCitation":"[20]","noteIndex":0},"citationItems":[{"id":297,"uris":["http://zotero.org/users/9663344/items/KC9H5ARD"],"itemData":{"id":297,"type":"article-journal","abstract":"Gonorrhea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44732B69" w14:textId="77777777" w:rsidTr="00D803EF">
        <w:tc>
          <w:tcPr>
            <w:tcW w:w="771" w:type="dxa"/>
          </w:tcPr>
          <w:p w14:paraId="4385D13A" w14:textId="77777777" w:rsidR="002F1936" w:rsidRPr="00B424FD" w:rsidRDefault="00000000"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η</m:t>
                    </m:r>
                  </m:e>
                  <m:sub>
                    <m:r>
                      <w:rPr>
                        <w:rFonts w:ascii="Cambria Math" w:eastAsia="Times New Roman" w:hAnsi="Cambria Math" w:cs="Times New Roman"/>
                        <w:color w:val="000000" w:themeColor="text1"/>
                        <w:kern w:val="0"/>
                        <w:szCs w:val="20"/>
                        <w:lang w:val="en-GB"/>
                        <w14:ligatures w14:val="none"/>
                      </w:rPr>
                      <m:t>H</m:t>
                    </m:r>
                  </m:sub>
                </m:sSub>
                <m:d>
                  <m:dPr>
                    <m:ctrlPr>
                      <w:rPr>
                        <w:rFonts w:ascii="Cambria Math" w:eastAsia="Times New Roman" w:hAnsi="Cambria Math" w:cs="Times New Roman"/>
                        <w:i/>
                        <w:iCs/>
                        <w:color w:val="000000" w:themeColor="text1"/>
                        <w:kern w:val="0"/>
                        <w:szCs w:val="20"/>
                        <w:lang w:val="en-GB"/>
                        <w14:ligatures w14:val="none"/>
                      </w:rPr>
                    </m:ctrlPr>
                  </m:dPr>
                  <m:e>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269" w:type="dxa"/>
          </w:tcPr>
          <w:p w14:paraId="7FB889BD"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Initial rate of asymptomatic screening in group </w:t>
            </w:r>
            <m:oMath>
              <m:r>
                <w:rPr>
                  <w:rFonts w:ascii="Cambria Math" w:eastAsia="Times New Roman" w:hAnsi="Cambria Math" w:cs="Times New Roman"/>
                  <w:color w:val="000000" w:themeColor="text1"/>
                  <w:kern w:val="0"/>
                  <w:szCs w:val="20"/>
                  <w:lang w:val="en-GB"/>
                  <w14:ligatures w14:val="none"/>
                </w:rPr>
                <m:t>H</m:t>
              </m:r>
            </m:oMath>
          </w:p>
        </w:tc>
        <w:tc>
          <w:tcPr>
            <w:tcW w:w="3150" w:type="dxa"/>
          </w:tcPr>
          <w:p w14:paraId="65891889"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4]</w:t>
            </w:r>
          </w:p>
        </w:tc>
        <w:tc>
          <w:tcPr>
            <w:tcW w:w="1320" w:type="dxa"/>
          </w:tcPr>
          <w:p w14:paraId="755E3611" w14:textId="2C193358" w:rsidR="002F1936" w:rsidRPr="00B424FD" w:rsidRDefault="00D803EF" w:rsidP="003B3837">
            <w:pPr>
              <w:spacing w:before="100" w:beforeAutospacing="1" w:after="100" w:afterAutospacing="1" w:line="276" w:lineRule="auto"/>
              <w:rPr>
                <w:szCs w:val="20"/>
                <w:lang w:val="en-GB"/>
              </w:rPr>
            </w:pPr>
            <w:r w:rsidRPr="00B424FD">
              <w:rPr>
                <w:szCs w:val="20"/>
                <w:lang w:val="en-GB"/>
              </w:rPr>
              <w:t>[0, 2]</w:t>
            </w:r>
          </w:p>
        </w:tc>
        <w:tc>
          <w:tcPr>
            <w:tcW w:w="3611" w:type="dxa"/>
          </w:tcPr>
          <w:p w14:paraId="5A3E0129"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577F29CB" w14:textId="181BFE61"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{"citationID":"nDqqyIAO","properties":{"formattedCitation":"[20]","plainCitation":"[20]","noteIndex":0},"citationItems":[{"id":297,"uris":["http://zotero.org/users/9663344/items/KC9H5ARD"],"itemData":{"id":297,"type":"article-journal","abstract":"Gonorrhea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739969D7" w14:textId="77777777" w:rsidTr="00D803EF">
        <w:tc>
          <w:tcPr>
            <w:tcW w:w="771" w:type="dxa"/>
          </w:tcPr>
          <w:p w14:paraId="11552CBF"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ω</m:t>
                </m:r>
              </m:oMath>
            </m:oMathPara>
          </w:p>
        </w:tc>
        <w:tc>
          <w:tcPr>
            <w:tcW w:w="4269" w:type="dxa"/>
          </w:tcPr>
          <w:p w14:paraId="0BA24773"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Ratio of screening rate in group </w:t>
            </w:r>
            <m:oMath>
              <m:r>
                <w:rPr>
                  <w:rFonts w:ascii="Cambria Math" w:eastAsia="Times New Roman" w:hAnsi="Cambria Math" w:cs="Times New Roman"/>
                  <w:color w:val="000000" w:themeColor="text1"/>
                  <w:kern w:val="0"/>
                  <w:szCs w:val="20"/>
                  <w:lang w:val="en-GB"/>
                  <w14:ligatures w14:val="none"/>
                </w:rPr>
                <m:t>L</m:t>
              </m:r>
            </m:oMath>
            <w:r w:rsidRPr="00B424FD">
              <w:rPr>
                <w:rFonts w:eastAsia="Times New Roman" w:cs="Times New Roman"/>
                <w:color w:val="000000" w:themeColor="text1"/>
                <w:kern w:val="0"/>
                <w:szCs w:val="20"/>
                <w:lang w:val="en-GB"/>
                <w14:ligatures w14:val="none"/>
              </w:rPr>
              <w:t xml:space="preserve"> vs </w:t>
            </w:r>
            <m:oMath>
              <m:r>
                <w:rPr>
                  <w:rFonts w:ascii="Cambria Math" w:eastAsia="Times New Roman" w:hAnsi="Cambria Math" w:cs="Times New Roman"/>
                  <w:color w:val="000000" w:themeColor="text1"/>
                  <w:kern w:val="0"/>
                  <w:szCs w:val="20"/>
                  <w:lang w:val="en-GB"/>
                  <w14:ligatures w14:val="none"/>
                </w:rPr>
                <m:t>H</m:t>
              </m:r>
            </m:oMath>
          </w:p>
        </w:tc>
        <w:tc>
          <w:tcPr>
            <w:tcW w:w="3150" w:type="dxa"/>
          </w:tcPr>
          <w:p w14:paraId="6B9BB2C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szCs w:val="20"/>
                <w:lang w:val="en-GB"/>
              </w:rPr>
              <w:t>logN</w:t>
            </w:r>
            <w:proofErr w:type="spellEnd"/>
            <w:r w:rsidRPr="00B424FD">
              <w:rPr>
                <w:szCs w:val="20"/>
                <w:lang w:val="en-GB"/>
              </w:rPr>
              <w:t>[</w:t>
            </w:r>
            <w:proofErr w:type="gramEnd"/>
            <w:r w:rsidRPr="00B424FD">
              <w:rPr>
                <w:szCs w:val="20"/>
                <w:lang w:val="en-GB"/>
              </w:rPr>
              <w:t>-0.87, 0.39]</w:t>
            </w:r>
          </w:p>
        </w:tc>
        <w:tc>
          <w:tcPr>
            <w:tcW w:w="1320" w:type="dxa"/>
          </w:tcPr>
          <w:p w14:paraId="3B40555A" w14:textId="42ACFDBE" w:rsidR="002F1936" w:rsidRPr="00B424FD" w:rsidRDefault="00D803EF" w:rsidP="003B3837">
            <w:pPr>
              <w:spacing w:before="100" w:beforeAutospacing="1" w:after="100" w:afterAutospacing="1" w:line="276" w:lineRule="auto"/>
              <w:rPr>
                <w:szCs w:val="20"/>
                <w:lang w:val="en-GB"/>
              </w:rPr>
            </w:pPr>
            <w:r w:rsidRPr="00B424FD">
              <w:rPr>
                <w:szCs w:val="20"/>
                <w:lang w:val="en-GB"/>
              </w:rPr>
              <w:t>[0.1, 1]</w:t>
            </w:r>
          </w:p>
        </w:tc>
        <w:tc>
          <w:tcPr>
            <w:tcW w:w="3611" w:type="dxa"/>
          </w:tcPr>
          <w:p w14:paraId="254B74A8"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4F25AE38" w14:textId="0666E8FB" w:rsidR="002F1936" w:rsidRPr="00B424FD" w:rsidRDefault="002F1936" w:rsidP="003B3837">
            <w:pPr>
              <w:spacing w:before="100" w:beforeAutospacing="1" w:after="100" w:afterAutospacing="1" w:line="276" w:lineRule="auto"/>
              <w:rPr>
                <w:szCs w:val="20"/>
                <w:lang w:val="en-GB"/>
              </w:rPr>
            </w:pPr>
            <w:r w:rsidRPr="00B424FD">
              <w:rPr>
                <w:szCs w:val="20"/>
                <w:lang w:val="en-GB"/>
              </w:rPr>
              <w:fldChar w:fldCharType="begin"/>
            </w:r>
            <w:r w:rsidR="001E6F22">
              <w:rPr>
                <w:szCs w:val="20"/>
                <w:lang w:val="en-GB"/>
              </w:rPr>
              <w:instrText xml:space="preserve"> ADDIN ZOTERO_ITEM CSL_CITATION {"citationID":"87w9wO7R","properties":{"formattedCitation":"[20]","plainCitation":"[20]","noteIndex":0},"citationItems":[{"id":297,"uris":["http://zotero.org/users/9663344/items/KC9H5ARD"],"itemData":{"id":297,"type":"article-journal","abstract":"Gonorrhea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7390F76D" w14:textId="77777777" w:rsidTr="00D803EF">
        <w:tc>
          <w:tcPr>
            <w:tcW w:w="771" w:type="dxa"/>
          </w:tcPr>
          <w:p w14:paraId="5F7E5297" w14:textId="77777777" w:rsidR="002F1936" w:rsidRPr="00B424FD" w:rsidRDefault="00000000"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η</m:t>
                    </m:r>
                  </m:sub>
                </m:sSub>
              </m:oMath>
            </m:oMathPara>
          </w:p>
        </w:tc>
        <w:tc>
          <w:tcPr>
            <w:tcW w:w="4269" w:type="dxa"/>
          </w:tcPr>
          <w:p w14:paraId="0C3363DE"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Annual increase in screening rate</w:t>
            </w:r>
          </w:p>
        </w:tc>
        <w:tc>
          <w:tcPr>
            <w:tcW w:w="3150" w:type="dxa"/>
          </w:tcPr>
          <w:p w14:paraId="2A8AFC8A"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4D66A12C" w14:textId="0156C99B" w:rsidR="002F1936" w:rsidRPr="00B424FD" w:rsidRDefault="00D803EF" w:rsidP="003B3837">
            <w:pPr>
              <w:spacing w:before="100" w:beforeAutospacing="1" w:after="100" w:afterAutospacing="1" w:line="276" w:lineRule="auto"/>
              <w:rPr>
                <w:szCs w:val="20"/>
                <w:lang w:val="en-GB"/>
              </w:rPr>
            </w:pPr>
            <w:r w:rsidRPr="00B424FD">
              <w:rPr>
                <w:szCs w:val="20"/>
                <w:lang w:val="en-GB"/>
              </w:rPr>
              <w:t>[0, 0.3]</w:t>
            </w:r>
          </w:p>
        </w:tc>
        <w:tc>
          <w:tcPr>
            <w:tcW w:w="3611" w:type="dxa"/>
          </w:tcPr>
          <w:p w14:paraId="2493CC65"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3106F926" w14:textId="37ADE2BE"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{"citationID":"sl4pPGPK","properties":{"formattedCitation":"[20]","plainCitation":"[20]","noteIndex":0},"citationItems":[{"id":297,"uris":["http://zotero.org/users/9663344/items/KC9H5ARD"],"itemData":{"id":297,"type":"article-journal","abstract":"Gonorrhea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6662E478" w14:textId="77777777" w:rsidTr="00D803EF">
        <w:tc>
          <w:tcPr>
            <w:tcW w:w="771" w:type="dxa"/>
          </w:tcPr>
          <w:p w14:paraId="1B70FB86"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ρ</m:t>
                </m:r>
              </m:oMath>
            </m:oMathPara>
          </w:p>
        </w:tc>
        <w:tc>
          <w:tcPr>
            <w:tcW w:w="4269" w:type="dxa"/>
          </w:tcPr>
          <w:p w14:paraId="586DFEF2"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recovery after treatment</w:t>
            </w:r>
          </w:p>
        </w:tc>
        <w:tc>
          <w:tcPr>
            <w:tcW w:w="3150" w:type="dxa"/>
          </w:tcPr>
          <w:p w14:paraId="0EDA7DC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logN</m:t>
              </m:r>
            </m:oMath>
            <w:r w:rsidRPr="00B424FD">
              <w:rPr>
                <w:rFonts w:eastAsia="Times New Roman" w:cs="Times New Roman"/>
                <w:color w:val="000000" w:themeColor="text1"/>
                <w:kern w:val="0"/>
                <w:szCs w:val="20"/>
                <w:lang w:val="en-GB"/>
                <w14:ligatures w14:val="none"/>
              </w:rPr>
              <w:t>[3.99, 0.11]</w:t>
            </w:r>
          </w:p>
        </w:tc>
        <w:tc>
          <w:tcPr>
            <w:tcW w:w="1320" w:type="dxa"/>
          </w:tcPr>
          <w:p w14:paraId="7D5A077C" w14:textId="4209360C" w:rsidR="002F1936" w:rsidRPr="00B424FD" w:rsidRDefault="00D803EF" w:rsidP="003B3837">
            <w:pPr>
              <w:spacing w:before="100" w:beforeAutospacing="1" w:after="100" w:afterAutospacing="1" w:line="276" w:lineRule="auto"/>
              <w:rPr>
                <w:szCs w:val="20"/>
                <w:lang w:val="en-GB"/>
              </w:rPr>
            </w:pPr>
            <w:r w:rsidRPr="00B424FD">
              <w:rPr>
                <w:szCs w:val="20"/>
                <w:lang w:val="en-GB"/>
              </w:rPr>
              <w:t>[0, 200]</w:t>
            </w:r>
          </w:p>
        </w:tc>
        <w:tc>
          <w:tcPr>
            <w:tcW w:w="3611" w:type="dxa"/>
          </w:tcPr>
          <w:p w14:paraId="21C31477"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6F1727E8" w14:textId="09D32493"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{"citationID":"J5ExjMLp","properties":{"formattedCitation":"[20]","plainCitation":"[20]","noteIndex":0},"citationItems":[{"id":297,"uris":["http://zotero.org/users/9663344/items/KC9H5ARD"],"itemData":{"id":297,"type":"article-journal","abstract":"Gonorrhea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7E624F8D" w14:textId="77777777" w:rsidTr="00D803EF">
        <w:tc>
          <w:tcPr>
            <w:tcW w:w="771" w:type="dxa"/>
          </w:tcPr>
          <w:p w14:paraId="7AE3ACBA"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ν</m:t>
                </m:r>
              </m:oMath>
            </m:oMathPara>
          </w:p>
        </w:tc>
        <w:tc>
          <w:tcPr>
            <w:tcW w:w="4269" w:type="dxa"/>
          </w:tcPr>
          <w:p w14:paraId="0B66534F"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natural recovery</w:t>
            </w:r>
          </w:p>
        </w:tc>
        <w:tc>
          <w:tcPr>
            <w:tcW w:w="3150" w:type="dxa"/>
          </w:tcPr>
          <w:p w14:paraId="6F96BB36"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1.13, 0.34]</w:t>
            </w:r>
          </w:p>
        </w:tc>
        <w:tc>
          <w:tcPr>
            <w:tcW w:w="1320" w:type="dxa"/>
          </w:tcPr>
          <w:p w14:paraId="4148CBD8" w14:textId="3059676C" w:rsidR="002F1936" w:rsidRPr="00B424FD" w:rsidRDefault="00D803EF" w:rsidP="003B3837">
            <w:pPr>
              <w:spacing w:before="100" w:beforeAutospacing="1" w:after="100" w:afterAutospacing="1" w:line="276" w:lineRule="auto"/>
              <w:rPr>
                <w:szCs w:val="20"/>
                <w:lang w:val="en-GB"/>
              </w:rPr>
            </w:pPr>
            <w:r w:rsidRPr="00B424FD">
              <w:rPr>
                <w:szCs w:val="20"/>
                <w:lang w:val="en-GB"/>
              </w:rPr>
              <w:t>[0, 50]</w:t>
            </w:r>
          </w:p>
        </w:tc>
        <w:tc>
          <w:tcPr>
            <w:tcW w:w="3611" w:type="dxa"/>
          </w:tcPr>
          <w:p w14:paraId="7374B55E"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04990BB2" w14:textId="5627CEA1"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1E6F22">
              <w:rPr>
                <w:szCs w:val="20"/>
                <w:lang w:val="en-GB"/>
              </w:rPr>
              <w:instrText xml:space="preserve"> ADDIN ZOTERO_ITEM CSL_CITATION {"citationID":"AGPC9Qni","properties":{"formattedCitation":"[20]","plainCitation":"[20]","noteIndex":0},"citationItems":[{"id":297,"uris":["http://zotero.org/users/9663344/items/KC9H5ARD"],"itemData":{"id":297,"type":"article-journal","abstract":"Gonorrhea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1E6F22">
              <w:rPr>
                <w:rFonts w:hint="eastAsia"/>
                <w:szCs w:val="20"/>
                <w:lang w:val="en-GB"/>
              </w:rPr>
              <w:instrText>≥</w:instrText>
            </w:r>
            <w:r w:rsidR="001E6F22">
              <w:rPr>
                <w:szCs w:val="20"/>
                <w:lang w:val="en-GB"/>
              </w:rPr>
              <w:instrText xml:space="preserve"> 52% protection for </w:instrText>
            </w:r>
            <w:r w:rsidR="001E6F22">
              <w:rPr>
                <w:rFonts w:hint="eastAsia"/>
                <w:szCs w:val="20"/>
                <w:lang w:val="en-GB"/>
              </w:rPr>
              <w:instrText>≥</w:instrText>
            </w:r>
            <w:r w:rsidR="001E6F22">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1E6F22">
              <w:rPr>
                <w:szCs w:val="20"/>
                <w:lang w:val="en-GB"/>
              </w:rPr>
              <w:t>[20]</w:t>
            </w:r>
            <w:r w:rsidRPr="00B424FD">
              <w:rPr>
                <w:szCs w:val="20"/>
                <w:lang w:val="en-GB"/>
              </w:rPr>
              <w:fldChar w:fldCharType="end"/>
            </w:r>
          </w:p>
        </w:tc>
      </w:tr>
      <w:tr w:rsidR="002F1936" w:rsidRPr="00B424FD" w14:paraId="17AE1CCC" w14:textId="77777777" w:rsidTr="00D803EF">
        <w:tc>
          <w:tcPr>
            <w:tcW w:w="771" w:type="dxa"/>
          </w:tcPr>
          <w:p w14:paraId="1C92D4A7" w14:textId="77777777" w:rsidR="002F1936" w:rsidRPr="00B424FD" w:rsidRDefault="002F1936" w:rsidP="003B3837">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ϕ</m:t>
                </m:r>
              </m:oMath>
            </m:oMathPara>
          </w:p>
        </w:tc>
        <w:tc>
          <w:tcPr>
            <w:tcW w:w="4269" w:type="dxa"/>
          </w:tcPr>
          <w:p w14:paraId="47F4CAE2"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Treatment failure rate for ceftriaxone-resistant infections treated with ceftriaxone</w:t>
            </w:r>
          </w:p>
        </w:tc>
        <w:tc>
          <w:tcPr>
            <w:tcW w:w="3150" w:type="dxa"/>
          </w:tcPr>
          <w:p w14:paraId="15180D21"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B424FD">
              <w:rPr>
                <w:rFonts w:eastAsia="Times New Roman" w:cs="Times New Roman"/>
                <w:color w:val="000000" w:themeColor="text1"/>
                <w:kern w:val="0"/>
                <w:szCs w:val="20"/>
                <w:lang w:val="en-GB"/>
                <w14:ligatures w14:val="none"/>
              </w:rPr>
              <w:t>[0.001, 1000]</w:t>
            </w:r>
          </w:p>
        </w:tc>
        <w:tc>
          <w:tcPr>
            <w:tcW w:w="1320" w:type="dxa"/>
          </w:tcPr>
          <w:p w14:paraId="232D7949" w14:textId="043B18A0"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 0.2]</w:t>
            </w:r>
          </w:p>
        </w:tc>
        <w:tc>
          <w:tcPr>
            <w:tcW w:w="3611" w:type="dxa"/>
          </w:tcPr>
          <w:p w14:paraId="5483E8ED"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56BC7A56" w14:textId="2E83A7D6"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{"citationID":"byXQfm3S","properties":{"formattedCitation":"[11]","plainCitation":"[11]","noteIndex":0},"citationItems":[{"id":420,"uris":["http://zotero.org/users/9663344/items/ZQGG9PCA"],"itemData":{"id":420,"type":"webpage","container-title":"UK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[11]</w:t>
            </w:r>
            <w:r w:rsidRPr="00B424FD">
              <w:rPr>
                <w:rFonts w:eastAsia="Times New Roman" w:cs="Times New Roman"/>
                <w:color w:val="000000" w:themeColor="text1"/>
                <w:kern w:val="0"/>
                <w:szCs w:val="20"/>
                <w:lang w:val="en-GB"/>
                <w14:ligatures w14:val="none"/>
              </w:rPr>
              <w:fldChar w:fldCharType="end"/>
            </w:r>
          </w:p>
        </w:tc>
      </w:tr>
      <w:tr w:rsidR="002F1936" w:rsidRPr="00B424FD" w14:paraId="72F60B31" w14:textId="77777777" w:rsidTr="00D803EF">
        <w:tc>
          <w:tcPr>
            <w:tcW w:w="771" w:type="dxa"/>
          </w:tcPr>
          <w:p w14:paraId="0D9372A3" w14:textId="77777777" w:rsidR="002F1936" w:rsidRPr="00B424FD" w:rsidRDefault="00000000" w:rsidP="003B3837">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c</m:t>
                    </m:r>
                  </m:sub>
                </m:sSub>
              </m:oMath>
            </m:oMathPara>
          </w:p>
        </w:tc>
        <w:tc>
          <w:tcPr>
            <w:tcW w:w="4269" w:type="dxa"/>
          </w:tcPr>
          <w:p w14:paraId="6CA1975A"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Relative fitness of ceftriaxone-resistant bacteria, compared with susceptible</w:t>
            </w:r>
          </w:p>
        </w:tc>
        <w:tc>
          <w:tcPr>
            <w:tcW w:w="3150" w:type="dxa"/>
          </w:tcPr>
          <w:p w14:paraId="0E38441F"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-0.0204, 0.02]</w:t>
            </w:r>
          </w:p>
        </w:tc>
        <w:tc>
          <w:tcPr>
            <w:tcW w:w="1320" w:type="dxa"/>
          </w:tcPr>
          <w:p w14:paraId="6F76E41D" w14:textId="77DAE338"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[0.7, 1.1]</w:t>
            </w:r>
          </w:p>
        </w:tc>
        <w:tc>
          <w:tcPr>
            <w:tcW w:w="3611" w:type="dxa"/>
          </w:tcPr>
          <w:p w14:paraId="7DEB6B0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1F9A0672" w14:textId="398537B8"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{"citationID":"4PPeZTZN","properties":{"formattedCitation":"[19]","plainCitation":"[19]","noteIndex":0},"citationItems":[{"id":187,"uris":["http://zotero.org/users/9663344/items/HYSVKZR9"],"itemData":{"id":187,"type":"article-journal","abstract":"Background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[19]</w:t>
            </w:r>
            <w:r w:rsidRPr="00B424FD">
              <w:rPr>
                <w:rFonts w:eastAsia="Times New Roman" w:cs="Times New Roman"/>
                <w:color w:val="000000" w:themeColor="text1"/>
                <w:kern w:val="0"/>
                <w:szCs w:val="20"/>
                <w:lang w:val="en-GB"/>
                <w14:ligatures w14:val="none"/>
              </w:rPr>
              <w:fldChar w:fldCharType="end"/>
            </w:r>
          </w:p>
        </w:tc>
      </w:tr>
      <w:tr w:rsidR="002F1936" w:rsidRPr="00B424FD" w14:paraId="46E619EE" w14:textId="77777777" w:rsidTr="00D803EF">
        <w:tc>
          <w:tcPr>
            <w:tcW w:w="771" w:type="dxa"/>
          </w:tcPr>
          <w:p w14:paraId="64185773" w14:textId="77777777" w:rsidR="002F1936"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t</m:t>
                    </m:r>
                  </m:sub>
                </m:sSub>
              </m:oMath>
            </m:oMathPara>
          </w:p>
        </w:tc>
        <w:tc>
          <w:tcPr>
            <w:tcW w:w="4269" w:type="dxa"/>
          </w:tcPr>
          <w:p w14:paraId="14DFD256"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Relative fitness of tetracycline-resistant bacteria, compared with susceptible</w:t>
            </w:r>
          </w:p>
        </w:tc>
        <w:tc>
          <w:tcPr>
            <w:tcW w:w="3150" w:type="dxa"/>
          </w:tcPr>
          <w:p w14:paraId="6994F4DF"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-0.0204, 0.02]</w:t>
            </w:r>
          </w:p>
        </w:tc>
        <w:tc>
          <w:tcPr>
            <w:tcW w:w="1320" w:type="dxa"/>
          </w:tcPr>
          <w:p w14:paraId="67BABCDB" w14:textId="677A18C6"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[0.7, 1.1]</w:t>
            </w:r>
          </w:p>
        </w:tc>
        <w:tc>
          <w:tcPr>
            <w:tcW w:w="3611" w:type="dxa"/>
          </w:tcPr>
          <w:p w14:paraId="2FB54E5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128301BB" w14:textId="170207F4"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{"citationID":"w3hdUG4f","properties":{"formattedCitation":"[19]","plainCitation":"[19]","noteIndex":0},"citationItems":[{"id":187,"uris":["http://zotero.org/users/9663344/items/HYSVKZR9"],"itemData":{"id":187,"type":"article-journal","abstract":"Background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[19]</w:t>
            </w:r>
            <w:r w:rsidRPr="00B424FD">
              <w:rPr>
                <w:rFonts w:eastAsia="Times New Roman" w:cs="Times New Roman"/>
                <w:color w:val="000000" w:themeColor="text1"/>
                <w:kern w:val="0"/>
                <w:szCs w:val="20"/>
                <w:lang w:val="en-GB"/>
                <w14:ligatures w14:val="none"/>
              </w:rPr>
              <w:fldChar w:fldCharType="end"/>
            </w:r>
          </w:p>
        </w:tc>
      </w:tr>
      <w:tr w:rsidR="002F1936" w:rsidRPr="00B424FD" w14:paraId="27F818D1" w14:textId="77777777" w:rsidTr="00D803EF">
        <w:tc>
          <w:tcPr>
            <w:tcW w:w="771" w:type="dxa"/>
          </w:tcPr>
          <w:p w14:paraId="047DA5BE" w14:textId="77777777" w:rsidR="002F1936"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d2</m:t>
                    </m:r>
                  </m:sub>
                </m:sSub>
              </m:oMath>
            </m:oMathPara>
          </w:p>
        </w:tc>
        <w:tc>
          <w:tcPr>
            <w:tcW w:w="4269" w:type="dxa"/>
          </w:tcPr>
          <w:p w14:paraId="634C1B2D"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Relative fitness of dual resistant bacteria, compared with susceptible</w:t>
            </w:r>
          </w:p>
        </w:tc>
        <w:tc>
          <w:tcPr>
            <w:tcW w:w="3150" w:type="dxa"/>
          </w:tcPr>
          <w:p w14:paraId="79BB6D2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-0.0408, 0.02]</w:t>
            </w:r>
          </w:p>
        </w:tc>
        <w:tc>
          <w:tcPr>
            <w:tcW w:w="1320" w:type="dxa"/>
          </w:tcPr>
          <w:p w14:paraId="591C4093" w14:textId="6A19B0F4"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[0.5, 1]</w:t>
            </w:r>
          </w:p>
        </w:tc>
        <w:tc>
          <w:tcPr>
            <w:tcW w:w="3611" w:type="dxa"/>
          </w:tcPr>
          <w:p w14:paraId="2F8011A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265863C4" w14:textId="01ED5601"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{"citationID":"wPKQhZXB","properties":{"formattedCitation":"[19]","plainCitation":"[19]","noteIndex":0},"citationItems":[{"id":187,"uris":["http://zotero.org/users/9663344/items/HYSVKZR9"],"itemData":{"id":187,"type":"article-journal","abstract":"Background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[19]</w:t>
            </w:r>
            <w:r w:rsidRPr="00B424FD">
              <w:rPr>
                <w:rFonts w:eastAsia="Times New Roman" w:cs="Times New Roman"/>
                <w:color w:val="000000" w:themeColor="text1"/>
                <w:kern w:val="0"/>
                <w:szCs w:val="20"/>
                <w:lang w:val="en-GB"/>
                <w14:ligatures w14:val="none"/>
              </w:rPr>
              <w:fldChar w:fldCharType="end"/>
            </w:r>
          </w:p>
        </w:tc>
      </w:tr>
      <w:tr w:rsidR="002F1936" w:rsidRPr="00B424FD" w14:paraId="5656C7F4" w14:textId="77777777" w:rsidTr="00D803EF">
        <w:tc>
          <w:tcPr>
            <w:tcW w:w="771" w:type="dxa"/>
          </w:tcPr>
          <w:p w14:paraId="73DCCFC2" w14:textId="77777777" w:rsidR="002F1936"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c</m:t>
                    </m:r>
                  </m:sub>
                </m:sSub>
              </m:oMath>
            </m:oMathPara>
          </w:p>
        </w:tc>
        <w:tc>
          <w:tcPr>
            <w:tcW w:w="4269" w:type="dxa"/>
          </w:tcPr>
          <w:p w14:paraId="791B2A67"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Probability of emergence of ceftriaxone resistance upon treatment with ceftriaxone</w:t>
            </w:r>
          </w:p>
        </w:tc>
        <w:tc>
          <w:tcPr>
            <w:tcW w:w="3150" w:type="dxa"/>
          </w:tcPr>
          <w:p w14:paraId="2236A509"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log10</w:t>
            </w:r>
            <w:r w:rsidRPr="00B424FD">
              <w:rPr>
                <w:rFonts w:eastAsia="Times New Roman" w:cs="Times New Roman"/>
                <w:color w:val="000000" w:themeColor="text1"/>
                <w:kern w:val="0"/>
                <w:szCs w:val="20"/>
                <w:vertAlign w:val="superscript"/>
                <w:lang w:val="en-GB"/>
                <w14:ligatures w14:val="none"/>
              </w:rPr>
              <w:t>-8</w:t>
            </w:r>
            <w:r w:rsidRPr="00B424FD">
              <w:rPr>
                <w:rFonts w:eastAsia="Times New Roman" w:cs="Times New Roman"/>
                <w:color w:val="000000" w:themeColor="text1"/>
                <w:kern w:val="0"/>
                <w:szCs w:val="20"/>
                <w:lang w:val="en-GB"/>
                <w14:ligatures w14:val="none"/>
              </w:rPr>
              <w:t>, 0.01]</w:t>
            </w:r>
          </w:p>
        </w:tc>
        <w:tc>
          <w:tcPr>
            <w:tcW w:w="1320" w:type="dxa"/>
          </w:tcPr>
          <w:p w14:paraId="35A79AEF" w14:textId="2505B0B8"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[10</w:t>
            </w:r>
            <w:r w:rsidRPr="00B424FD">
              <w:rPr>
                <w:rFonts w:eastAsia="Times New Roman" w:cs="Times New Roman"/>
                <w:color w:val="000000" w:themeColor="text1"/>
                <w:kern w:val="0"/>
                <w:szCs w:val="20"/>
                <w:vertAlign w:val="superscript"/>
                <w:lang w:val="en-GB"/>
                <w14:ligatures w14:val="none"/>
              </w:rPr>
              <w:t>-10</w:t>
            </w:r>
            <w:r w:rsidRPr="00B424FD">
              <w:rPr>
                <w:rFonts w:eastAsia="Times New Roman" w:cs="Times New Roman"/>
                <w:color w:val="000000" w:themeColor="text1"/>
                <w:kern w:val="0"/>
                <w:szCs w:val="20"/>
                <w:lang w:val="en-GB"/>
                <w14:ligatures w14:val="none"/>
              </w:rPr>
              <w:t>, 10</w:t>
            </w:r>
            <w:r w:rsidRPr="00B424FD">
              <w:rPr>
                <w:rFonts w:eastAsia="Times New Roman" w:cs="Times New Roman"/>
                <w:color w:val="000000" w:themeColor="text1"/>
                <w:kern w:val="0"/>
                <w:szCs w:val="20"/>
                <w:vertAlign w:val="superscript"/>
                <w:lang w:val="en-GB"/>
                <w14:ligatures w14:val="none"/>
              </w:rPr>
              <w:t>-5</w:t>
            </w:r>
            <w:r w:rsidRPr="00B424FD">
              <w:rPr>
                <w:rFonts w:eastAsia="Times New Roman" w:cs="Times New Roman"/>
                <w:color w:val="000000" w:themeColor="text1"/>
                <w:kern w:val="0"/>
                <w:szCs w:val="20"/>
                <w:lang w:val="en-GB"/>
                <w14:ligatures w14:val="none"/>
              </w:rPr>
              <w:t>]</w:t>
            </w:r>
          </w:p>
        </w:tc>
        <w:tc>
          <w:tcPr>
            <w:tcW w:w="3611" w:type="dxa"/>
          </w:tcPr>
          <w:p w14:paraId="0575035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2566083D" w14:textId="1EFDECC5"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{"citationID":"spVCCqJ8","properties":{"formattedCitation":"[19]","plainCitation":"[19]","noteIndex":0},"citationItems":[{"id":187,"uris":["http://zotero.org/users/9663344/items/HYSVKZR9"],"itemData":{"id":187,"type":"article-journal","abstract":"Background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[19]</w:t>
            </w:r>
            <w:r w:rsidRPr="00B424FD">
              <w:rPr>
                <w:rFonts w:eastAsia="Times New Roman" w:cs="Times New Roman"/>
                <w:color w:val="000000" w:themeColor="text1"/>
                <w:kern w:val="0"/>
                <w:szCs w:val="20"/>
                <w:lang w:val="en-GB"/>
                <w14:ligatures w14:val="none"/>
              </w:rPr>
              <w:fldChar w:fldCharType="end"/>
            </w:r>
          </w:p>
        </w:tc>
      </w:tr>
      <w:tr w:rsidR="002F1936" w:rsidRPr="00B424FD" w14:paraId="08881587" w14:textId="77777777" w:rsidTr="00D803EF">
        <w:tc>
          <w:tcPr>
            <w:tcW w:w="771" w:type="dxa"/>
          </w:tcPr>
          <w:p w14:paraId="5A41B388" w14:textId="77777777" w:rsidR="002F1936"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t</m:t>
                    </m:r>
                  </m:sub>
                </m:sSub>
              </m:oMath>
            </m:oMathPara>
          </w:p>
        </w:tc>
        <w:tc>
          <w:tcPr>
            <w:tcW w:w="4269" w:type="dxa"/>
          </w:tcPr>
          <w:p w14:paraId="259144B8"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Probability of emergence of tetracycline resistance upon taking doxy-PEP for syphilis after gonorrhoea infection</w:t>
            </w:r>
          </w:p>
        </w:tc>
        <w:tc>
          <w:tcPr>
            <w:tcW w:w="3150" w:type="dxa"/>
          </w:tcPr>
          <w:p w14:paraId="5106184A"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B424FD">
              <w:rPr>
                <w:rFonts w:eastAsia="Times New Roman" w:cs="Times New Roman"/>
                <w:color w:val="000000" w:themeColor="text1"/>
                <w:kern w:val="0"/>
                <w:szCs w:val="20"/>
                <w:lang w:val="en-GB"/>
                <w14:ligatures w14:val="none"/>
              </w:rPr>
              <w:t>[0.001, 1000]</w:t>
            </w:r>
          </w:p>
        </w:tc>
        <w:tc>
          <w:tcPr>
            <w:tcW w:w="1320" w:type="dxa"/>
          </w:tcPr>
          <w:p w14:paraId="76714D69" w14:textId="65754BDE"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[10</w:t>
            </w:r>
            <w:r w:rsidRPr="00B424FD">
              <w:rPr>
                <w:rFonts w:eastAsia="Times New Roman" w:cs="Times New Roman"/>
                <w:color w:val="000000" w:themeColor="text1"/>
                <w:kern w:val="0"/>
                <w:szCs w:val="20"/>
                <w:vertAlign w:val="superscript"/>
                <w:lang w:val="en-GB"/>
                <w14:ligatures w14:val="none"/>
              </w:rPr>
              <w:t>-6</w:t>
            </w:r>
            <w:r w:rsidRPr="00B424FD">
              <w:rPr>
                <w:rFonts w:eastAsia="Times New Roman" w:cs="Times New Roman"/>
                <w:color w:val="000000" w:themeColor="text1"/>
                <w:kern w:val="0"/>
                <w:szCs w:val="20"/>
                <w:lang w:val="en-GB"/>
                <w14:ligatures w14:val="none"/>
              </w:rPr>
              <w:t>, 10</w:t>
            </w:r>
            <w:r w:rsidRPr="00B424FD">
              <w:rPr>
                <w:rFonts w:eastAsia="Times New Roman" w:cs="Times New Roman"/>
                <w:color w:val="000000" w:themeColor="text1"/>
                <w:kern w:val="0"/>
                <w:szCs w:val="20"/>
                <w:vertAlign w:val="superscript"/>
                <w:lang w:val="en-GB"/>
                <w14:ligatures w14:val="none"/>
              </w:rPr>
              <w:t>-2</w:t>
            </w:r>
            <w:r w:rsidRPr="00B424FD">
              <w:rPr>
                <w:rFonts w:eastAsia="Times New Roman" w:cs="Times New Roman"/>
                <w:color w:val="000000" w:themeColor="text1"/>
                <w:kern w:val="0"/>
                <w:szCs w:val="20"/>
                <w:lang w:val="en-GB"/>
                <w14:ligatures w14:val="none"/>
              </w:rPr>
              <w:t>]</w:t>
            </w:r>
          </w:p>
        </w:tc>
        <w:tc>
          <w:tcPr>
            <w:tcW w:w="3611" w:type="dxa"/>
          </w:tcPr>
          <w:p w14:paraId="17F39FA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71DEB9BA" w14:textId="4F136B88"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{"citationID":"ZT9FOlgN","properties":{"formattedCitation":"[19]","plainCitation":"[19]","noteIndex":0},"citationItems":[{"id":187,"uris":["http://zotero.org/users/9663344/items/HYSVKZR9"],"itemData":{"id":187,"type":"article-journal","abstract":"Background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[19]</w:t>
            </w:r>
            <w:r w:rsidRPr="00B424FD">
              <w:rPr>
                <w:rFonts w:eastAsia="Times New Roman" w:cs="Times New Roman"/>
                <w:color w:val="000000" w:themeColor="text1"/>
                <w:kern w:val="0"/>
                <w:szCs w:val="20"/>
                <w:lang w:val="en-GB"/>
                <w14:ligatures w14:val="none"/>
              </w:rPr>
              <w:fldChar w:fldCharType="end"/>
            </w:r>
          </w:p>
        </w:tc>
      </w:tr>
      <w:tr w:rsidR="002F1936" w:rsidRPr="00B424FD" w14:paraId="71CC0CBD" w14:textId="77777777" w:rsidTr="00D803EF">
        <w:tc>
          <w:tcPr>
            <w:tcW w:w="771" w:type="dxa"/>
          </w:tcPr>
          <w:p w14:paraId="67AE8062" w14:textId="77777777" w:rsidR="002F1936" w:rsidRPr="00B424FD" w:rsidRDefault="00000000" w:rsidP="003B3837">
            <w:pPr>
              <w:spacing w:before="100" w:beforeAutospacing="1" w:after="100" w:afterAutospacing="1" w:line="276" w:lineRule="auto"/>
              <w:rPr>
                <w:rFonts w:ascii="Aptos" w:eastAsia="DengXian" w:hAnsi="Aptos" w:cs="Times New Roman"/>
                <w:i/>
                <w:color w:val="000000" w:themeColor="text1"/>
                <w:kern w:val="0"/>
                <w:szCs w:val="20"/>
                <w:lang w:val="en-GB"/>
                <w14:ligatures w14:val="none"/>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T</m:t>
                    </m:r>
                  </m:sub>
                </m:sSub>
              </m:oMath>
            </m:oMathPara>
          </w:p>
        </w:tc>
        <w:tc>
          <w:tcPr>
            <w:tcW w:w="4269" w:type="dxa"/>
          </w:tcPr>
          <w:p w14:paraId="2C800D1D"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Shape parameter of GUMCAD dataset </w:t>
            </w:r>
          </w:p>
        </w:tc>
        <w:tc>
          <w:tcPr>
            <w:tcW w:w="3150" w:type="dxa"/>
          </w:tcPr>
          <w:p w14:paraId="4783DF6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0,1]</w:t>
            </w:r>
          </w:p>
        </w:tc>
        <w:tc>
          <w:tcPr>
            <w:tcW w:w="1320" w:type="dxa"/>
          </w:tcPr>
          <w:p w14:paraId="51B0D886" w14:textId="357B9F3B"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[0.05, 1]</w:t>
            </w:r>
          </w:p>
        </w:tc>
        <w:tc>
          <w:tcPr>
            <w:tcW w:w="3611" w:type="dxa"/>
          </w:tcPr>
          <w:p w14:paraId="4761FFB6"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291DA83E" w14:textId="783FEC8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2F1936" w:rsidRPr="00B424FD" w14:paraId="13990896" w14:textId="77777777" w:rsidTr="00D803EF">
        <w:tc>
          <w:tcPr>
            <w:tcW w:w="771" w:type="dxa"/>
          </w:tcPr>
          <w:p w14:paraId="3C11B408" w14:textId="77777777" w:rsidR="002F1936" w:rsidRPr="00B424FD" w:rsidRDefault="00000000" w:rsidP="003B3837">
            <w:pPr>
              <w:spacing w:before="100" w:beforeAutospacing="1" w:after="100" w:afterAutospacing="1" w:line="276" w:lineRule="auto"/>
              <w:rPr>
                <w:rFonts w:ascii="Aptos" w:eastAsia="DengXian" w:hAnsi="Aptos" w:cs="Times New Roman"/>
                <w:i/>
                <w:color w:val="0D0D0D"/>
                <w:szCs w:val="20"/>
                <w:shd w:val="clear" w:color="auto" w:fill="FFFFFF"/>
                <w:lang w:val="en-GB"/>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S</m:t>
                    </m:r>
                  </m:sub>
                </m:sSub>
              </m:oMath>
            </m:oMathPara>
          </w:p>
        </w:tc>
        <w:tc>
          <w:tcPr>
            <w:tcW w:w="4269" w:type="dxa"/>
          </w:tcPr>
          <w:p w14:paraId="0E347D09"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Shape parameter of GRASP dataset</w:t>
            </w:r>
          </w:p>
        </w:tc>
        <w:tc>
          <w:tcPr>
            <w:tcW w:w="3150" w:type="dxa"/>
          </w:tcPr>
          <w:p w14:paraId="0EAD8BDA"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0,1]</w:t>
            </w:r>
          </w:p>
        </w:tc>
        <w:tc>
          <w:tcPr>
            <w:tcW w:w="1320" w:type="dxa"/>
          </w:tcPr>
          <w:p w14:paraId="3729B20E" w14:textId="148558B4"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[0.05, 1]</w:t>
            </w:r>
          </w:p>
        </w:tc>
        <w:tc>
          <w:tcPr>
            <w:tcW w:w="3611" w:type="dxa"/>
          </w:tcPr>
          <w:p w14:paraId="155EEDFD"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32DAEBE9" w14:textId="159BCEF3"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bl>
    <w:p w14:paraId="3058A82B" w14:textId="78BF278A" w:rsidR="002F1936" w:rsidRPr="00B424FD" w:rsidRDefault="002F1936" w:rsidP="003B3837">
      <w:pPr>
        <w:pStyle w:val="NormalWeb"/>
        <w:spacing w:line="276" w:lineRule="auto"/>
        <w:jc w:val="both"/>
        <w:rPr>
          <w:sz w:val="20"/>
          <w:szCs w:val="20"/>
          <w:lang w:val="en-GB"/>
        </w:rPr>
        <w:sectPr w:rsidR="002F1936" w:rsidRPr="00B424FD" w:rsidSect="00263500">
          <w:pgSz w:w="16838" w:h="11906" w:orient="landscape"/>
          <w:pgMar w:top="1440" w:right="1440" w:bottom="1440" w:left="1440" w:header="708" w:footer="708" w:gutter="0"/>
          <w:cols w:space="708"/>
          <w:docGrid w:linePitch="360"/>
        </w:sectPr>
      </w:pPr>
    </w:p>
    <w:p w14:paraId="2499838E" w14:textId="77777777" w:rsidR="007864C5" w:rsidRPr="00B424FD" w:rsidRDefault="007864C5" w:rsidP="003B3837">
      <w:pPr>
        <w:pStyle w:val="NormalWeb"/>
        <w:spacing w:line="276" w:lineRule="auto"/>
        <w:jc w:val="both"/>
        <w:rPr>
          <w:sz w:val="20"/>
          <w:szCs w:val="20"/>
          <w:lang w:val="en-GB"/>
        </w:rPr>
      </w:pPr>
    </w:p>
    <w:p w14:paraId="1FFF3A91" w14:textId="2C02DD5F" w:rsidR="00276DCE" w:rsidRPr="00BF4DCA" w:rsidRDefault="00BF4DCA" w:rsidP="003B3837">
      <w:pPr>
        <w:pStyle w:val="NormalWeb"/>
        <w:spacing w:line="276" w:lineRule="auto"/>
        <w:jc w:val="both"/>
        <w:rPr>
          <w:sz w:val="20"/>
          <w:szCs w:val="20"/>
          <w:lang w:val="en-GB"/>
        </w:rPr>
      </w:pPr>
      <w:r>
        <w:rPr>
          <w:noProof/>
          <w:sz w:val="20"/>
          <w:szCs w:val="20"/>
          <w:lang w:val="en-GB"/>
          <w14:ligatures w14:val="standardContextual"/>
        </w:rPr>
        <w:drawing>
          <wp:inline distT="0" distB="0" distL="0" distR="0" wp14:anchorId="2BEF8111" wp14:editId="7982DA6F">
            <wp:extent cx="8863330" cy="3553460"/>
            <wp:effectExtent l="0" t="0" r="1270" b="0"/>
            <wp:docPr id="3380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246" name="Picture 33807246"/>
                    <pic:cNvPicPr/>
                  </pic:nvPicPr>
                  <pic:blipFill>
                    <a:blip r:embed="rId14"/>
                    <a:stretch>
                      <a:fillRect/>
                    </a:stretch>
                  </pic:blipFill>
                  <pic:spPr>
                    <a:xfrm>
                      <a:off x="0" y="0"/>
                      <a:ext cx="8863330" cy="3553460"/>
                    </a:xfrm>
                    <a:prstGeom prst="rect">
                      <a:avLst/>
                    </a:prstGeom>
                  </pic:spPr>
                </pic:pic>
              </a:graphicData>
            </a:graphic>
          </wp:inline>
        </w:drawing>
      </w:r>
      <w:r w:rsidR="00276DCE" w:rsidRPr="00B424FD">
        <w:rPr>
          <w:color w:val="000000" w:themeColor="text1"/>
          <w:sz w:val="20"/>
          <w:szCs w:val="20"/>
          <w:lang w:val="en-GB"/>
        </w:rPr>
        <w:t xml:space="preserve">Fig. </w:t>
      </w:r>
      <w:r w:rsidR="00D43596">
        <w:rPr>
          <w:color w:val="000000" w:themeColor="text1"/>
          <w:sz w:val="20"/>
          <w:szCs w:val="20"/>
          <w:lang w:val="en-GB"/>
        </w:rPr>
        <w:t>4</w:t>
      </w:r>
      <w:r w:rsidR="00276DCE" w:rsidRPr="00B424FD">
        <w:rPr>
          <w:color w:val="000000" w:themeColor="text1"/>
          <w:sz w:val="20"/>
          <w:szCs w:val="20"/>
          <w:lang w:val="en-GB"/>
        </w:rPr>
        <w:t xml:space="preserve">: Model architecture of gonorrhoea AMR emergence under doxy-PEP for syphilis and 4CMenB for gonorrhoea. The model stratifies MSM population into low-activity (orange) and high-activity (red) groups, which share the same compartmental structure but differ in transition rates. For clarity, only transitions in and out of the high-activity group (upper layer) are shown. The model further divides MSM population into four strata </w:t>
      </w:r>
      <m:oMath>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N,D,V,M</m:t>
            </m:r>
          </m:e>
        </m:d>
      </m:oMath>
      <w:r w:rsidR="00276DCE" w:rsidRPr="00B424FD">
        <w:rPr>
          <w:color w:val="000000" w:themeColor="text1"/>
          <w:sz w:val="20"/>
          <w:szCs w:val="20"/>
          <w:lang w:val="en-GB"/>
        </w:rPr>
        <w:t xml:space="preserve"> based on their uptake status of doxy-PEP and 4CMenB, </w:t>
      </w:r>
      <w:r w:rsidR="00276DCE" w:rsidRPr="00B424FD">
        <w:rPr>
          <w:sz w:val="20"/>
          <w:szCs w:val="20"/>
          <w:lang w:val="en-GB"/>
        </w:rPr>
        <w:t>representing individuals who take neither intervention, doxy-PEP only, 4CMenB only, or both, respectively</w:t>
      </w:r>
      <w:r w:rsidR="00276DCE" w:rsidRPr="00B424FD">
        <w:rPr>
          <w:color w:val="000000" w:themeColor="text1"/>
          <w:sz w:val="20"/>
          <w:szCs w:val="20"/>
          <w:lang w:val="en-GB"/>
        </w:rPr>
        <w:t>. Individuals enter the sexually active population as uninfected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xml:space="preserve">) in stratum </w:t>
      </w:r>
      <m:oMath>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and may exit the sexually active population due to aging at any stage. Infections progress from uninfected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to exposed (</w:t>
      </w:r>
      <m:oMath>
        <m:r>
          <w:rPr>
            <w:rFonts w:ascii="Cambria Math" w:hAnsi="Cambria Math"/>
            <w:color w:val="000000" w:themeColor="text1"/>
            <w:sz w:val="20"/>
            <w:szCs w:val="20"/>
            <w:lang w:val="en-GB"/>
          </w:rPr>
          <m:t>E</m:t>
        </m:r>
      </m:oMath>
      <w:r w:rsidR="00276DCE" w:rsidRPr="00B424FD">
        <w:rPr>
          <w:color w:val="000000" w:themeColor="text1"/>
          <w:sz w:val="20"/>
          <w:szCs w:val="20"/>
          <w:lang w:val="en-GB"/>
        </w:rPr>
        <w:t>), then to asymptomatic (</w:t>
      </w:r>
      <m:oMath>
        <m:r>
          <w:rPr>
            <w:rFonts w:ascii="Cambria Math" w:hAnsi="Cambria Math"/>
            <w:color w:val="000000" w:themeColor="text1"/>
            <w:sz w:val="20"/>
            <w:szCs w:val="20"/>
            <w:lang w:val="en-GB"/>
          </w:rPr>
          <m:t>A</m:t>
        </m:r>
      </m:oMath>
      <w:r w:rsidR="00276DCE" w:rsidRPr="00B424FD">
        <w:rPr>
          <w:color w:val="000000" w:themeColor="text1"/>
          <w:sz w:val="20"/>
          <w:szCs w:val="20"/>
          <w:lang w:val="en-GB"/>
        </w:rPr>
        <w:t>) or symptomatic (</w:t>
      </w:r>
      <m:oMath>
        <m:r>
          <w:rPr>
            <w:rFonts w:ascii="Cambria Math" w:hAnsi="Cambria Math"/>
            <w:color w:val="000000" w:themeColor="text1"/>
            <w:sz w:val="20"/>
            <w:szCs w:val="20"/>
            <w:lang w:val="en-GB"/>
          </w:rPr>
          <m:t>S</m:t>
        </m:r>
      </m:oMath>
      <w:r w:rsidR="00276DCE" w:rsidRPr="00B424FD">
        <w:rPr>
          <w:color w:val="000000" w:themeColor="text1"/>
          <w:sz w:val="20"/>
          <w:szCs w:val="20"/>
          <w:lang w:val="en-GB"/>
        </w:rPr>
        <w:t>), following with treatment (</w:t>
      </w:r>
      <m:oMath>
        <m:r>
          <w:rPr>
            <w:rFonts w:ascii="Cambria Math" w:hAnsi="Cambria Math"/>
            <w:color w:val="000000" w:themeColor="text1"/>
            <w:sz w:val="20"/>
            <w:szCs w:val="20"/>
            <w:lang w:val="en-GB"/>
          </w:rPr>
          <m:t>T</m:t>
        </m:r>
      </m:oMath>
      <w:r w:rsidR="00276DCE" w:rsidRPr="00B424FD">
        <w:rPr>
          <w:color w:val="000000" w:themeColor="text1"/>
          <w:sz w:val="20"/>
          <w:szCs w:val="20"/>
          <w:lang w:val="en-GB"/>
        </w:rPr>
        <w:t xml:space="preserve">) and possible natural recovery from </w:t>
      </w:r>
      <m:oMath>
        <m:r>
          <w:rPr>
            <w:rFonts w:ascii="Cambria Math" w:hAnsi="Cambria Math"/>
            <w:color w:val="000000" w:themeColor="text1"/>
            <w:sz w:val="20"/>
            <w:szCs w:val="20"/>
            <w:lang w:val="en-GB"/>
          </w:rPr>
          <m:t>A</m:t>
        </m:r>
      </m:oMath>
      <w:r w:rsidR="00276DCE" w:rsidRPr="00B424FD">
        <w:rPr>
          <w:color w:val="000000" w:themeColor="text1"/>
          <w:sz w:val="20"/>
          <w:szCs w:val="20"/>
          <w:lang w:val="en-GB"/>
        </w:rPr>
        <w:t xml:space="preserve"> to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xml:space="preserve">. For each stratum </w:t>
      </w:r>
      <m:oMath>
        <m:r>
          <w:rPr>
            <w:rFonts w:ascii="Cambria Math" w:hAnsi="Cambria Math"/>
            <w:color w:val="000000" w:themeColor="text1"/>
            <w:sz w:val="20"/>
            <w:szCs w:val="20"/>
            <w:lang w:val="en-GB"/>
          </w:rPr>
          <m:t>i∈</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N,D,V,M</m:t>
            </m:r>
          </m:e>
        </m:d>
      </m:oMath>
      <w:r w:rsidR="00276DCE" w:rsidRPr="00B424FD">
        <w:rPr>
          <w:color w:val="000000" w:themeColor="text1"/>
          <w:sz w:val="20"/>
          <w:szCs w:val="20"/>
          <w:lang w:val="en-GB"/>
        </w:rPr>
        <w:t xml:space="preserve">, infections are further stratified by resistance profiles. Within each stratum (refer to stratum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four gonorrhoea strains are considered (denoted by superscript): </w:t>
      </w:r>
      <m:oMath>
        <m:r>
          <w:rPr>
            <w:rFonts w:ascii="Cambria Math" w:hAnsi="Cambria Math"/>
            <w:color w:val="000000" w:themeColor="text1"/>
            <w:sz w:val="20"/>
            <w:szCs w:val="20"/>
            <w:lang w:val="en-GB"/>
          </w:rPr>
          <m:t>0=</m:t>
        </m:r>
      </m:oMath>
      <w:r w:rsidR="00276DCE" w:rsidRPr="00B424FD">
        <w:rPr>
          <w:color w:val="000000" w:themeColor="text1"/>
          <w:sz w:val="20"/>
          <w:szCs w:val="20"/>
          <w:lang w:val="en-GB"/>
        </w:rPr>
        <w:t xml:space="preserve"> susceptible, </w:t>
      </w:r>
      <m:oMath>
        <m:r>
          <w:rPr>
            <w:rFonts w:ascii="Cambria Math" w:hAnsi="Cambria Math"/>
            <w:color w:val="000000" w:themeColor="text1"/>
            <w:sz w:val="20"/>
            <w:szCs w:val="20"/>
            <w:lang w:val="en-GB"/>
          </w:rPr>
          <m:t>c=</m:t>
        </m:r>
      </m:oMath>
      <w:r w:rsidR="00276DCE" w:rsidRPr="00B424FD">
        <w:rPr>
          <w:color w:val="000000" w:themeColor="text1"/>
          <w:sz w:val="20"/>
          <w:szCs w:val="20"/>
          <w:lang w:val="en-GB"/>
        </w:rPr>
        <w:t xml:space="preserve"> ceftriaxone resistant, </w:t>
      </w:r>
      <m:oMath>
        <m:r>
          <w:rPr>
            <w:rFonts w:ascii="Cambria Math" w:hAnsi="Cambria Math"/>
            <w:color w:val="000000" w:themeColor="text1"/>
            <w:sz w:val="20"/>
            <w:szCs w:val="20"/>
            <w:lang w:val="en-GB"/>
          </w:rPr>
          <m:t>t=</m:t>
        </m:r>
      </m:oMath>
      <w:r w:rsidR="00276DCE" w:rsidRPr="00B424FD">
        <w:rPr>
          <w:color w:val="000000" w:themeColor="text1"/>
          <w:sz w:val="20"/>
          <w:szCs w:val="20"/>
          <w:lang w:val="en-GB"/>
        </w:rPr>
        <w:t xml:space="preserve"> tetracycline resistant, and </w:t>
      </w:r>
      <m:oMath>
        <m:r>
          <w:rPr>
            <w:rFonts w:ascii="Cambria Math" w:hAnsi="Cambria Math"/>
            <w:color w:val="000000" w:themeColor="text1"/>
            <w:sz w:val="20"/>
            <w:szCs w:val="20"/>
            <w:lang w:val="en-GB"/>
          </w:rPr>
          <m:t>d2=</m:t>
        </m:r>
      </m:oMath>
      <w:r w:rsidR="00276DCE" w:rsidRPr="00B424FD">
        <w:rPr>
          <w:color w:val="000000" w:themeColor="text1"/>
          <w:sz w:val="20"/>
          <w:szCs w:val="20"/>
          <w:lang w:val="en-GB"/>
        </w:rPr>
        <w:t xml:space="preserve"> dual resistant. Ceftriaxone is assumed to be the sole first-line therapy, with probabilities of resistance emergence upon treatment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e>
          <m:sup>
            <m:r>
              <w:rPr>
                <w:rFonts w:ascii="Cambria Math" w:hAnsi="Cambria Math"/>
                <w:color w:val="000000" w:themeColor="text1"/>
                <w:sz w:val="20"/>
                <w:szCs w:val="20"/>
                <w:lang w:val="en-GB"/>
              </w:rPr>
              <m:t>0</m:t>
            </m:r>
          </m:sup>
        </m:sSup>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e>
          <m:sup>
            <m:r>
              <w:rPr>
                <w:rFonts w:ascii="Cambria Math" w:hAnsi="Cambria Math"/>
                <w:color w:val="000000" w:themeColor="text1"/>
                <w:sz w:val="20"/>
                <w:szCs w:val="20"/>
                <w:lang w:val="en-GB"/>
              </w:rPr>
              <m:t>t</m:t>
            </m:r>
          </m:sup>
        </m:sSup>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d2</m:t>
            </m:r>
          </m:sup>
        </m:sSup>
      </m:oMath>
      <w:r w:rsidR="00276DCE" w:rsidRPr="00B424FD">
        <w:rPr>
          <w:color w:val="000000" w:themeColor="text1"/>
          <w:sz w:val="20"/>
          <w:szCs w:val="20"/>
          <w:lang w:val="en-GB"/>
        </w:rPr>
        <w:t xml:space="preserve">). Doxy-PEP and 4CMenB together reduce the effective force of infection for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4CMenB alone reduces the effective force of infection for</w:t>
      </w:r>
      <w:r w:rsidR="00276DCE" w:rsidRPr="00B424FD">
        <w:rPr>
          <w:i/>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276DCE" w:rsidRPr="00B424FD">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276DCE" w:rsidRPr="00B424FD">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276DCE" w:rsidRPr="00B424FD">
        <w:rPr>
          <w:color w:val="000000" w:themeColor="text1"/>
          <w:sz w:val="20"/>
          <w:szCs w:val="20"/>
          <w:lang w:val="en-GB"/>
        </w:rPr>
        <w:t xml:space="preserve">). Doxy-PEP alone reduces the effective force of infection for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w:t>
      </w:r>
      <w:r w:rsidR="00276DCE" w:rsidRPr="00B424FD">
        <w:rPr>
          <w:color w:val="000000" w:themeColor="text1"/>
          <w:sz w:val="20"/>
          <w:szCs w:val="20"/>
          <w:lang w:val="en-GB"/>
        </w:rPr>
        <w:lastRenderedPageBreak/>
        <w:t xml:space="preserve">Without doxy-PEP, or with doxy-PEP only, the absolute effective force of infection for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276DCE" w:rsidRPr="00B424FD">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276DCE" w:rsidRPr="00B424FD">
        <w:rPr>
          <w:color w:val="000000" w:themeColor="text1"/>
          <w:sz w:val="20"/>
          <w:szCs w:val="20"/>
          <w:lang w:val="en-GB"/>
        </w:rPr>
        <w:t xml:space="preserve"> remains unchanged (black arrows in strata </w:t>
      </w:r>
      <m:oMath>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Additionally, doxy-PEP introduces a nonzero probability of </w:t>
      </w:r>
      <w:r w:rsidR="00276DCE" w:rsidRPr="00B424FD">
        <w:rPr>
          <w:i/>
          <w:iCs/>
          <w:color w:val="000000" w:themeColor="text1"/>
          <w:sz w:val="20"/>
          <w:szCs w:val="20"/>
          <w:lang w:val="en-GB"/>
        </w:rPr>
        <w:t>de novo</w:t>
      </w:r>
      <w:r w:rsidR="00276DCE" w:rsidRPr="00B424FD">
        <w:rPr>
          <w:color w:val="000000" w:themeColor="text1"/>
          <w:sz w:val="20"/>
          <w:szCs w:val="20"/>
          <w:lang w:val="en-GB"/>
        </w:rPr>
        <w:t xml:space="preserve"> resistance emergence (dotted red arrows in strata </w:t>
      </w:r>
      <m:oMath>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Based on the uptake status of doxy-PEP and 4CMenB, between-stratum transitions occur as follows: </w:t>
      </w:r>
      <m:oMath>
        <m:r>
          <w:rPr>
            <w:rFonts w:ascii="Cambria Math" w:hAnsi="Cambria Math"/>
            <w:color w:val="000000" w:themeColor="text1"/>
            <w:sz w:val="20"/>
            <w:szCs w:val="20"/>
            <w:lang w:val="en-GB"/>
          </w:rPr>
          <m:t>N</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M</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upon initiation of doxy-PEP (pink arrows); </w:t>
      </w:r>
      <m:oMath>
        <m:r>
          <w:rPr>
            <w:rFonts w:ascii="Cambria Math" w:hAnsi="Cambria Math"/>
            <w:color w:val="000000" w:themeColor="text1"/>
            <w:sz w:val="20"/>
            <w:szCs w:val="20"/>
            <w:lang w:val="en-GB"/>
          </w:rPr>
          <m:t>N</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M</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D</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upon initiation of 4CMenB (dark green arrows); </w:t>
      </w:r>
      <m:oMath>
        <m:r>
          <w:rPr>
            <w:rFonts w:ascii="Cambria Math" w:hAnsi="Cambria Math"/>
            <w:color w:val="000000" w:themeColor="text1"/>
            <w:sz w:val="20"/>
            <w:szCs w:val="20"/>
            <w:lang w:val="en-GB"/>
          </w:rPr>
          <m:t>D</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or </w:t>
      </w:r>
      <m:oMath>
        <m:r>
          <w:rPr>
            <w:rFonts w:ascii="Cambria Math" w:hAnsi="Cambria Math"/>
            <w:color w:val="000000" w:themeColor="text1"/>
            <w:sz w:val="20"/>
            <w:szCs w:val="20"/>
            <w:lang w:val="en-GB"/>
          </w:rPr>
          <m:t>V</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M</m:t>
        </m:r>
      </m:oMath>
      <w:r w:rsidR="00276DCE" w:rsidRPr="00B424FD">
        <w:rPr>
          <w:color w:val="000000" w:themeColor="text1"/>
          <w:sz w:val="20"/>
          <w:szCs w:val="20"/>
          <w:lang w:val="en-GB"/>
        </w:rPr>
        <w:t xml:space="preserve"> upon discontinuation of doxy-PEP (dark blue arrows); and </w:t>
      </w:r>
      <m:oMath>
        <m:r>
          <w:rPr>
            <w:rFonts w:ascii="Cambria Math" w:hAnsi="Cambria Math"/>
            <w:color w:val="000000" w:themeColor="text1"/>
            <w:sz w:val="20"/>
            <w:szCs w:val="20"/>
            <w:lang w:val="en-GB"/>
          </w:rPr>
          <m:t>V</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or </w:t>
      </w:r>
      <m:oMath>
        <m:r>
          <w:rPr>
            <w:rFonts w:ascii="Cambria Math" w:hAnsi="Cambria Math"/>
            <w:color w:val="000000" w:themeColor="text1"/>
            <w:sz w:val="20"/>
            <w:szCs w:val="20"/>
            <w:lang w:val="en-GB"/>
          </w:rPr>
          <m:t>M</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upon waning of 4CMenB (dark orange arrows). For simplicity, uptake of doxy-PEP and 4CMenB occur only at the uninfected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state.</w:t>
      </w:r>
    </w:p>
    <w:p w14:paraId="6AF8F1F8" w14:textId="77777777" w:rsidR="004F3D14" w:rsidRPr="00B424FD"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p w14:paraId="34173FC7" w14:textId="77777777" w:rsidR="004F3D14" w:rsidRPr="00B424FD"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sectPr w:rsidR="004F3D14" w:rsidRPr="00B424FD" w:rsidSect="00276DCE">
          <w:pgSz w:w="16838" w:h="11906" w:orient="landscape"/>
          <w:pgMar w:top="1440" w:right="1440" w:bottom="1440" w:left="1440" w:header="708" w:footer="708" w:gutter="0"/>
          <w:cols w:space="708"/>
          <w:docGrid w:linePitch="360"/>
        </w:sectPr>
      </w:pPr>
    </w:p>
    <w:p w14:paraId="1CC09B59" w14:textId="1655666E" w:rsidR="004F3D14" w:rsidRPr="00B424FD" w:rsidRDefault="002C1F7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lastRenderedPageBreak/>
        <w:t xml:space="preserve">Table 2: </w:t>
      </w:r>
      <w:r w:rsidR="008576F9" w:rsidRPr="00B424FD">
        <w:rPr>
          <w:rFonts w:ascii="Times New Roman" w:eastAsia="Times New Roman" w:hAnsi="Times New Roman" w:cs="Times New Roman"/>
          <w:color w:val="000000" w:themeColor="text1"/>
          <w:kern w:val="0"/>
          <w:sz w:val="20"/>
          <w:szCs w:val="20"/>
          <w:lang w:val="en-GB"/>
          <w14:ligatures w14:val="none"/>
        </w:rPr>
        <w:t>Model parameters.</w:t>
      </w:r>
    </w:p>
    <w:tbl>
      <w:tblPr>
        <w:tblStyle w:val="TableGrid"/>
        <w:tblW w:w="0" w:type="auto"/>
        <w:tblLayout w:type="fixed"/>
        <w:tblLook w:val="04A0" w:firstRow="1" w:lastRow="0" w:firstColumn="1" w:lastColumn="0" w:noHBand="0" w:noVBand="1"/>
      </w:tblPr>
      <w:tblGrid>
        <w:gridCol w:w="360"/>
        <w:gridCol w:w="6300"/>
        <w:gridCol w:w="1350"/>
        <w:gridCol w:w="1016"/>
      </w:tblGrid>
      <w:tr w:rsidR="00804703" w:rsidRPr="00B424FD" w14:paraId="54AB8378" w14:textId="61E0946F" w:rsidTr="00FB7950">
        <w:tc>
          <w:tcPr>
            <w:tcW w:w="360" w:type="dxa"/>
            <w:tcBorders>
              <w:top w:val="single" w:sz="4" w:space="0" w:color="auto"/>
              <w:bottom w:val="single" w:sz="4" w:space="0" w:color="auto"/>
            </w:tcBorders>
          </w:tcPr>
          <w:p w14:paraId="7BDE15F9" w14:textId="31174748" w:rsidR="0090359A" w:rsidRPr="00B424FD" w:rsidRDefault="0090359A"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6300" w:type="dxa"/>
            <w:tcBorders>
              <w:top w:val="single" w:sz="4" w:space="0" w:color="auto"/>
              <w:bottom w:val="single" w:sz="4" w:space="0" w:color="auto"/>
            </w:tcBorders>
          </w:tcPr>
          <w:p w14:paraId="11FDE79F" w14:textId="77777777" w:rsidR="0090359A" w:rsidRPr="00B424FD" w:rsidRDefault="0090359A" w:rsidP="003B3837">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Definition</w:t>
            </w:r>
          </w:p>
        </w:tc>
        <w:tc>
          <w:tcPr>
            <w:tcW w:w="1350" w:type="dxa"/>
            <w:tcBorders>
              <w:top w:val="single" w:sz="4" w:space="0" w:color="auto"/>
              <w:bottom w:val="single" w:sz="4" w:space="0" w:color="auto"/>
            </w:tcBorders>
          </w:tcPr>
          <w:p w14:paraId="52B5383E" w14:textId="0267F846" w:rsidR="0090359A" w:rsidRPr="00B424FD" w:rsidRDefault="0090359A"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Value</w:t>
            </w:r>
          </w:p>
        </w:tc>
        <w:tc>
          <w:tcPr>
            <w:tcW w:w="1016" w:type="dxa"/>
            <w:tcBorders>
              <w:top w:val="single" w:sz="4" w:space="0" w:color="auto"/>
              <w:bottom w:val="single" w:sz="4" w:space="0" w:color="auto"/>
            </w:tcBorders>
          </w:tcPr>
          <w:p w14:paraId="7FAB5165" w14:textId="66703C65" w:rsidR="0090359A" w:rsidRPr="00B424FD" w:rsidRDefault="0090359A"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Source</w:t>
            </w:r>
          </w:p>
        </w:tc>
      </w:tr>
      <w:tr w:rsidR="00804703" w:rsidRPr="00B424FD" w14:paraId="49F709FF" w14:textId="3D415617" w:rsidTr="00FB7950">
        <w:tc>
          <w:tcPr>
            <w:tcW w:w="360" w:type="dxa"/>
          </w:tcPr>
          <w:p w14:paraId="5F2F52CC" w14:textId="3CFA2D9E"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d</m:t>
                    </m:r>
                  </m:sub>
                </m:sSub>
              </m:oMath>
            </m:oMathPara>
          </w:p>
        </w:tc>
        <w:tc>
          <w:tcPr>
            <w:tcW w:w="6300" w:type="dxa"/>
          </w:tcPr>
          <w:p w14:paraId="35885379" w14:textId="7181D9B1"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Doxy-PEP efficacy against gonorrhoea infection</w:t>
            </w:r>
          </w:p>
        </w:tc>
        <w:tc>
          <w:tcPr>
            <w:tcW w:w="1350" w:type="dxa"/>
          </w:tcPr>
          <w:p w14:paraId="22B150B8" w14:textId="013CE13B" w:rsidR="0090359A" w:rsidRPr="00B424FD" w:rsidRDefault="008576F9"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22%</w:t>
            </w:r>
          </w:p>
        </w:tc>
        <w:tc>
          <w:tcPr>
            <w:tcW w:w="1016" w:type="dxa"/>
          </w:tcPr>
          <w:p w14:paraId="0E908268" w14:textId="6B668481" w:rsidR="0090359A" w:rsidRPr="00B424FD" w:rsidRDefault="00804703"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{"citationID":"704TjXv2","properties":{"formattedCitation":"[29]","plainCitation":"[29]","noteIndex":0},"citationItems":[{"id":57,"uris":["http://zotero.org/users/9663344/items/ZTD6HKJR"],"itemData":{"id":57,"type":"article-journal","abstract":"Background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[29]</w:t>
            </w:r>
            <w:r w:rsidRPr="00B424FD">
              <w:rPr>
                <w:rFonts w:eastAsia="Times New Roman" w:cs="Times New Roman"/>
                <w:color w:val="000000" w:themeColor="text1"/>
                <w:kern w:val="0"/>
                <w:szCs w:val="20"/>
                <w:lang w:val="en-GB"/>
                <w14:ligatures w14:val="none"/>
              </w:rPr>
              <w:fldChar w:fldCharType="end"/>
            </w:r>
          </w:p>
        </w:tc>
      </w:tr>
      <w:tr w:rsidR="00804703" w:rsidRPr="00B424FD" w14:paraId="46C6533E" w14:textId="58E77F49" w:rsidTr="00FB7950">
        <w:tc>
          <w:tcPr>
            <w:tcW w:w="360" w:type="dxa"/>
          </w:tcPr>
          <w:p w14:paraId="16E99D95" w14:textId="4BCC7CB3"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v</m:t>
                    </m:r>
                  </m:sub>
                </m:sSub>
              </m:oMath>
            </m:oMathPara>
          </w:p>
        </w:tc>
        <w:tc>
          <w:tcPr>
            <w:tcW w:w="6300" w:type="dxa"/>
          </w:tcPr>
          <w:p w14:paraId="1B4F2836" w14:textId="357A9B27"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1" w:name="_Hlk212667815"/>
            <w:r w:rsidRPr="00B424FD">
              <w:rPr>
                <w:rFonts w:eastAsia="Times New Roman" w:cs="Times New Roman"/>
                <w:color w:val="000000" w:themeColor="text1"/>
                <w:kern w:val="0"/>
                <w:szCs w:val="20"/>
                <w:lang w:val="en-GB"/>
                <w14:ligatures w14:val="none"/>
              </w:rPr>
              <w:t>4CMenB efficacy against gonorrhoea infection</w:t>
            </w:r>
            <w:bookmarkEnd w:id="1"/>
          </w:p>
        </w:tc>
        <w:tc>
          <w:tcPr>
            <w:tcW w:w="1350" w:type="dxa"/>
          </w:tcPr>
          <w:p w14:paraId="4857FA1B" w14:textId="28DD64D4" w:rsidR="0090359A" w:rsidRPr="00B424FD" w:rsidRDefault="008576F9"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40%</w:t>
            </w:r>
          </w:p>
        </w:tc>
        <w:tc>
          <w:tcPr>
            <w:tcW w:w="1016" w:type="dxa"/>
          </w:tcPr>
          <w:p w14:paraId="440AF381" w14:textId="013991F4" w:rsidR="0090359A" w:rsidRPr="00B424FD" w:rsidRDefault="008576F9"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{"citationID":"5t9v32uY","properties":{"formattedCitation":"[16]","plainCitation":"[16]","noteIndex":0},"citationItems":[{"id":409,"uris":["http://zotero.org/users/9663344/items/S8TLUVMP"],"itemData":{"id":409,"type":"article-journal","container-title":"The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[16]</w:t>
            </w:r>
            <w:r w:rsidRPr="00B424FD">
              <w:rPr>
                <w:rFonts w:eastAsia="Times New Roman" w:cs="Times New Roman"/>
                <w:color w:val="000000" w:themeColor="text1"/>
                <w:kern w:val="0"/>
                <w:szCs w:val="20"/>
                <w:lang w:val="en-GB"/>
                <w14:ligatures w14:val="none"/>
              </w:rPr>
              <w:fldChar w:fldCharType="end"/>
            </w:r>
          </w:p>
        </w:tc>
      </w:tr>
      <w:tr w:rsidR="00BA2AB7" w:rsidRPr="00B424FD" w14:paraId="4BCA9D03" w14:textId="77777777" w:rsidTr="00FB7950">
        <w:tc>
          <w:tcPr>
            <w:tcW w:w="360" w:type="dxa"/>
          </w:tcPr>
          <w:p w14:paraId="505376B2" w14:textId="406A08A4" w:rsidR="00BA2AB7"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DengXian" w:hAnsi="Cambria Math" w:cs="Times New Roman"/>
                        <w:i/>
                        <w:iCs/>
                        <w:color w:val="000000" w:themeColor="text1"/>
                        <w:kern w:val="0"/>
                        <w:szCs w:val="20"/>
                        <w:lang w:val="en-GB"/>
                        <w14:ligatures w14:val="none"/>
                      </w:rPr>
                    </m:ctrlPr>
                  </m:sSubPr>
                  <m:e>
                    <m:r>
                      <w:rPr>
                        <w:rFonts w:ascii="Cambria Math" w:eastAsia="DengXian" w:hAnsi="Cambria Math" w:cs="Times New Roman"/>
                        <w:color w:val="000000" w:themeColor="text1"/>
                        <w:kern w:val="0"/>
                        <w:szCs w:val="20"/>
                        <w:lang w:val="en-GB"/>
                        <w14:ligatures w14:val="none"/>
                      </w:rPr>
                      <m:t>e</m:t>
                    </m:r>
                  </m:e>
                  <m:sub>
                    <m:r>
                      <w:rPr>
                        <w:rFonts w:ascii="Cambria Math" w:eastAsia="DengXian" w:hAnsi="Cambria Math" w:cs="Times New Roman"/>
                        <w:color w:val="000000" w:themeColor="text1"/>
                        <w:kern w:val="0"/>
                        <w:szCs w:val="20"/>
                        <w:lang w:val="en-GB"/>
                        <w14:ligatures w14:val="none"/>
                      </w:rPr>
                      <m:t>vd</m:t>
                    </m:r>
                  </m:sub>
                </m:sSub>
              </m:oMath>
            </m:oMathPara>
          </w:p>
        </w:tc>
        <w:tc>
          <w:tcPr>
            <w:tcW w:w="6300" w:type="dxa"/>
          </w:tcPr>
          <w:p w14:paraId="2CFD7750" w14:textId="25040467" w:rsidR="00BA2AB7" w:rsidRPr="00B424FD" w:rsidRDefault="00BA2AB7"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Combined efficacy of doxy-PEP and 4CMenB against gonorrhoea infection</w:t>
            </w:r>
          </w:p>
        </w:tc>
        <w:tc>
          <w:tcPr>
            <w:tcW w:w="1350" w:type="dxa"/>
          </w:tcPr>
          <w:p w14:paraId="12D6FA14" w14:textId="007C2C79" w:rsidR="00BA2AB7" w:rsidRPr="00B424FD" w:rsidRDefault="00BA2AB7"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53.2%</w:t>
            </w:r>
            <w:r w:rsidRPr="00B424FD">
              <w:rPr>
                <w:rStyle w:val="FootnoteReference"/>
                <w:rFonts w:eastAsia="Times New Roman" w:cs="Times New Roman"/>
                <w:color w:val="000000" w:themeColor="text1"/>
                <w:kern w:val="0"/>
                <w:szCs w:val="20"/>
                <w:lang w:val="en-GB"/>
                <w14:ligatures w14:val="none"/>
              </w:rPr>
              <w:footnoteReference w:id="6"/>
            </w:r>
          </w:p>
        </w:tc>
        <w:tc>
          <w:tcPr>
            <w:tcW w:w="1016" w:type="dxa"/>
          </w:tcPr>
          <w:p w14:paraId="5C4485B7" w14:textId="29F877A9" w:rsidR="00BA2AB7" w:rsidRPr="00B424FD" w:rsidRDefault="00BA2AB7"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804703" w:rsidRPr="00B424FD" w14:paraId="7DACFBA3" w14:textId="732C697C" w:rsidTr="00FB7950">
        <w:tc>
          <w:tcPr>
            <w:tcW w:w="360" w:type="dxa"/>
          </w:tcPr>
          <w:p w14:paraId="355ED9D7" w14:textId="40DF9D48"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d</m:t>
                    </m:r>
                  </m:sub>
                </m:sSub>
              </m:oMath>
            </m:oMathPara>
          </w:p>
        </w:tc>
        <w:tc>
          <w:tcPr>
            <w:tcW w:w="6300" w:type="dxa"/>
          </w:tcPr>
          <w:p w14:paraId="12D7D903" w14:textId="5A394676"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Uptake of doxy-PEP for syphilis</w:t>
            </w:r>
          </w:p>
        </w:tc>
        <w:tc>
          <w:tcPr>
            <w:tcW w:w="1350" w:type="dxa"/>
          </w:tcPr>
          <w:p w14:paraId="3BF16A30" w14:textId="6DBD8389"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0-100%</w:t>
            </w:r>
          </w:p>
        </w:tc>
        <w:tc>
          <w:tcPr>
            <w:tcW w:w="1016" w:type="dxa"/>
          </w:tcPr>
          <w:p w14:paraId="09D7C125" w14:textId="7FE3FA5C"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804703" w:rsidRPr="00B424FD" w14:paraId="2B2479D5" w14:textId="35196F1A" w:rsidTr="00FB7950">
        <w:tc>
          <w:tcPr>
            <w:tcW w:w="360" w:type="dxa"/>
          </w:tcPr>
          <w:p w14:paraId="55A89678" w14:textId="52D15972"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v</m:t>
                    </m:r>
                  </m:sub>
                </m:sSub>
              </m:oMath>
            </m:oMathPara>
          </w:p>
        </w:tc>
        <w:tc>
          <w:tcPr>
            <w:tcW w:w="6300" w:type="dxa"/>
          </w:tcPr>
          <w:p w14:paraId="3FA1541C" w14:textId="5B737D1E"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Uptake of 4CMenB for gonorrhoea</w:t>
            </w:r>
          </w:p>
        </w:tc>
        <w:tc>
          <w:tcPr>
            <w:tcW w:w="1350" w:type="dxa"/>
          </w:tcPr>
          <w:p w14:paraId="4D59A842" w14:textId="54CD4944"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0-100%</w:t>
            </w:r>
          </w:p>
        </w:tc>
        <w:tc>
          <w:tcPr>
            <w:tcW w:w="1016" w:type="dxa"/>
          </w:tcPr>
          <w:p w14:paraId="2BC7F6F0" w14:textId="68088CA3"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804703" w:rsidRPr="00B424FD" w14:paraId="03E90163" w14:textId="31591B66" w:rsidTr="00FB7950">
        <w:tc>
          <w:tcPr>
            <w:tcW w:w="360" w:type="dxa"/>
          </w:tcPr>
          <w:p w14:paraId="337ED82A" w14:textId="4C8E457A"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n</m:t>
                    </m:r>
                  </m:sub>
                </m:sSub>
              </m:oMath>
            </m:oMathPara>
          </w:p>
        </w:tc>
        <w:tc>
          <w:tcPr>
            <w:tcW w:w="6300" w:type="dxa"/>
          </w:tcPr>
          <w:p w14:paraId="243798AE" w14:textId="58A45403"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Discontinuation rate of doxy-PEP for syphilis</w:t>
            </w:r>
          </w:p>
        </w:tc>
        <w:tc>
          <w:tcPr>
            <w:tcW w:w="1350" w:type="dxa"/>
          </w:tcPr>
          <w:p w14:paraId="15F27FB9" w14:textId="1B903BE7"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0.362</w:t>
            </w:r>
          </w:p>
        </w:tc>
        <w:tc>
          <w:tcPr>
            <w:tcW w:w="1016" w:type="dxa"/>
          </w:tcPr>
          <w:p w14:paraId="427CD319" w14:textId="377B23BC"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{"citationID":"vZC2KeRk","properties":{"formattedCitation":"[30]","plainCitation":"[30]","noteIndex":0},"citationItems":[{"id":151,"uris":["http://zotero.org/users/9663344/items/MXEW8URU"],"itemData":{"id":151,"type":"article-journal","abstract":"Background Poor adherence to oral HIV pre-exposure prophylaxis (PrEP) diminishes its clinical and public health benefits. This study synthesises evidence regarding discontinuation, adherence, and reinitiation of PrEP among geographically diverse PrEP users.","container-title":"The Lancet HIV","DOI":"10.1016/S2352-3018(22)00030-3","ISSN":"23523018","issue":"4","journalAbbreviation":"The Lancet HIV","language":"en","page":"e254-e268","source":"DOI.org (Crossref)","title":"Discontinuation, suboptimal adherence, and reinitiation of oral HIV pre-exposure prophylaxis: a global systematic review and meta-analysis","title-short":"Discontinuation, suboptimal adherence, and reinitiation of oral HIV pre-exposure prophylaxis","volume":"9","author":[{"family":"Zhang","given":"Jing"},{"family":"Li","given":"Chunyan"},{"family":"Xu","given":"Junjie"},{"family":"Hu","given":"Zhili"},{"family":"Rutstein","given":"Sarah E"},{"family":"Tucker","given":"Joseph D"},{"family":"Ong","given":"Jason J"},{"family":"Jiang","given":"Yongjun"},{"family":"Geng","given":"Wenqing"},{"family":"Wright","given":"Sarah T"},{"family":"Cohen","given":"Myron S"},{"family":"Shang","given":"Hong"},{"family":"Tang","given":"Weiming"}],"issued":{"date-parts":[["2022",4]]}}}],"schema":"https://github.com/citation-style-language/schema/raw/master/csl-citation.json"}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[30]</w:t>
            </w:r>
            <w:r w:rsidRPr="00B424FD">
              <w:rPr>
                <w:rFonts w:eastAsia="Times New Roman" w:cs="Times New Roman"/>
                <w:color w:val="000000" w:themeColor="text1"/>
                <w:kern w:val="0"/>
                <w:szCs w:val="20"/>
                <w:lang w:val="en-GB"/>
                <w14:ligatures w14:val="none"/>
              </w:rPr>
              <w:fldChar w:fldCharType="end"/>
            </w:r>
          </w:p>
        </w:tc>
      </w:tr>
      <w:tr w:rsidR="00804703" w:rsidRPr="00B424FD" w14:paraId="111A6694" w14:textId="49BB4504" w:rsidTr="00FB7950">
        <w:tc>
          <w:tcPr>
            <w:tcW w:w="360" w:type="dxa"/>
          </w:tcPr>
          <w:p w14:paraId="127EFC57" w14:textId="04F370D3"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d</m:t>
                    </m:r>
                  </m:sub>
                </m:sSub>
              </m:oMath>
            </m:oMathPara>
          </w:p>
        </w:tc>
        <w:tc>
          <w:tcPr>
            <w:tcW w:w="6300" w:type="dxa"/>
          </w:tcPr>
          <w:p w14:paraId="2CA355AC" w14:textId="0430F9C8" w:rsidR="0090359A" w:rsidRPr="00B424FD" w:rsidRDefault="00FB7950"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2" w:name="_Hlk212668069"/>
            <w:r w:rsidRPr="00B424FD">
              <w:rPr>
                <w:rFonts w:eastAsia="Times New Roman" w:cs="Times New Roman"/>
                <w:color w:val="000000" w:themeColor="text1"/>
                <w:kern w:val="0"/>
                <w:szCs w:val="20"/>
                <w:lang w:val="en-GB"/>
                <w14:ligatures w14:val="none"/>
              </w:rPr>
              <w:t>Waning rate</w:t>
            </w:r>
            <w:r w:rsidR="0090359A" w:rsidRPr="00B424FD">
              <w:rPr>
                <w:rFonts w:eastAsia="Times New Roman" w:cs="Times New Roman"/>
                <w:color w:val="000000" w:themeColor="text1"/>
                <w:kern w:val="0"/>
                <w:szCs w:val="20"/>
                <w:lang w:val="en-GB"/>
                <w14:ligatures w14:val="none"/>
              </w:rPr>
              <w:t xml:space="preserve"> of 4CMenB</w:t>
            </w:r>
            <w:bookmarkEnd w:id="2"/>
          </w:p>
        </w:tc>
        <w:tc>
          <w:tcPr>
            <w:tcW w:w="1350" w:type="dxa"/>
          </w:tcPr>
          <w:p w14:paraId="7E546F3E" w14:textId="3846F219" w:rsidR="0090359A" w:rsidRPr="00B424FD" w:rsidRDefault="00FB7950"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0.33</w:t>
            </w:r>
            <w:r w:rsidR="00B1021E" w:rsidRPr="00B424FD">
              <w:rPr>
                <w:rStyle w:val="FootnoteReference"/>
                <w:rFonts w:eastAsia="Times New Roman" w:cs="Times New Roman"/>
                <w:color w:val="000000" w:themeColor="text1"/>
                <w:kern w:val="0"/>
                <w:szCs w:val="20"/>
                <w:lang w:val="en-GB"/>
                <w14:ligatures w14:val="none"/>
              </w:rPr>
              <w:footnoteReference w:id="7"/>
            </w:r>
            <w:r w:rsidR="00B1021E" w:rsidRPr="00B424FD">
              <w:rPr>
                <w:rFonts w:eastAsia="Times New Roman" w:cs="Times New Roman"/>
                <w:color w:val="000000" w:themeColor="text1"/>
                <w:kern w:val="0"/>
                <w:szCs w:val="20"/>
                <w:lang w:val="en-GB"/>
                <w14:ligatures w14:val="none"/>
              </w:rPr>
              <w:t xml:space="preserve"> or </w:t>
            </w:r>
            <w:r w:rsidRPr="00B424FD">
              <w:rPr>
                <w:rFonts w:eastAsia="Times New Roman" w:cs="Times New Roman"/>
                <w:color w:val="000000" w:themeColor="text1"/>
                <w:kern w:val="0"/>
                <w:szCs w:val="20"/>
                <w:lang w:val="en-GB"/>
                <w14:ligatures w14:val="none"/>
              </w:rPr>
              <w:t>0.20</w:t>
            </w:r>
            <w:r w:rsidR="00B1021E" w:rsidRPr="00B424FD">
              <w:rPr>
                <w:rStyle w:val="FootnoteReference"/>
                <w:rFonts w:eastAsia="Times New Roman" w:cs="Times New Roman"/>
                <w:color w:val="000000" w:themeColor="text1"/>
                <w:kern w:val="0"/>
                <w:szCs w:val="20"/>
                <w:lang w:val="en-GB"/>
                <w14:ligatures w14:val="none"/>
              </w:rPr>
              <w:footnoteReference w:id="8"/>
            </w:r>
          </w:p>
        </w:tc>
        <w:tc>
          <w:tcPr>
            <w:tcW w:w="1016" w:type="dxa"/>
          </w:tcPr>
          <w:p w14:paraId="3053899D" w14:textId="3458812A" w:rsidR="0090359A" w:rsidRPr="00B424FD" w:rsidRDefault="00366B64"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1E6F22">
              <w:rPr>
                <w:rFonts w:eastAsia="Times New Roman" w:cs="Times New Roman"/>
                <w:color w:val="000000" w:themeColor="text1"/>
                <w:kern w:val="0"/>
                <w:szCs w:val="20"/>
                <w:lang w:val="en-GB"/>
                <w14:ligatures w14:val="none"/>
              </w:rPr>
              <w:instrText xml:space="preserve"> ADDIN ZOTERO_ITEM CSL_CITATION {"citationID":"5iIbOeWb","properties":{"unsorted":false,"formattedCitation":"[31], [32]","plainCitation":"[31], [32]","noteIndex":0},"citationItems":[{"id":464,"uris":["http://zotero.org/users/9663344/items/89SSBCG8"],"itemData":{"id":464,"type":"article-journal","abstract":"OBJECTIVES: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1E6F22">
              <w:rPr>
                <w:rFonts w:eastAsia="Times New Roman" w:cs="Times New Roman"/>
                <w:color w:val="000000" w:themeColor="text1"/>
                <w:kern w:val="0"/>
                <w:szCs w:val="20"/>
                <w:lang w:val="en-GB"/>
                <w14:ligatures w14:val="none"/>
              </w:rPr>
              <w:t>[31], [32]</w:t>
            </w:r>
            <w:r w:rsidRPr="00B424FD">
              <w:rPr>
                <w:rFonts w:eastAsia="Times New Roman" w:cs="Times New Roman"/>
                <w:color w:val="000000" w:themeColor="text1"/>
                <w:kern w:val="0"/>
                <w:szCs w:val="20"/>
                <w:lang w:val="en-GB"/>
                <w14:ligatures w14:val="none"/>
              </w:rPr>
              <w:fldChar w:fldCharType="end"/>
            </w:r>
          </w:p>
        </w:tc>
      </w:tr>
    </w:tbl>
    <w:p w14:paraId="222CBCA0" w14:textId="3871FFA1" w:rsidR="007C39C6" w:rsidRPr="00B424FD" w:rsidRDefault="00DB3DC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B424FD">
        <w:rPr>
          <w:rFonts w:ascii="Times New Roman" w:hAnsi="Times New Roman" w:cs="Times New Roman"/>
          <w:color w:val="000000" w:themeColor="text1"/>
          <w:kern w:val="0"/>
          <w:sz w:val="20"/>
          <w:szCs w:val="20"/>
          <w:lang w:val="en-GB"/>
          <w14:ligatures w14:val="none"/>
        </w:rPr>
        <w:t>Compartmental model equations</w:t>
      </w:r>
      <w:r w:rsidR="00D06293" w:rsidRPr="00B424FD">
        <w:rPr>
          <w:rFonts w:ascii="Times New Roman" w:hAnsi="Times New Roman" w:cs="Times New Roman"/>
          <w:color w:val="000000" w:themeColor="text1"/>
          <w:kern w:val="0"/>
          <w:sz w:val="20"/>
          <w:szCs w:val="20"/>
          <w:lang w:val="en-GB"/>
          <w14:ligatures w14:val="none"/>
        </w:rPr>
        <w:t xml:space="preserve"> (</w:t>
      </w:r>
      <w:r w:rsidR="00D06293" w:rsidRPr="00B424FD">
        <w:rPr>
          <w:rFonts w:ascii="Times New Roman" w:hAnsi="Times New Roman" w:cs="Times New Roman"/>
          <w:b/>
          <w:bCs/>
          <w:color w:val="000000" w:themeColor="text1"/>
          <w:kern w:val="0"/>
          <w:sz w:val="20"/>
          <w:szCs w:val="20"/>
          <w:lang w:val="en-GB"/>
          <w14:ligatures w14:val="none"/>
        </w:rPr>
        <w:t>subscript denotes strat</w:t>
      </w:r>
      <w:r w:rsidR="00914662" w:rsidRPr="00B424FD">
        <w:rPr>
          <w:rFonts w:ascii="Times New Roman" w:hAnsi="Times New Roman" w:cs="Times New Roman"/>
          <w:b/>
          <w:bCs/>
          <w:color w:val="000000" w:themeColor="text1"/>
          <w:kern w:val="0"/>
          <w:sz w:val="20"/>
          <w:szCs w:val="20"/>
          <w:lang w:val="en-GB"/>
          <w14:ligatures w14:val="none"/>
        </w:rPr>
        <w:t>um</w:t>
      </w:r>
      <w:r w:rsidR="00D06293" w:rsidRPr="00B424FD">
        <w:rPr>
          <w:rFonts w:ascii="Times New Roman" w:hAnsi="Times New Roman" w:cs="Times New Roman"/>
          <w:b/>
          <w:bCs/>
          <w:color w:val="000000" w:themeColor="text1"/>
          <w:kern w:val="0"/>
          <w:sz w:val="20"/>
          <w:szCs w:val="20"/>
          <w:lang w:val="en-GB"/>
          <w14:ligatures w14:val="none"/>
        </w:rPr>
        <w:t xml:space="preserve"> </w:t>
      </w:r>
      <m:oMath>
        <m:r>
          <m:rPr>
            <m:sty m:val="bi"/>
          </m:rPr>
          <w:rPr>
            <w:rFonts w:ascii="Cambria Math" w:hAnsi="Cambria Math" w:cs="Times New Roman"/>
            <w:color w:val="000000" w:themeColor="text1"/>
            <w:sz w:val="20"/>
            <w:szCs w:val="20"/>
            <w:lang w:val="en-GB"/>
          </w:rPr>
          <m:t>i∈</m:t>
        </m:r>
        <m:d>
          <m:dPr>
            <m:begChr m:val="{"/>
            <m:endChr m:val="}"/>
            <m:ctrlPr>
              <w:rPr>
                <w:rFonts w:ascii="Cambria Math" w:hAnsi="Cambria Math" w:cs="Times New Roman"/>
                <w:b/>
                <w:bCs/>
                <w:i/>
                <w:color w:val="000000" w:themeColor="text1"/>
                <w:sz w:val="20"/>
                <w:szCs w:val="20"/>
                <w:lang w:val="en-GB"/>
              </w:rPr>
            </m:ctrlPr>
          </m:dPr>
          <m:e>
            <m:r>
              <m:rPr>
                <m:sty m:val="bi"/>
              </m:rPr>
              <w:rPr>
                <w:rFonts w:ascii="Cambria Math" w:hAnsi="Cambria Math" w:cs="Times New Roman"/>
                <w:color w:val="000000" w:themeColor="text1"/>
                <w:sz w:val="20"/>
                <w:szCs w:val="20"/>
                <w:lang w:val="en-GB"/>
              </w:rPr>
              <m:t>N,D,V,M</m:t>
            </m:r>
          </m:e>
        </m:d>
      </m:oMath>
      <w:r w:rsidR="00D06293" w:rsidRPr="00B424FD">
        <w:rPr>
          <w:rFonts w:ascii="Times New Roman" w:hAnsi="Times New Roman" w:cs="Times New Roman"/>
          <w:b/>
          <w:bCs/>
          <w:color w:val="000000" w:themeColor="text1"/>
          <w:sz w:val="20"/>
          <w:szCs w:val="20"/>
          <w:lang w:val="en-GB"/>
        </w:rPr>
        <w:t xml:space="preserve"> and risk group </w:t>
      </w:r>
      <m:oMath>
        <m:r>
          <m:rPr>
            <m:sty m:val="bi"/>
          </m:rPr>
          <w:rPr>
            <w:rFonts w:ascii="Cambria Math" w:hAnsi="Cambria Math" w:cs="Times New Roman"/>
            <w:color w:val="000000" w:themeColor="text1"/>
            <w:sz w:val="20"/>
            <w:szCs w:val="20"/>
            <w:lang w:val="en-GB"/>
          </w:rPr>
          <m:t>j∈</m:t>
        </m:r>
        <m:d>
          <m:dPr>
            <m:begChr m:val="{"/>
            <m:endChr m:val="}"/>
            <m:ctrlPr>
              <w:rPr>
                <w:rFonts w:ascii="Cambria Math" w:hAnsi="Cambria Math" w:cs="Times New Roman"/>
                <w:b/>
                <w:bCs/>
                <w:i/>
                <w:color w:val="000000" w:themeColor="text1"/>
                <w:sz w:val="20"/>
                <w:szCs w:val="20"/>
                <w:lang w:val="en-GB"/>
              </w:rPr>
            </m:ctrlPr>
          </m:dPr>
          <m:e>
            <m:r>
              <m:rPr>
                <m:sty m:val="bi"/>
              </m:rPr>
              <w:rPr>
                <w:rFonts w:ascii="Cambria Math" w:hAnsi="Cambria Math" w:cs="Times New Roman"/>
                <w:color w:val="000000" w:themeColor="text1"/>
                <w:sz w:val="20"/>
                <w:szCs w:val="20"/>
                <w:lang w:val="en-GB"/>
              </w:rPr>
              <m:t>H,L</m:t>
            </m:r>
          </m:e>
        </m:d>
      </m:oMath>
      <w:r w:rsidR="00D06293" w:rsidRPr="00B424FD">
        <w:rPr>
          <w:rFonts w:ascii="Times New Roman" w:hAnsi="Times New Roman" w:cs="Times New Roman"/>
          <w:b/>
          <w:bCs/>
          <w:color w:val="000000" w:themeColor="text1"/>
          <w:sz w:val="20"/>
          <w:szCs w:val="20"/>
          <w:lang w:val="en-GB"/>
        </w:rPr>
        <w:t>,</w:t>
      </w:r>
      <w:r w:rsidR="00A21F6D" w:rsidRPr="00B424FD">
        <w:rPr>
          <w:rFonts w:ascii="Times New Roman" w:hAnsi="Times New Roman" w:cs="Times New Roman"/>
          <w:b/>
          <w:bCs/>
          <w:color w:val="000000" w:themeColor="text1"/>
          <w:sz w:val="20"/>
          <w:szCs w:val="20"/>
          <w:lang w:val="en-GB"/>
        </w:rPr>
        <w:t xml:space="preserve"> separated by comma, </w:t>
      </w:r>
      <w:r w:rsidR="00D06293" w:rsidRPr="00B424FD">
        <w:rPr>
          <w:rFonts w:ascii="Times New Roman" w:hAnsi="Times New Roman" w:cs="Times New Roman"/>
          <w:b/>
          <w:bCs/>
          <w:color w:val="000000" w:themeColor="text1"/>
          <w:sz w:val="20"/>
          <w:szCs w:val="20"/>
          <w:lang w:val="en-GB"/>
        </w:rPr>
        <w:t xml:space="preserve">superscript denotes strain </w:t>
      </w:r>
      <m:oMath>
        <m:r>
          <m:rPr>
            <m:sty m:val="bi"/>
          </m:rPr>
          <w:rPr>
            <w:rFonts w:ascii="Cambria Math" w:hAnsi="Cambria Math" w:cs="Times New Roman"/>
            <w:color w:val="000000" w:themeColor="text1"/>
            <w:sz w:val="20"/>
            <w:szCs w:val="20"/>
            <w:lang w:val="en-GB"/>
          </w:rPr>
          <m:t>k∈</m:t>
        </m:r>
        <m:d>
          <m:dPr>
            <m:begChr m:val="{"/>
            <m:endChr m:val="}"/>
            <m:ctrlPr>
              <w:rPr>
                <w:rFonts w:ascii="Cambria Math" w:hAnsi="Cambria Math" w:cs="Times New Roman"/>
                <w:b/>
                <w:bCs/>
                <w:i/>
                <w:color w:val="000000" w:themeColor="text1"/>
                <w:sz w:val="20"/>
                <w:szCs w:val="20"/>
                <w:lang w:val="en-GB"/>
              </w:rPr>
            </m:ctrlPr>
          </m:dPr>
          <m:e>
            <m:r>
              <m:rPr>
                <m:sty m:val="bi"/>
              </m:rPr>
              <w:rPr>
                <w:rFonts w:ascii="Cambria Math" w:hAnsi="Cambria Math" w:cs="Times New Roman"/>
                <w:color w:val="000000" w:themeColor="text1"/>
                <w:sz w:val="20"/>
                <w:szCs w:val="20"/>
                <w:lang w:val="en-GB"/>
              </w:rPr>
              <m:t>0, c, t, d</m:t>
            </m:r>
            <m:r>
              <m:rPr>
                <m:sty m:val="bi"/>
              </m:rPr>
              <w:rPr>
                <w:rFonts w:ascii="Cambria Math" w:hAnsi="Cambria Math" w:cs="Times New Roman"/>
                <w:color w:val="000000" w:themeColor="text1"/>
                <w:sz w:val="20"/>
                <w:szCs w:val="20"/>
                <w:lang w:val="en-GB"/>
              </w:rPr>
              <m:t>2</m:t>
            </m:r>
          </m:e>
        </m:d>
      </m:oMath>
      <w:r w:rsidR="00D06293" w:rsidRPr="00B424FD">
        <w:rPr>
          <w:rFonts w:ascii="Times New Roman" w:hAnsi="Times New Roman" w:cs="Times New Roman"/>
          <w:color w:val="000000" w:themeColor="text1"/>
          <w:sz w:val="20"/>
          <w:szCs w:val="20"/>
          <w:lang w:val="en-GB"/>
        </w:rPr>
        <w:t>)</w:t>
      </w:r>
      <w:r w:rsidR="00204018" w:rsidRPr="00B424FD">
        <w:rPr>
          <w:rFonts w:ascii="Times New Roman" w:hAnsi="Times New Roman" w:cs="Times New Roman"/>
          <w:color w:val="000000" w:themeColor="text1"/>
          <w:sz w:val="20"/>
          <w:szCs w:val="20"/>
          <w:lang w:val="en-GB"/>
        </w:rPr>
        <w:t xml:space="preserve">. </w:t>
      </w:r>
      <w:r w:rsidR="007C39C6" w:rsidRPr="00B424FD">
        <w:rPr>
          <w:rFonts w:ascii="Times New Roman" w:hAnsi="Times New Roman" w:cs="Times New Roman"/>
          <w:sz w:val="20"/>
          <w:szCs w:val="20"/>
          <w:lang w:val="en-GB"/>
        </w:rPr>
        <w:t xml:space="preserve">The force of infection, defined as the rate at which susceptible individuals </w:t>
      </w:r>
      <w:r w:rsidR="00223F73" w:rsidRPr="00B424FD">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00223F73"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 xml:space="preserve">in sexual activity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acquire infection,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λ</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007C39C6"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is determined by several factors: the annual rate of partner change within each group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oMath>
      <w:r w:rsidR="007C39C6" w:rsidRPr="00B424FD">
        <w:rPr>
          <w:rFonts w:ascii="Times New Roman" w:hAnsi="Times New Roman" w:cs="Times New Roman"/>
          <w:sz w:val="20"/>
          <w:szCs w:val="20"/>
          <w:lang w:val="en-GB"/>
        </w:rPr>
        <w:t>); the level of assortativity in sexual mixing between groups (</w:t>
      </w:r>
      <m:oMath>
        <m:r>
          <w:rPr>
            <w:rFonts w:ascii="Cambria Math" w:hAnsi="Cambria Math" w:cs="Times New Roman"/>
            <w:sz w:val="20"/>
            <w:szCs w:val="20"/>
            <w:lang w:val="en-GB"/>
          </w:rPr>
          <m:t>ϵ</m:t>
        </m:r>
      </m:oMath>
      <w:r w:rsidR="007C39C6" w:rsidRPr="00B424FD">
        <w:rPr>
          <w:rFonts w:ascii="Times New Roman" w:hAnsi="Times New Roman" w:cs="Times New Roman"/>
          <w:sz w:val="20"/>
          <w:szCs w:val="20"/>
          <w:lang w:val="en-GB"/>
        </w:rPr>
        <w:t xml:space="preserve">, where </w:t>
      </w:r>
      <m:oMath>
        <m:r>
          <w:rPr>
            <w:rFonts w:ascii="Cambria Math" w:hAnsi="Cambria Math" w:cs="Times New Roman"/>
            <w:sz w:val="20"/>
            <w:szCs w:val="20"/>
            <w:lang w:val="en-GB"/>
          </w:rPr>
          <m:t>ϵ</m:t>
        </m:r>
      </m:oMath>
      <w:r w:rsidR="007C39C6" w:rsidRPr="00B424FD">
        <w:rPr>
          <w:rFonts w:ascii="Times New Roman" w:hAnsi="Times New Roman" w:cs="Times New Roman"/>
          <w:sz w:val="20"/>
          <w:szCs w:val="20"/>
          <w:lang w:val="en-GB"/>
        </w:rPr>
        <w:t xml:space="preserve"> = 0 represents proportionate mixing and </w:t>
      </w:r>
      <m:oMath>
        <m:r>
          <w:rPr>
            <w:rFonts w:ascii="Cambria Math" w:hAnsi="Cambria Math" w:cs="Times New Roman"/>
            <w:sz w:val="20"/>
            <w:szCs w:val="20"/>
            <w:lang w:val="en-GB"/>
          </w:rPr>
          <m:t>ϵ</m:t>
        </m:r>
      </m:oMath>
      <w:r w:rsidR="007C39C6" w:rsidRPr="00B424FD">
        <w:rPr>
          <w:rFonts w:ascii="Times New Roman" w:hAnsi="Times New Roman" w:cs="Times New Roman"/>
          <w:sz w:val="20"/>
          <w:szCs w:val="20"/>
          <w:lang w:val="en-GB"/>
        </w:rPr>
        <w:t xml:space="preserve"> = 1 represents fully assortative mixing); </w:t>
      </w:r>
      <w:r w:rsidR="007C39C6" w:rsidRPr="00B424FD">
        <w:rPr>
          <w:rFonts w:ascii="Times New Roman" w:hAnsi="Times New Roman" w:cs="Times New Roman"/>
          <w:iCs/>
          <w:sz w:val="20"/>
          <w:szCs w:val="20"/>
          <w:lang w:val="en-GB"/>
        </w:rPr>
        <w:t xml:space="preserve">the total number of contagious individuals </w:t>
      </w:r>
      <w:r w:rsidR="00091063" w:rsidRPr="00B424FD">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00091063"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iCs/>
          <w:sz w:val="20"/>
          <w:szCs w:val="20"/>
          <w:lang w:val="en-GB"/>
        </w:rPr>
        <w:t xml:space="preserve">in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w:t>
      </w:r>
      <m:oMath>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007C39C6" w:rsidRPr="00B424FD">
        <w:rPr>
          <w:rFonts w:ascii="Times New Roman" w:hAnsi="Times New Roman" w:cs="Times New Roman"/>
          <w:iCs/>
          <w:sz w:val="20"/>
          <w:szCs w:val="20"/>
          <w:lang w:val="en-GB"/>
        </w:rPr>
        <w:t xml:space="preserve">); the total population in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oMath>
      <w:r w:rsidR="007C39C6"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 xml:space="preserve">the prevalence of infectious individuals </w:t>
      </w:r>
      <w:r w:rsidR="00727618" w:rsidRPr="00B424FD">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00727618"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in each group (</w:t>
      </w:r>
      <m:oMath>
        <m:f>
          <m:fPr>
            <m:ctrlPr>
              <w:rPr>
                <w:rFonts w:ascii="Cambria Math" w:hAnsi="Cambria Math" w:cs="Times New Roman"/>
                <w:i/>
                <w:iCs/>
                <w:sz w:val="20"/>
                <w:szCs w:val="20"/>
                <w:lang w:val="en-GB"/>
              </w:rPr>
            </m:ctrlPr>
          </m:fPr>
          <m:num>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num>
          <m:den>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den>
        </m:f>
      </m:oMath>
      <w:r w:rsidR="007C39C6" w:rsidRPr="00B424FD">
        <w:rPr>
          <w:rFonts w:ascii="Times New Roman" w:hAnsi="Times New Roman" w:cs="Times New Roman"/>
          <w:sz w:val="20"/>
          <w:szCs w:val="20"/>
          <w:lang w:val="en-GB"/>
        </w:rPr>
        <w:t xml:space="preserve">); the proportion of all partnerships in the population that include an individual from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π</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007C39C6" w:rsidRPr="00B424FD">
        <w:rPr>
          <w:rFonts w:ascii="Times New Roman" w:hAnsi="Times New Roman" w:cs="Times New Roman"/>
          <w:iCs/>
          <w:sz w:val="20"/>
          <w:szCs w:val="20"/>
          <w:lang w:val="en-GB"/>
        </w:rPr>
        <w:t>)</w:t>
      </w:r>
      <w:r w:rsidR="007C39C6" w:rsidRPr="00B424FD">
        <w:rPr>
          <w:rFonts w:ascii="Times New Roman" w:hAnsi="Times New Roman" w:cs="Times New Roman"/>
          <w:sz w:val="20"/>
          <w:szCs w:val="20"/>
          <w:lang w:val="en-GB"/>
        </w:rPr>
        <w:t>; and the transmission probability. The latter is modelled as time-varying, increasing linearly from the baseline transmission rate (</w:t>
      </w:r>
      <m:oMath>
        <m:r>
          <w:rPr>
            <w:rFonts w:ascii="Cambria Math" w:hAnsi="Cambria Math" w:cs="Times New Roman"/>
            <w:sz w:val="20"/>
            <w:szCs w:val="20"/>
            <w:lang w:val="en-GB"/>
          </w:rPr>
          <m:t>β</m:t>
        </m:r>
      </m:oMath>
      <w:r w:rsidR="007C39C6" w:rsidRPr="00B424FD">
        <w:rPr>
          <w:rFonts w:ascii="Times New Roman" w:hAnsi="Times New Roman" w:cs="Times New Roman"/>
          <w:sz w:val="20"/>
          <w:szCs w:val="20"/>
          <w:lang w:val="en-GB"/>
        </w:rPr>
        <w:t xml:space="preserve">) at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007C39C6" w:rsidRPr="00B424FD">
        <w:rPr>
          <w:rFonts w:ascii="Times New Roman" w:hAnsi="Times New Roman" w:cs="Times New Roman"/>
          <w:sz w:val="20"/>
          <w:szCs w:val="20"/>
          <w:lang w:val="en-GB"/>
        </w:rPr>
        <w:t xml:space="preserve">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r>
          <w:rPr>
            <w:rFonts w:ascii="Cambria Math" w:hAnsi="Cambria Math" w:cs="Times New Roman"/>
            <w:sz w:val="20"/>
            <w:szCs w:val="20"/>
            <w:lang w:val="en-GB"/>
          </w:rPr>
          <m:t>=2015</m:t>
        </m:r>
      </m:oMath>
      <w:r w:rsidR="007C39C6" w:rsidRPr="00B424FD">
        <w:rPr>
          <w:rFonts w:ascii="Times New Roman" w:hAnsi="Times New Roman" w:cs="Times New Roman"/>
          <w:sz w:val="20"/>
          <w:szCs w:val="20"/>
          <w:lang w:val="en-GB"/>
        </w:rPr>
        <w:t xml:space="preserve"> for England), with an annual increment of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β</m:t>
            </m:r>
          </m:sub>
        </m:sSub>
      </m:oMath>
      <w:r w:rsidR="007C39C6" w:rsidRPr="00B424FD">
        <w:rPr>
          <w:rFonts w:ascii="Times New Roman" w:hAnsi="Times New Roman" w:cs="Times New Roman"/>
          <w:sz w:val="20"/>
          <w:szCs w:val="20"/>
          <w:lang w:val="en-GB"/>
        </w:rPr>
        <w:t>. The resulting force of infection is expressed as:</w:t>
      </w:r>
    </w:p>
    <w:p w14:paraId="294D1A6C" w14:textId="7078FDEC" w:rsidR="007C39C6" w:rsidRPr="00B424FD" w:rsidRDefault="00000000" w:rsidP="003B3837">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m:t>
                  </m:r>
                </m:e>
              </m:d>
            </m:e>
          </m:eqArr>
          <m:r>
            <m:rPr>
              <m:sty m:val="p"/>
            </m:rPr>
            <w:rPr>
              <w:rFonts w:ascii="Cambria Math" w:hAnsi="Cambria Math"/>
              <w:sz w:val="20"/>
              <w:szCs w:val="20"/>
              <w:lang w:val="en-GB"/>
            </w:rPr>
            <w:br/>
          </m:r>
        </m:oMath>
      </m:oMathPara>
      <w:proofErr w:type="gramStart"/>
      <w:r w:rsidR="007C39C6" w:rsidRPr="00B424FD">
        <w:rPr>
          <w:iCs/>
          <w:sz w:val="20"/>
          <w:szCs w:val="20"/>
          <w:lang w:val="en-GB"/>
        </w:rPr>
        <w:t>where</w:t>
      </w:r>
      <w:proofErr w:type="gramEnd"/>
    </w:p>
    <w:p w14:paraId="0DFB61FA" w14:textId="5CA29B44" w:rsidR="007C39C6" w:rsidRPr="00B424FD" w:rsidRDefault="00000000" w:rsidP="003B3837">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i,j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m:t>
                  </m:r>
                </m:e>
              </m:d>
            </m:e>
          </m:eqArr>
        </m:oMath>
      </m:oMathPara>
    </w:p>
    <w:p w14:paraId="7F463A35" w14:textId="1F1502A9" w:rsidR="00B06488" w:rsidRPr="00B424FD" w:rsidRDefault="00B06488"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The parameter </w:t>
      </w:r>
      <m:oMath>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oMath>
      <w:r w:rsidRPr="00B424FD">
        <w:rPr>
          <w:rFonts w:ascii="Times New Roman" w:hAnsi="Times New Roman" w:cs="Times New Roman"/>
          <w:sz w:val="20"/>
          <w:szCs w:val="20"/>
          <w:lang w:val="en-GB"/>
        </w:rPr>
        <w:t xml:space="preserve"> was assumed to be identical across all four strains. This parameter represents the temporal modulation of transmission intensity, capturing gradual changes in effective contact or transmission probability over time (e.g., due to behavioural shifts, intervention uptake, or secular trends). As such, </w:t>
      </w:r>
      <m:oMath>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oMath>
      <w:r w:rsidRPr="00B424FD">
        <w:rPr>
          <w:rFonts w:ascii="Times New Roman" w:hAnsi="Times New Roman" w:cs="Times New Roman"/>
          <w:iCs/>
          <w:sz w:val="20"/>
          <w:szCs w:val="20"/>
          <w:lang w:val="en-GB"/>
        </w:rPr>
        <w:t xml:space="preserve"> </w:t>
      </w:r>
      <w:r w:rsidRPr="00B424FD">
        <w:rPr>
          <w:rFonts w:ascii="Times New Roman" w:hAnsi="Times New Roman" w:cs="Times New Roman"/>
          <w:sz w:val="20"/>
          <w:szCs w:val="20"/>
          <w:lang w:val="en-GB"/>
        </w:rPr>
        <w:t xml:space="preserve">reflects population-level dynamics rather than strain-specific biological properties. Allowing strain-specific </w:t>
      </w:r>
      <m:oMath>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oMath>
      <w:r w:rsidRPr="00B424FD">
        <w:rPr>
          <w:rFonts w:ascii="Times New Roman" w:hAnsi="Times New Roman" w:cs="Times New Roman"/>
          <w:sz w:val="20"/>
          <w:szCs w:val="20"/>
          <w:lang w:val="en-GB"/>
        </w:rPr>
        <w:t xml:space="preserve">​ would imply that each strain experiences a distinct time-varying change in transmissibility driven by external factors, which is not strongly supported by empirical evidence in this context. Moreover, introducing separate </w:t>
      </w:r>
      <m:oMath>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oMath>
      <w:r w:rsidRPr="00B424FD">
        <w:rPr>
          <w:rFonts w:ascii="Times New Roman" w:hAnsi="Times New Roman" w:cs="Times New Roman"/>
          <w:sz w:val="20"/>
          <w:szCs w:val="20"/>
          <w:lang w:val="en-GB"/>
        </w:rPr>
        <w:t xml:space="preserve">​ parameters for each strain would substantially increase model complexity and exacerbate parameter non-identifiability, particularly given that the available surveillance data are not strain-resolved. By contrast, maintaining a shared </w:t>
      </w:r>
      <m:oMath>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oMath>
      <w:r w:rsidRPr="00B424FD">
        <w:rPr>
          <w:rFonts w:ascii="Times New Roman" w:hAnsi="Times New Roman" w:cs="Times New Roman"/>
          <w:sz w:val="20"/>
          <w:szCs w:val="20"/>
          <w:lang w:val="en-GB"/>
        </w:rPr>
        <w:t xml:space="preserve">​ across </w:t>
      </w:r>
      <w:r w:rsidRPr="00B424FD">
        <w:rPr>
          <w:rFonts w:ascii="Times New Roman" w:hAnsi="Times New Roman" w:cs="Times New Roman"/>
          <w:sz w:val="20"/>
          <w:szCs w:val="20"/>
          <w:lang w:val="en-GB"/>
        </w:rPr>
        <w:lastRenderedPageBreak/>
        <w:t xml:space="preserve">strains ensures parsimony while preserving the ability to capture temporal trends in transmission. This assumption is consistent with the interpretation that changes in behaviour, healthcare access, or intervention coverage affect all circulating strains similarly. Therefore, a common </w:t>
      </w:r>
      <m:oMath>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oMath>
      <w:r w:rsidRPr="00B424FD">
        <w:rPr>
          <w:rFonts w:ascii="Times New Roman" w:hAnsi="Times New Roman" w:cs="Times New Roman"/>
          <w:iCs/>
          <w:sz w:val="20"/>
          <w:szCs w:val="20"/>
          <w:lang w:val="en-GB"/>
        </w:rPr>
        <w:t xml:space="preserve"> </w:t>
      </w:r>
      <w:r w:rsidRPr="00B424FD">
        <w:rPr>
          <w:rFonts w:ascii="Times New Roman" w:hAnsi="Times New Roman" w:cs="Times New Roman"/>
          <w:sz w:val="20"/>
          <w:szCs w:val="20"/>
          <w:lang w:val="en-GB"/>
        </w:rPr>
        <w:t>provides a biologically and epidemiologically plausible representation of time-varying transmission while improving parameter identifiability and model robustness.</w:t>
      </w:r>
    </w:p>
    <w:p w14:paraId="7FEA64E5" w14:textId="7382E2DD" w:rsidR="007C39C6" w:rsidRPr="00B424FD" w:rsidRDefault="007C39C6"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The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B424FD">
        <w:rPr>
          <w:rFonts w:ascii="Times New Roman" w:hAnsi="Times New Roman" w:cs="Times New Roman"/>
          <w:color w:val="000000"/>
          <w:sz w:val="20"/>
          <w:szCs w:val="20"/>
          <w:lang w:val="en-GB"/>
        </w:rPr>
        <w:t xml:space="preserve">, </w:t>
      </w:r>
      <w:r w:rsidRPr="00B424FD">
        <w:rPr>
          <w:rFonts w:ascii="Times New Roman" w:hAnsi="Times New Roman" w:cs="Times New Roman"/>
          <w:sz w:val="20"/>
          <w:szCs w:val="20"/>
          <w:lang w:val="en-GB"/>
        </w:rPr>
        <w:t xml:space="preserve">defined as testing in the absence of symptoms and thus applicable to asymptomatic or uninfected individuals, varies by sexual activity group. For both groups, the screening rate increases linearly over time, rising by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B424FD">
        <w:rPr>
          <w:rFonts w:ascii="Times New Roman" w:hAnsi="Times New Roman" w:cs="Times New Roman"/>
          <w:sz w:val="20"/>
          <w:szCs w:val="20"/>
          <w:lang w:val="en-GB"/>
        </w:rPr>
        <w:t xml:space="preserve"> each year from the initial rate at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B424FD">
        <w:rPr>
          <w:rFonts w:ascii="Times New Roman" w:hAnsi="Times New Roman" w:cs="Times New Roman"/>
          <w:sz w:val="20"/>
          <w:szCs w:val="20"/>
          <w:lang w:val="en-GB"/>
        </w:rPr>
        <w:t>, as follows:</w:t>
      </w:r>
    </w:p>
    <w:p w14:paraId="5E2DA46B" w14:textId="77777777" w:rsidR="007C39C6" w:rsidRPr="00B424FD" w:rsidRDefault="00000000" w:rsidP="003B3837">
      <w:pPr>
        <w:spacing w:before="100" w:beforeAutospacing="1" w:after="100" w:afterAutospacing="1" w:line="276" w:lineRule="auto"/>
        <w:jc w:val="both"/>
        <w:rPr>
          <w:rFonts w:ascii="Times New Roman" w:hAnsi="Times New Roman" w:cs="Times New Roman"/>
          <w:iCs/>
          <w:sz w:val="20"/>
          <w:szCs w:val="20"/>
          <w:lang w:val="en-GB"/>
        </w:rPr>
      </w:pPr>
      <m:oMathPara>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d>
                <m:dPr>
                  <m:ctrlPr>
                    <w:rPr>
                      <w:rFonts w:ascii="Cambria Math" w:hAnsi="Cambria Math" w:cs="Times New Roman"/>
                      <w:i/>
                      <w:iCs/>
                      <w:sz w:val="20"/>
                      <w:szCs w:val="20"/>
                      <w:lang w:val="en-GB"/>
                    </w:rPr>
                  </m:ctrlPr>
                </m:dPr>
                <m:e>
                  <m:r>
                    <w:rPr>
                      <w:rFonts w:ascii="Cambria Math" w:hAnsi="Cambria Math" w:cs="Times New Roman"/>
                      <w:sz w:val="20"/>
                      <w:szCs w:val="20"/>
                      <w:lang w:val="en-GB"/>
                    </w:rPr>
                    <m:t>1+</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5</m:t>
                  </m:r>
                </m:e>
              </m:d>
            </m:e>
          </m:eqArr>
          <m:r>
            <m:rPr>
              <m:sty m:val="p"/>
            </m:rPr>
            <w:rPr>
              <w:rFonts w:ascii="Cambria Math" w:hAnsi="Cambria Math" w:cs="Times New Roman"/>
              <w:sz w:val="20"/>
              <w:szCs w:val="20"/>
              <w:lang w:val="en-GB"/>
            </w:rPr>
            <w:br/>
          </m:r>
        </m:oMath>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L</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=ω</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6</m:t>
                  </m:r>
                </m:e>
              </m:d>
            </m:e>
          </m:eqArr>
        </m:oMath>
      </m:oMathPara>
    </w:p>
    <w:p w14:paraId="24B0800A" w14:textId="799AF018" w:rsidR="007C39C6" w:rsidRPr="00B424FD" w:rsidRDefault="007C39C6"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To account for differences in behaviour, a factor </w:t>
      </w:r>
      <m:oMath>
        <m:r>
          <w:rPr>
            <w:rFonts w:ascii="Cambria Math" w:hAnsi="Cambria Math" w:cs="Times New Roman"/>
            <w:sz w:val="20"/>
            <w:szCs w:val="20"/>
            <w:lang w:val="en-GB"/>
          </w:rPr>
          <m:t>0&lt;ω&lt;1</m:t>
        </m:r>
      </m:oMath>
      <w:r w:rsidRPr="00B424FD">
        <w:rPr>
          <w:rFonts w:ascii="Times New Roman" w:hAnsi="Times New Roman" w:cs="Times New Roman"/>
          <w:sz w:val="20"/>
          <w:szCs w:val="20"/>
          <w:lang w:val="en-GB"/>
        </w:rPr>
        <w:t xml:space="preserve"> is applied, reflecting that individuals in the low-activity group undergo screening less frequently than those in the high-activity group.</w:t>
      </w:r>
    </w:p>
    <w:p w14:paraId="24FB753C" w14:textId="66B40542" w:rsidR="008C079B" w:rsidRPr="00B424FD" w:rsidRDefault="008C079B" w:rsidP="003B3837">
      <w:p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B424FD">
        <w:rPr>
          <w:rFonts w:ascii="Times New Roman" w:hAnsi="Times New Roman" w:cs="Times New Roman"/>
          <w:color w:val="000000" w:themeColor="text1"/>
          <w:kern w:val="0"/>
          <w:sz w:val="20"/>
          <w:szCs w:val="20"/>
          <w:lang w:val="en-GB"/>
          <w14:ligatures w14:val="none"/>
        </w:rPr>
        <w:t>Compartmental model equations</w:t>
      </w:r>
    </w:p>
    <w:p w14:paraId="7358F8A1" w14:textId="076ABDAE" w:rsidR="00DB3DC4" w:rsidRPr="00B424FD" w:rsidRDefault="00DB3DC4" w:rsidP="003B3837">
      <w:pPr>
        <w:pStyle w:val="ListParagraph"/>
        <w:numPr>
          <w:ilvl w:val="0"/>
          <w:numId w:val="5"/>
        </w:num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B424FD">
        <w:rPr>
          <w:rFonts w:ascii="Times New Roman" w:hAnsi="Times New Roman" w:cs="Times New Roman"/>
          <w:color w:val="000000" w:themeColor="text1"/>
          <w:kern w:val="0"/>
          <w:sz w:val="20"/>
          <w:szCs w:val="20"/>
          <w:lang w:val="en-GB"/>
          <w14:ligatures w14:val="none"/>
        </w:rPr>
        <w:t>For “No Intervention” (N):</w:t>
      </w:r>
    </w:p>
    <w:p w14:paraId="69E2D4A7" w14:textId="44BD403B" w:rsidR="00F14CE2"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oMath>
      </m:oMathPara>
    </w:p>
    <w:p w14:paraId="430E62D5" w14:textId="4620CFEF" w:rsidR="00D337FB" w:rsidRPr="00B424FD" w:rsidRDefault="00D337FB"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B424FD">
        <w:rPr>
          <w:rFonts w:ascii="Times New Roman" w:eastAsia="Times New Roman" w:hAnsi="Times New Roman" w:cs="Times New Roman"/>
          <w:iCs/>
          <w:color w:val="000000" w:themeColor="text1"/>
          <w:kern w:val="0"/>
          <w:sz w:val="20"/>
          <w:szCs w:val="20"/>
          <w:lang w:val="en-GB"/>
          <w14:ligatures w14:val="none"/>
        </w:rPr>
        <w:t>For “Doxy-PEP” (D):</w:t>
      </w:r>
    </w:p>
    <w:p w14:paraId="2A03ACF1" w14:textId="12193681" w:rsidR="00620092"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e>
              </m:d>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18</m:t>
                  </m:r>
                </m:e>
              </m:d>
            </m:e>
          </m:eqArr>
          <m:r>
            <m:rPr>
              <m:sty m:val="p"/>
            </m:rPr>
            <w:rPr>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34</m:t>
                  </m:r>
                </m:e>
              </m:d>
            </m:e>
          </m:eqArr>
        </m:oMath>
      </m:oMathPara>
    </w:p>
    <w:p w14:paraId="602E1DFB" w14:textId="39BA81EA" w:rsidR="002C3F2C" w:rsidRPr="00B424FD" w:rsidRDefault="002C3F2C"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B424FD">
        <w:rPr>
          <w:rFonts w:ascii="Times New Roman" w:eastAsia="Times New Roman" w:hAnsi="Times New Roman" w:cs="Times New Roman"/>
          <w:iCs/>
          <w:color w:val="000000" w:themeColor="text1"/>
          <w:kern w:val="0"/>
          <w:sz w:val="20"/>
          <w:szCs w:val="20"/>
          <w:lang w:val="en-GB"/>
          <w14:ligatures w14:val="none"/>
        </w:rPr>
        <w:lastRenderedPageBreak/>
        <w:t>For “Doxy-PEP+4CMenB” (V):</w:t>
      </w:r>
    </w:p>
    <w:p w14:paraId="00B3CD2A" w14:textId="7B7D6F2D" w:rsidR="00870795"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DengXian" w:hAnsi="Cambria Math" w:cs="Times New Roman"/>
                      <w:i/>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DengXian" w:hAnsi="Cambria Math" w:cs="Times New Roman"/>
                      <w:i/>
                      <w:iCs/>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(1-e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51</m:t>
                  </m:r>
                </m:e>
              </m:d>
            </m:e>
          </m:eqArr>
        </m:oMath>
      </m:oMathPara>
    </w:p>
    <w:p w14:paraId="21B8B8FF" w14:textId="649570B1" w:rsidR="00535D63" w:rsidRPr="00B424FD" w:rsidRDefault="00535D63"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B424FD">
        <w:rPr>
          <w:rFonts w:ascii="Times New Roman" w:eastAsia="Times New Roman" w:hAnsi="Times New Roman" w:cs="Times New Roman"/>
          <w:iCs/>
          <w:color w:val="000000" w:themeColor="text1"/>
          <w:kern w:val="0"/>
          <w:sz w:val="20"/>
          <w:szCs w:val="20"/>
          <w:lang w:val="en-GB"/>
          <w14:ligatures w14:val="none"/>
        </w:rPr>
        <w:t>For “4CMenB” (M):</w:t>
      </w:r>
    </w:p>
    <w:p w14:paraId="00FA7658" w14:textId="37E9BCA2" w:rsidR="006B564D"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eqArr>
                        <m:eqArrPr>
                          <m:ctrlPr>
                            <w:rPr>
                              <w:rFonts w:ascii="Cambria Math" w:eastAsia="Times New Roman" w:hAnsi="Cambria Math" w:cs="Times New Roman"/>
                              <w:i/>
                              <w:color w:val="000000" w:themeColor="text1"/>
                              <w:kern w:val="0"/>
                              <w:sz w:val="20"/>
                              <w:szCs w:val="20"/>
                              <w:lang w:val="en-GB"/>
                              <w14:ligatures w14:val="none"/>
                            </w:rPr>
                          </m:ctrlPr>
                        </m:eqArr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eqArr>
                    </m:e>
                  </m:d>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68</m:t>
                  </m:r>
                </m:e>
              </m:d>
            </m:e>
          </m:eqArr>
        </m:oMath>
      </m:oMathPara>
    </w:p>
    <w:p w14:paraId="087548BE" w14:textId="1A57DF37" w:rsidR="00204018" w:rsidRPr="00B424FD" w:rsidRDefault="00204018"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For each calendar year </w:t>
      </w:r>
      <m:oMath>
        <m:r>
          <w:rPr>
            <w:rFonts w:ascii="Cambria Math" w:hAnsi="Cambria Math" w:cs="Times New Roman"/>
            <w:sz w:val="20"/>
            <w:szCs w:val="20"/>
            <w:lang w:val="en-GB"/>
          </w:rPr>
          <m:t>t</m:t>
        </m:r>
      </m:oMath>
      <w:r w:rsidRPr="00B424FD">
        <w:rPr>
          <w:rFonts w:ascii="Times New Roman" w:hAnsi="Times New Roman" w:cs="Times New Roman"/>
          <w:sz w:val="20"/>
          <w:szCs w:val="20"/>
          <w:lang w:val="en-GB"/>
        </w:rPr>
        <w:t xml:space="preserve">, the total number of </w:t>
      </w:r>
      <w:r w:rsidR="0073291E" w:rsidRPr="00B424FD">
        <w:rPr>
          <w:rFonts w:ascii="Times New Roman" w:hAnsi="Times New Roman" w:cs="Times New Roman"/>
          <w:sz w:val="20"/>
          <w:szCs w:val="20"/>
          <w:lang w:val="en-GB"/>
        </w:rPr>
        <w:t>gonorrhoea infection</w:t>
      </w:r>
      <w:r w:rsidRPr="00B424FD">
        <w:rPr>
          <w:rFonts w:ascii="Times New Roman" w:hAnsi="Times New Roman" w:cs="Times New Roman"/>
          <w:sz w:val="20"/>
          <w:szCs w:val="20"/>
          <w:lang w:val="en-GB"/>
        </w:rPr>
        <w:t xml:space="preserve">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B3080" w:rsidRPr="00B424FD">
        <w:rPr>
          <w:rFonts w:ascii="Times New Roman" w:hAnsi="Times New Roman" w:cs="Times New Roman"/>
          <w:sz w:val="20"/>
          <w:szCs w:val="20"/>
          <w:lang w:val="en-GB"/>
        </w:rPr>
        <w:t xml:space="preserve"> </w:t>
      </w:r>
      <w:r w:rsidR="006A2A59" w:rsidRPr="00B424FD">
        <w:rPr>
          <w:rFonts w:ascii="Times New Roman" w:hAnsi="Times New Roman" w:cs="Times New Roman"/>
          <w:sz w:val="20"/>
          <w:szCs w:val="20"/>
          <w:lang w:val="en-GB"/>
        </w:rPr>
        <w:t xml:space="preserve">across all strata </w:t>
      </w:r>
      <m:oMath>
        <m:r>
          <w:rPr>
            <w:rFonts w:ascii="Cambria Math" w:hAnsi="Cambria Math" w:cs="Times New Roman"/>
            <w:sz w:val="20"/>
            <w:szCs w:val="20"/>
            <w:lang w:val="en-GB"/>
          </w:rPr>
          <m:t>i</m:t>
        </m:r>
        <m:r>
          <m:rPr>
            <m:sty m:val="p"/>
          </m:rPr>
          <w:rPr>
            <w:rFonts w:ascii="Cambria Math" w:hAnsi="Cambria Math" w:cs="Times New Roman"/>
            <w:sz w:val="20"/>
            <w:szCs w:val="20"/>
            <w:lang w:val="en-GB"/>
          </w:rPr>
          <m:t>∈</m:t>
        </m:r>
        <m:r>
          <m:rPr>
            <m:lit/>
            <m:sty m:val="p"/>
          </m:rPr>
          <w:rPr>
            <w:rFonts w:ascii="Cambria Math" w:hAnsi="Cambria Math" w:cs="Times New Roman"/>
            <w:sz w:val="20"/>
            <w:szCs w:val="20"/>
            <w:lang w:val="en-GB"/>
          </w:rPr>
          <m:t>{</m:t>
        </m:r>
        <m:r>
          <w:rPr>
            <w:rFonts w:ascii="Cambria Math" w:hAnsi="Cambria Math" w:cs="Times New Roman"/>
            <w:sz w:val="20"/>
            <w:szCs w:val="20"/>
            <w:lang w:val="en-GB"/>
          </w:rPr>
          <m:t>N,X,D,M</m:t>
        </m:r>
        <m:r>
          <m:rPr>
            <m:lit/>
          </m:rPr>
          <w:rPr>
            <w:rFonts w:ascii="Cambria Math" w:hAnsi="Cambria Math" w:cs="Times New Roman"/>
            <w:sz w:val="20"/>
            <w:szCs w:val="20"/>
            <w:lang w:val="en-GB"/>
          </w:rPr>
          <m:t>}</m:t>
        </m:r>
      </m:oMath>
      <w:r w:rsidR="006A2A59" w:rsidRPr="00B424FD">
        <w:rPr>
          <w:rFonts w:ascii="Times New Roman" w:hAnsi="Times New Roman" w:cs="Times New Roman"/>
          <w:sz w:val="20"/>
          <w:szCs w:val="20"/>
          <w:lang w:val="en-GB"/>
        </w:rPr>
        <w:t xml:space="preserve"> </w:t>
      </w:r>
      <w:r w:rsidR="00AB3080" w:rsidRPr="00B424FD">
        <w:rPr>
          <w:rFonts w:ascii="Times New Roman" w:hAnsi="Times New Roman" w:cs="Times New Roman"/>
          <w:sz w:val="20"/>
          <w:szCs w:val="20"/>
          <w:lang w:val="en-GB"/>
        </w:rPr>
        <w:t xml:space="preserve">for </w:t>
      </w:r>
      <w:r w:rsidR="00AB3080" w:rsidRPr="00B424FD">
        <w:rPr>
          <w:rFonts w:ascii="Times New Roman" w:hAnsi="Times New Roman" w:cs="Times New Roman"/>
          <w:color w:val="000000" w:themeColor="text1"/>
          <w:sz w:val="20"/>
          <w:szCs w:val="20"/>
          <w:lang w:val="en-GB"/>
        </w:rPr>
        <w:t>strain</w:t>
      </w:r>
      <w:r w:rsidR="00B603C7" w:rsidRPr="00B424FD">
        <w:rPr>
          <w:rFonts w:ascii="Times New Roman" w:hAnsi="Times New Roman" w:cs="Times New Roman"/>
          <w:color w:val="000000" w:themeColor="text1"/>
          <w:sz w:val="20"/>
          <w:szCs w:val="20"/>
          <w:lang w:val="en-GB"/>
        </w:rPr>
        <w:t>s</w:t>
      </w:r>
      <w:r w:rsidR="00AB3080" w:rsidRPr="00B424FD">
        <w:rPr>
          <w:rFonts w:ascii="Times New Roman" w:hAnsi="Times New Roman" w:cs="Times New Roman"/>
          <w:color w:val="000000" w:themeColor="text1"/>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B424FD">
        <w:rPr>
          <w:rFonts w:ascii="Times New Roman" w:hAnsi="Times New Roman" w:cs="Times New Roman"/>
          <w:sz w:val="20"/>
          <w:szCs w:val="20"/>
          <w:lang w:val="en-GB"/>
        </w:rPr>
        <w:t>, are as follows:</w:t>
      </w:r>
    </w:p>
    <w:p w14:paraId="06AF85B5" w14:textId="69F779E0" w:rsidR="00D47058" w:rsidRPr="00B424FD" w:rsidRDefault="00000000" w:rsidP="003B3837">
      <w:pPr>
        <w:spacing w:before="100" w:beforeAutospacing="1" w:after="100" w:afterAutospacing="1" w:line="276" w:lineRule="auto"/>
        <w:jc w:val="both"/>
        <w:rPr>
          <w:rFonts w:ascii="Times New Roman" w:hAnsi="Times New Roman" w:cs="Times New Roman"/>
          <w:i/>
          <w:sz w:val="20"/>
          <w:szCs w:val="20"/>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0</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69</m:t>
                  </m:r>
                </m:e>
              </m:d>
              <m:ctrlPr>
                <w:rPr>
                  <w:rFonts w:ascii="Cambria Math" w:hAnsi="Cambria Math" w:cs="Times New Roman"/>
                  <w:i/>
                  <w:sz w:val="20"/>
                  <w:szCs w:val="20"/>
                  <w:lang w:val="en-GB"/>
                </w:rPr>
              </m:ctrlPr>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c</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70</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t</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71</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d2</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72</m:t>
                  </m:r>
                </m:e>
              </m:d>
            </m:e>
          </m:eqArr>
        </m:oMath>
      </m:oMathPara>
    </w:p>
    <w:p w14:paraId="2B10504C" w14:textId="77777777" w:rsidR="00E51E5A" w:rsidRPr="00B424FD" w:rsidRDefault="00E51E5A" w:rsidP="003B3837">
      <w:pPr>
        <w:spacing w:after="0"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B424FD">
        <w:rPr>
          <w:rFonts w:ascii="Times New Roman" w:hAnsi="Times New Roman" w:cs="Times New Roman"/>
          <w:color w:val="0D0D0D"/>
          <w:sz w:val="20"/>
          <w:szCs w:val="20"/>
          <w:shd w:val="clear" w:color="auto" w:fill="FFFFFF"/>
          <w:lang w:val="en-GB"/>
        </w:rPr>
        <w:t xml:space="preserve"> denotes the time variable of integration.</w:t>
      </w:r>
    </w:p>
    <w:p w14:paraId="2B0298F8" w14:textId="3D4850FD" w:rsidR="0014609D" w:rsidRPr="00B424FD" w:rsidRDefault="00204018"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lastRenderedPageBreak/>
        <w:t xml:space="preserve">To evaluate the emergence of </w:t>
      </w:r>
      <w:r w:rsidR="00065E5D" w:rsidRPr="00B424FD">
        <w:rPr>
          <w:rFonts w:ascii="Times New Roman" w:hAnsi="Times New Roman" w:cs="Times New Roman"/>
          <w:sz w:val="20"/>
          <w:szCs w:val="20"/>
          <w:lang w:val="en-GB"/>
        </w:rPr>
        <w:t>different gonorrhoea</w:t>
      </w:r>
      <w:r w:rsidRPr="00B424FD">
        <w:rPr>
          <w:rFonts w:ascii="Times New Roman" w:hAnsi="Times New Roman" w:cs="Times New Roman"/>
          <w:sz w:val="20"/>
          <w:szCs w:val="20"/>
          <w:lang w:val="en-GB"/>
        </w:rPr>
        <w:t xml:space="preserve"> strains</w:t>
      </w:r>
      <w:r w:rsidR="00B603C7" w:rsidRPr="00B424FD">
        <w:rPr>
          <w:rFonts w:ascii="Times New Roman" w:hAnsi="Times New Roman" w:cs="Times New Roman"/>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B424FD">
        <w:rPr>
          <w:rFonts w:ascii="Times New Roman" w:hAnsi="Times New Roman" w:cs="Times New Roman"/>
          <w:sz w:val="20"/>
          <w:szCs w:val="20"/>
          <w:lang w:val="en-GB"/>
        </w:rPr>
        <w:t xml:space="preserve">, we </w:t>
      </w:r>
      <w:r w:rsidR="00EC3110" w:rsidRPr="00B424FD">
        <w:rPr>
          <w:rFonts w:ascii="Times New Roman" w:hAnsi="Times New Roman" w:cs="Times New Roman"/>
          <w:sz w:val="20"/>
          <w:szCs w:val="20"/>
          <w:lang w:val="en-GB"/>
        </w:rPr>
        <w:t>compare</w:t>
      </w:r>
      <w:r w:rsidRPr="00B424FD">
        <w:rPr>
          <w:rFonts w:ascii="Times New Roman" w:hAnsi="Times New Roman" w:cs="Times New Roman"/>
          <w:sz w:val="20"/>
          <w:szCs w:val="20"/>
          <w:lang w:val="en-GB"/>
        </w:rPr>
        <w:t xml:space="preserve"> the total number of gonorrhoea infections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6A2A59" w:rsidRPr="00B424FD">
        <w:rPr>
          <w:rFonts w:ascii="Times New Roman" w:hAnsi="Times New Roman" w:cs="Times New Roman"/>
          <w:sz w:val="20"/>
          <w:szCs w:val="20"/>
          <w:lang w:val="en-GB"/>
        </w:rPr>
        <w:t xml:space="preserve"> </w:t>
      </w:r>
      <w:r w:rsidR="00EC3110" w:rsidRPr="00B424FD">
        <w:rPr>
          <w:rFonts w:ascii="Times New Roman" w:hAnsi="Times New Roman" w:cs="Times New Roman"/>
          <w:sz w:val="20"/>
          <w:szCs w:val="20"/>
          <w:lang w:val="en-GB"/>
        </w:rPr>
        <w:t>to the corresponding baseline without intervention,</w:t>
      </w:r>
      <w:r w:rsidR="00EC3110"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acc>
              <m:accPr>
                <m:ctrlPr>
                  <w:rPr>
                    <w:rFonts w:ascii="Cambria Math" w:hAnsi="Cambria Math" w:cs="Times New Roman"/>
                    <w:color w:val="0D0D0D"/>
                    <w:sz w:val="20"/>
                    <w:szCs w:val="20"/>
                    <w:shd w:val="clear" w:color="auto" w:fill="FFFFFF"/>
                    <w:lang w:val="en-GB"/>
                  </w:rPr>
                </m:ctrlPr>
              </m:accPr>
              <m:e>
                <m:r>
                  <w:rPr>
                    <w:rFonts w:ascii="Cambria Math" w:hAnsi="Cambria Math" w:cs="Times New Roman"/>
                    <w:color w:val="0D0D0D"/>
                    <w:sz w:val="20"/>
                    <w:szCs w:val="20"/>
                    <w:shd w:val="clear" w:color="auto" w:fill="FFFFFF"/>
                    <w:lang w:val="en-GB"/>
                  </w:rPr>
                  <m:t>Y</m:t>
                </m:r>
              </m:e>
            </m:acc>
          </m:e>
          <m:sup>
            <m:r>
              <w:rPr>
                <w:rFonts w:ascii="Cambria Math" w:hAnsi="Cambria Math" w:cs="Times New Roman"/>
                <w:color w:val="0D0D0D"/>
                <w:sz w:val="20"/>
                <w:szCs w:val="20"/>
                <w:shd w:val="clear" w:color="auto" w:fill="FFFFFF"/>
                <w:lang w:val="en-GB"/>
              </w:rPr>
              <m:t>k</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EC3110" w:rsidRPr="00B424FD">
        <w:rPr>
          <w:rFonts w:ascii="Times New Roman" w:hAnsi="Times New Roman" w:cs="Times New Roman"/>
          <w:color w:val="0D0D0D"/>
          <w:sz w:val="20"/>
          <w:szCs w:val="20"/>
          <w:shd w:val="clear" w:color="auto" w:fill="FFFFFF"/>
          <w:lang w:val="en-GB"/>
        </w:rPr>
        <w:t xml:space="preserve">, </w:t>
      </w:r>
      <w:r w:rsidR="00EC3110" w:rsidRPr="00B424FD">
        <w:rPr>
          <w:rFonts w:ascii="Times New Roman" w:hAnsi="Times New Roman" w:cs="Times New Roman"/>
          <w:sz w:val="20"/>
          <w:szCs w:val="20"/>
          <w:lang w:val="en-GB"/>
        </w:rPr>
        <w:t xml:space="preserve">to calculate the total number of averted gonorrhoea infections over </w:t>
      </w:r>
      <m:oMath>
        <m:r>
          <w:rPr>
            <w:rFonts w:ascii="Cambria Math" w:hAnsi="Cambria Math" w:cs="Times New Roman"/>
            <w:sz w:val="20"/>
            <w:szCs w:val="20"/>
            <w:lang w:val="en-GB"/>
          </w:rPr>
          <m:t>M</m:t>
        </m:r>
      </m:oMath>
      <w:r w:rsidR="00EC3110" w:rsidRPr="00B424FD">
        <w:rPr>
          <w:rFonts w:ascii="Times New Roman" w:hAnsi="Times New Roman" w:cs="Times New Roman"/>
          <w:sz w:val="20"/>
          <w:szCs w:val="20"/>
          <w:lang w:val="en-GB"/>
        </w:rPr>
        <w:t xml:space="preserve"> years (starting from year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00EC3110" w:rsidRPr="00B424FD">
        <w:rPr>
          <w:rFonts w:ascii="Times New Roman" w:hAnsi="Times New Roman" w:cs="Times New Roman"/>
          <w:sz w:val="20"/>
          <w:szCs w:val="20"/>
          <w:lang w:val="en-GB"/>
        </w:rPr>
        <w:t>):</w:t>
      </w:r>
    </w:p>
    <w:p w14:paraId="22167F74" w14:textId="33E88BC7" w:rsidR="0054651B" w:rsidRPr="00B424FD" w:rsidRDefault="00000000" w:rsidP="003B3837">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sz w:val="20"/>
                          <w:szCs w:val="20"/>
                          <w:lang w:val="en-GB"/>
                        </w:rPr>
                      </m:ctrlPr>
                    </m:dPr>
                    <m:e>
                      <m:r>
                        <w:rPr>
                          <w:rFonts w:ascii="Cambria Math" w:hAnsi="Cambria Math"/>
                          <w:sz w:val="20"/>
                          <w:szCs w:val="20"/>
                          <w:lang w:val="en-GB"/>
                        </w:rPr>
                        <m:t>t</m:t>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73</m:t>
                  </m:r>
                </m:e>
              </m:d>
            </m:e>
          </m:eqArr>
        </m:oMath>
      </m:oMathPara>
    </w:p>
    <w:p w14:paraId="0F586E29" w14:textId="5C204A53" w:rsidR="001E6951" w:rsidRDefault="001E6951" w:rsidP="003B3837">
      <w:pPr>
        <w:pStyle w:val="NormalWeb"/>
        <w:spacing w:line="276" w:lineRule="auto"/>
        <w:jc w:val="both"/>
        <w:rPr>
          <w:b/>
          <w:bCs/>
          <w:sz w:val="20"/>
          <w:szCs w:val="20"/>
          <w:lang w:val="en-GB"/>
        </w:rPr>
      </w:pPr>
      <w:r w:rsidRPr="001E6951">
        <w:rPr>
          <w:b/>
          <w:bCs/>
          <w:sz w:val="20"/>
          <w:szCs w:val="20"/>
          <w:lang w:val="en-GB"/>
        </w:rPr>
        <w:t>Results</w:t>
      </w:r>
    </w:p>
    <w:p w14:paraId="03AB3CA6" w14:textId="27E75016" w:rsidR="001E6951" w:rsidRPr="001E6951" w:rsidRDefault="001E6951" w:rsidP="003B3837">
      <w:pPr>
        <w:pStyle w:val="NormalWeb"/>
        <w:numPr>
          <w:ilvl w:val="0"/>
          <w:numId w:val="8"/>
        </w:numPr>
        <w:spacing w:line="276" w:lineRule="auto"/>
        <w:jc w:val="both"/>
        <w:rPr>
          <w:sz w:val="20"/>
          <w:szCs w:val="20"/>
          <w:lang w:val="en-GB"/>
        </w:rPr>
      </w:pPr>
      <w:r>
        <w:rPr>
          <w:sz w:val="20"/>
          <w:szCs w:val="20"/>
          <w:lang w:val="en-GB"/>
        </w:rPr>
        <w:t>Main results</w:t>
      </w:r>
    </w:p>
    <w:p w14:paraId="6973FE20" w14:textId="19A5F944" w:rsidR="007E3DC8" w:rsidRPr="00B424FD" w:rsidRDefault="007E3DC8" w:rsidP="003B3837">
      <w:pPr>
        <w:pStyle w:val="NormalWeb"/>
        <w:spacing w:line="276" w:lineRule="auto"/>
        <w:jc w:val="both"/>
        <w:rPr>
          <w:sz w:val="20"/>
          <w:szCs w:val="20"/>
          <w:lang w:val="en-GB"/>
        </w:rPr>
      </w:pPr>
      <w:r w:rsidRPr="00B424FD">
        <w:rPr>
          <w:sz w:val="20"/>
          <w:szCs w:val="20"/>
          <w:lang w:val="en-GB"/>
        </w:rPr>
        <w:t xml:space="preserve">Future gonorrhoea incidence is shaped by two key factors: behavioural trends and intervention effects. Our objective is to evaluate the impact of interventions rather than to predict future behavioural changes. Specifically, we aim to address what happens </w:t>
      </w:r>
      <w:proofErr w:type="gramStart"/>
      <w:r w:rsidRPr="00B424FD">
        <w:rPr>
          <w:sz w:val="20"/>
          <w:szCs w:val="20"/>
          <w:lang w:val="en-GB"/>
        </w:rPr>
        <w:t>as a result of</w:t>
      </w:r>
      <w:proofErr w:type="gramEnd"/>
      <w:r w:rsidRPr="00B424FD">
        <w:rPr>
          <w:sz w:val="20"/>
          <w:szCs w:val="20"/>
          <w:lang w:val="en-GB"/>
        </w:rPr>
        <w:t xml:space="preserve"> the interventions, not because underlying behaviours continue to evolve. To this end, we evaluate interventions conditional on a fixed behavioural </w:t>
      </w:r>
      <w:proofErr w:type="gramStart"/>
      <w:r w:rsidRPr="00B424FD">
        <w:rPr>
          <w:sz w:val="20"/>
          <w:szCs w:val="20"/>
          <w:lang w:val="en-GB"/>
        </w:rPr>
        <w:t>assumption, and</w:t>
      </w:r>
      <w:proofErr w:type="gramEnd"/>
      <w:r w:rsidRPr="00B424FD">
        <w:rPr>
          <w:sz w:val="20"/>
          <w:szCs w:val="20"/>
          <w:lang w:val="en-GB"/>
        </w:rPr>
        <w:t xml:space="preserve"> therefore assume that behavioural parameters stabilise after the calibration period, providing a conservative and interpretable baseline (although gonorrhoea incidence has increased in recent years, extrapolating these trends indefinitely may overestimate future growth). Accordingly, we adopt stabilisation of behavioural parameters in the primary analysis to isolate intervention </w:t>
      </w:r>
      <w:proofErr w:type="gramStart"/>
      <w:r w:rsidRPr="00B424FD">
        <w:rPr>
          <w:sz w:val="20"/>
          <w:szCs w:val="20"/>
          <w:lang w:val="en-GB"/>
        </w:rPr>
        <w:t>effects, and</w:t>
      </w:r>
      <w:proofErr w:type="gramEnd"/>
      <w:r w:rsidRPr="00B424FD">
        <w:rPr>
          <w:sz w:val="20"/>
          <w:szCs w:val="20"/>
          <w:lang w:val="en-GB"/>
        </w:rPr>
        <w:t xml:space="preserve"> examine scenarios with continued increases as sensitivity analyses. Moreover, to inform forward projections, we initialise the model in 2027 by assuming that 0.0001 of all infections are ceftriaxone-resistant </w:t>
      </w:r>
      <w:r w:rsidRPr="00B424FD">
        <w:rPr>
          <w:sz w:val="20"/>
          <w:szCs w:val="20"/>
          <w:lang w:val="en-GB"/>
        </w:rPr>
        <w:fldChar w:fldCharType="begin"/>
      </w:r>
      <w:r>
        <w:rPr>
          <w:sz w:val="20"/>
          <w:szCs w:val="20"/>
          <w:lang w:val="en-GB"/>
        </w:rPr>
        <w:instrText xml:space="preserve"> ADDIN ZOTERO_ITEM CSL_CITATION {"citationID":"xOCXRiK2","properties":{"unsorted":false,"formattedCitation":"[19]","plainCitation":"[19]","noteIndex":0},"citationItems":[{"id":187,"uris":["http://zotero.org/users/9663344/items/HYSVKZR9"],"itemData":{"id":187,"type":"article-journal","abstract":"Background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sz w:val="20"/>
          <w:szCs w:val="20"/>
          <w:lang w:val="en-GB"/>
        </w:rPr>
        <w:fldChar w:fldCharType="separate"/>
      </w:r>
      <w:r>
        <w:rPr>
          <w:sz w:val="20"/>
          <w:szCs w:val="20"/>
          <w:lang w:val="en-GB"/>
        </w:rPr>
        <w:t>[19]</w:t>
      </w:r>
      <w:r w:rsidRPr="00B424FD">
        <w:rPr>
          <w:sz w:val="20"/>
          <w:szCs w:val="20"/>
          <w:lang w:val="en-GB"/>
        </w:rPr>
        <w:fldChar w:fldCharType="end"/>
      </w:r>
      <w:r w:rsidRPr="00B424FD">
        <w:rPr>
          <w:sz w:val="20"/>
          <w:szCs w:val="20"/>
          <w:lang w:val="en-GB"/>
        </w:rPr>
        <w:t>.</w:t>
      </w:r>
    </w:p>
    <w:p w14:paraId="639F1451" w14:textId="77777777" w:rsidR="001E0698" w:rsidRDefault="001E0698" w:rsidP="003B3837">
      <w:pPr>
        <w:pStyle w:val="NormalWeb"/>
        <w:spacing w:line="276" w:lineRule="auto"/>
        <w:jc w:val="both"/>
        <w:rPr>
          <w:sz w:val="20"/>
          <w:szCs w:val="20"/>
          <w:lang w:val="en-GB"/>
        </w:rPr>
      </w:pPr>
      <w:r w:rsidRPr="00B424FD">
        <w:rPr>
          <w:sz w:val="20"/>
          <w:szCs w:val="20"/>
          <w:lang w:val="en-GB"/>
        </w:rPr>
        <w:t xml:space="preserve">Ceftriaxone-resistance and dual-resistance strains decreasing because of treatment failure </w:t>
      </w:r>
      <m:oMath>
        <m:r>
          <w:rPr>
            <w:rFonts w:ascii="Cambria Math" w:hAnsi="Cambria Math"/>
            <w:sz w:val="20"/>
            <w:szCs w:val="20"/>
            <w:lang w:val="en-GB"/>
          </w:rPr>
          <m:t>ϕ</m:t>
        </m:r>
      </m:oMath>
      <w:r w:rsidRPr="00B424FD">
        <w:rPr>
          <w:sz w:val="20"/>
          <w:szCs w:val="20"/>
          <w:lang w:val="en-GB"/>
        </w:rPr>
        <w:t xml:space="preserve"> is too small, taken from calibration (</w:t>
      </w:r>
      <w:r w:rsidRPr="00B424FD">
        <w:rPr>
          <w:color w:val="212121"/>
          <w:sz w:val="20"/>
          <w:szCs w:val="20"/>
          <w:shd w:val="clear" w:color="auto" w:fill="FFFFFF"/>
          <w:lang w:val="en-GB"/>
        </w:rPr>
        <w:t xml:space="preserve">since all </w:t>
      </w:r>
      <w:r w:rsidRPr="00B424FD">
        <w:rPr>
          <w:color w:val="0D0D0D"/>
          <w:sz w:val="20"/>
          <w:szCs w:val="20"/>
          <w:shd w:val="clear" w:color="auto" w:fill="FFFFFF"/>
          <w:lang w:val="en-GB"/>
        </w:rPr>
        <w:t>ceftriaxone</w:t>
      </w:r>
      <w:r w:rsidRPr="00B424FD">
        <w:rPr>
          <w:color w:val="212121"/>
          <w:sz w:val="20"/>
          <w:szCs w:val="20"/>
          <w:shd w:val="clear" w:color="auto" w:fill="FFFFFF"/>
          <w:lang w:val="en-GB"/>
        </w:rPr>
        <w:t xml:space="preserve">-resistance cases reported in England till 2024 were heterosexual, and most infections were associated with travel from the Asia-Pacific region </w:t>
      </w:r>
      <w:r w:rsidRPr="00B424FD">
        <w:rPr>
          <w:color w:val="212121"/>
          <w:sz w:val="20"/>
          <w:szCs w:val="20"/>
          <w:shd w:val="clear" w:color="auto" w:fill="FFFFFF"/>
          <w:lang w:val="en-GB"/>
        </w:rPr>
        <w:fldChar w:fldCharType="begin"/>
      </w:r>
      <w:r>
        <w:rPr>
          <w:color w:val="212121"/>
          <w:sz w:val="20"/>
          <w:szCs w:val="20"/>
          <w:shd w:val="clear" w:color="auto" w:fill="FFFFFF"/>
          <w:lang w:val="en-GB"/>
        </w:rPr>
        <w:instrText xml:space="preserve"> ADDIN ZOTERO_ITEM CSL_CITATION {"citationID":"x1sGT8LD","properties":{"unsorted":false,"formattedCitation":"[33]","plainCitation":"[33]","noteIndex":0},"citationItems":[{"id":468,"uris":["http://zotero.org/users/9663344/items/VTAG53KE"],"itemData":{"id":468,"type":"article-journal","abstract":"OBJECTIVES: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Pr="00B424FD">
        <w:rPr>
          <w:color w:val="212121"/>
          <w:sz w:val="20"/>
          <w:szCs w:val="20"/>
          <w:shd w:val="clear" w:color="auto" w:fill="FFFFFF"/>
          <w:lang w:val="en-GB"/>
        </w:rPr>
        <w:fldChar w:fldCharType="separate"/>
      </w:r>
      <w:r>
        <w:rPr>
          <w:color w:val="212121"/>
          <w:sz w:val="20"/>
          <w:szCs w:val="20"/>
          <w:shd w:val="clear" w:color="auto" w:fill="FFFFFF"/>
          <w:lang w:val="en-GB"/>
        </w:rPr>
        <w:t>[33]</w:t>
      </w:r>
      <w:r w:rsidRPr="00B424FD">
        <w:rPr>
          <w:color w:val="212121"/>
          <w:sz w:val="20"/>
          <w:szCs w:val="20"/>
          <w:shd w:val="clear" w:color="auto" w:fill="FFFFFF"/>
          <w:lang w:val="en-GB"/>
        </w:rPr>
        <w:fldChar w:fldCharType="end"/>
      </w:r>
      <w:r w:rsidRPr="00B424FD">
        <w:rPr>
          <w:color w:val="212121"/>
          <w:sz w:val="20"/>
          <w:szCs w:val="20"/>
          <w:shd w:val="clear" w:color="auto" w:fill="FFFFFF"/>
          <w:lang w:val="en-GB"/>
        </w:rPr>
        <w:t>)</w:t>
      </w:r>
      <w:r w:rsidRPr="00B424FD">
        <w:rPr>
          <w:sz w:val="20"/>
          <w:szCs w:val="20"/>
          <w:lang w:val="en-GB"/>
        </w:rPr>
        <w:t>. Ceftriaxone resistance did not expand because the fitness cost outweighed the limited treatment advantage conferred by partial treatment failure. Sensitivity analyses increasing treatment failure rates demonstrated that resistance could emerge when selection pressure exceeded the intrinsic fitness disadvantage.</w:t>
      </w:r>
    </w:p>
    <w:p w14:paraId="11F4C16A" w14:textId="7C304CAA" w:rsidR="001E0698" w:rsidRPr="001E0698" w:rsidRDefault="001E0698"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eastAsia="Times New Roman" w:hAnsi="Times New Roman" w:cs="Times New Roman"/>
          <w:iCs/>
          <w:color w:val="000000" w:themeColor="text1"/>
          <w:kern w:val="0"/>
          <w:sz w:val="20"/>
          <w:szCs w:val="20"/>
          <w:lang w:val="en-GB"/>
          <w14:ligatures w14:val="none"/>
        </w:rPr>
        <w:t xml:space="preserve">Tetracycline-resistance stain stabilizes or decreases for no intervention baseline because of its relative fitness </w:t>
      </w:r>
      <m:oMath>
        <m:sSub>
          <m:sSubPr>
            <m:ctrlPr>
              <w:rPr>
                <w:rFonts w:ascii="Cambria Math" w:eastAsia="Times New Roman" w:hAnsi="Cambria Math" w:cs="Times New Roman"/>
                <w:i/>
                <w:iCs/>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oMath>
      <w:r w:rsidRPr="00B424FD">
        <w:rPr>
          <w:rFonts w:ascii="Times New Roman" w:eastAsia="Times New Roman" w:hAnsi="Times New Roman" w:cs="Times New Roman"/>
          <w:iCs/>
          <w:color w:val="000000" w:themeColor="text1"/>
          <w:kern w:val="0"/>
          <w:sz w:val="20"/>
          <w:szCs w:val="20"/>
          <w:lang w:val="en-GB"/>
          <w14:ligatures w14:val="none"/>
        </w:rPr>
        <w:t xml:space="preserve">. </w:t>
      </w:r>
      <w:r w:rsidRPr="00B424FD">
        <w:rPr>
          <w:rFonts w:ascii="Times New Roman" w:hAnsi="Times New Roman" w:cs="Times New Roman"/>
          <w:sz w:val="20"/>
          <w:szCs w:val="20"/>
          <w:lang w:val="en-GB"/>
        </w:rPr>
        <w:t>Increasing transmission alone does not guarantee growth of resistant strains. If tetracycline resistance carries even a small fitness cost and lacks strong ongoing selection pressure, it can stabilize or decrease in absolute terms while the fitter susceptible strain continues to expand.</w:t>
      </w:r>
    </w:p>
    <w:p w14:paraId="5D94D711" w14:textId="437E38CD" w:rsidR="006C22C1" w:rsidRDefault="0022598D" w:rsidP="003B3837">
      <w:pPr>
        <w:pStyle w:val="NormalWeb"/>
        <w:spacing w:line="276" w:lineRule="auto"/>
        <w:jc w:val="both"/>
        <w:rPr>
          <w:sz w:val="20"/>
          <w:szCs w:val="20"/>
          <w:lang w:val="en-GB"/>
        </w:rPr>
      </w:pPr>
      <w:r w:rsidRPr="0022598D">
        <w:rPr>
          <w:sz w:val="20"/>
          <w:szCs w:val="20"/>
          <w:lang w:val="en-GB"/>
        </w:rPr>
        <w:t xml:space="preserve">The longitudinal projections of total </w:t>
      </w:r>
      <w:r>
        <w:rPr>
          <w:sz w:val="20"/>
          <w:szCs w:val="20"/>
          <w:lang w:val="en-GB"/>
        </w:rPr>
        <w:t>gonorrhoea</w:t>
      </w:r>
      <w:r w:rsidRPr="0022598D">
        <w:rPr>
          <w:sz w:val="20"/>
          <w:szCs w:val="20"/>
          <w:lang w:val="en-GB"/>
        </w:rPr>
        <w:t xml:space="preserve"> infections reveal a complex interplay between antibiotic prophylaxis and vaccine-mediated immunity</w:t>
      </w:r>
      <w:r w:rsidR="00755701">
        <w:rPr>
          <w:sz w:val="20"/>
          <w:szCs w:val="20"/>
          <w:lang w:val="en-GB"/>
        </w:rPr>
        <w:t xml:space="preserve"> (see Fig. 5)</w:t>
      </w:r>
      <w:r w:rsidRPr="0022598D">
        <w:rPr>
          <w:sz w:val="20"/>
          <w:szCs w:val="20"/>
          <w:lang w:val="en-GB"/>
        </w:rPr>
        <w:t xml:space="preserve">. Under a 66% intervention uptake, </w:t>
      </w:r>
      <w:r>
        <w:rPr>
          <w:sz w:val="20"/>
          <w:szCs w:val="20"/>
          <w:lang w:val="en-GB"/>
        </w:rPr>
        <w:t>d</w:t>
      </w:r>
      <w:r w:rsidRPr="0022598D">
        <w:rPr>
          <w:sz w:val="20"/>
          <w:szCs w:val="20"/>
          <w:lang w:val="en-GB"/>
        </w:rPr>
        <w:t xml:space="preserve">oxy-PEP monotherapy initially precipitates a transient reduction in the total infection burden; however, this benefit is systematically eroded over a five-year period as the population shifts toward resistant phenotypes, eventually stabilizing at an annual incidence comparable to the no-intervention baseline of approximately 180,000 cases. In contrast, the implementation of the 4CMenB vaccine, either as a standalone intervention or in conjunction with </w:t>
      </w:r>
      <w:r>
        <w:rPr>
          <w:sz w:val="20"/>
          <w:szCs w:val="20"/>
          <w:lang w:val="en-GB"/>
        </w:rPr>
        <w:t>d</w:t>
      </w:r>
      <w:r w:rsidRPr="0022598D">
        <w:rPr>
          <w:sz w:val="20"/>
          <w:szCs w:val="20"/>
          <w:lang w:val="en-GB"/>
        </w:rPr>
        <w:t>oxy-PEP, achieves a sustained and significant reduction in total infections, establishing a lower absolute equilibrium that remains stable through 2040.</w:t>
      </w:r>
    </w:p>
    <w:p w14:paraId="7FC5B816" w14:textId="6519DD90" w:rsidR="006C22C1" w:rsidRDefault="006C22C1" w:rsidP="003B3837">
      <w:pPr>
        <w:pStyle w:val="NormalWeb"/>
        <w:spacing w:line="276" w:lineRule="auto"/>
        <w:jc w:val="both"/>
        <w:rPr>
          <w:sz w:val="20"/>
          <w:szCs w:val="20"/>
          <w:lang w:val="en-GB"/>
        </w:rPr>
      </w:pPr>
      <w:r w:rsidRPr="006C22C1">
        <w:rPr>
          <w:sz w:val="20"/>
          <w:szCs w:val="20"/>
          <w:lang w:val="en-GB"/>
        </w:rPr>
        <w:t xml:space="preserve">The evolutionary dynamics of specific </w:t>
      </w:r>
      <w:r>
        <w:rPr>
          <w:sz w:val="20"/>
          <w:szCs w:val="20"/>
          <w:lang w:val="en-GB"/>
        </w:rPr>
        <w:t>gonorrhoea</w:t>
      </w:r>
      <w:r w:rsidRPr="006C22C1">
        <w:rPr>
          <w:sz w:val="20"/>
          <w:szCs w:val="20"/>
          <w:lang w:val="en-GB"/>
        </w:rPr>
        <w:t xml:space="preserve"> strains highlight the intense selection pressure exerted by </w:t>
      </w:r>
      <w:r>
        <w:rPr>
          <w:sz w:val="20"/>
          <w:szCs w:val="20"/>
          <w:lang w:val="en-GB"/>
        </w:rPr>
        <w:t>d</w:t>
      </w:r>
      <w:r w:rsidRPr="006C22C1">
        <w:rPr>
          <w:sz w:val="20"/>
          <w:szCs w:val="20"/>
          <w:lang w:val="en-GB"/>
        </w:rPr>
        <w:t>oxy-PEP on the tetracycline-resistant</w:t>
      </w:r>
      <w:r>
        <w:rPr>
          <w:sz w:val="20"/>
          <w:szCs w:val="20"/>
          <w:lang w:val="en-GB"/>
        </w:rPr>
        <w:t xml:space="preserve"> </w:t>
      </w:r>
      <w:r w:rsidRPr="006C22C1">
        <w:rPr>
          <w:sz w:val="20"/>
          <w:szCs w:val="20"/>
          <w:lang w:val="en-GB"/>
        </w:rPr>
        <w:t xml:space="preserve">population. While susceptible (wild-type) infections naturally increase under a no-intervention baseline, they are rapidly suppressed and eventually eliminated by both </w:t>
      </w:r>
      <w:r>
        <w:rPr>
          <w:sz w:val="20"/>
          <w:szCs w:val="20"/>
          <w:lang w:val="en-GB"/>
        </w:rPr>
        <w:t>d</w:t>
      </w:r>
      <w:r w:rsidRPr="006C22C1">
        <w:rPr>
          <w:sz w:val="20"/>
          <w:szCs w:val="20"/>
          <w:lang w:val="en-GB"/>
        </w:rPr>
        <w:t>oxy-PEP and the combined strategy, with the latter achieving clearance at an accelerated rate. However, the elimination of susceptible strains creates an ecological niche that is exploited by tetracycline-resistant</w:t>
      </w:r>
      <w:r>
        <w:rPr>
          <w:sz w:val="20"/>
          <w:szCs w:val="20"/>
          <w:lang w:val="en-GB"/>
        </w:rPr>
        <w:t xml:space="preserve"> </w:t>
      </w:r>
      <w:r w:rsidRPr="006C22C1">
        <w:rPr>
          <w:sz w:val="20"/>
          <w:szCs w:val="20"/>
          <w:lang w:val="en-GB"/>
        </w:rPr>
        <w:t>variants.</w:t>
      </w:r>
      <w:r>
        <w:rPr>
          <w:sz w:val="20"/>
          <w:szCs w:val="20"/>
          <w:lang w:val="en-GB"/>
        </w:rPr>
        <w:t xml:space="preserve"> I</w:t>
      </w:r>
      <w:r w:rsidRPr="006C22C1">
        <w:rPr>
          <w:sz w:val="20"/>
          <w:szCs w:val="20"/>
          <w:lang w:val="en-GB"/>
        </w:rPr>
        <w:t xml:space="preserve">n the </w:t>
      </w:r>
      <w:r>
        <w:rPr>
          <w:sz w:val="20"/>
          <w:szCs w:val="20"/>
          <w:lang w:val="en-GB"/>
        </w:rPr>
        <w:t xml:space="preserve">no-intervention </w:t>
      </w:r>
      <w:r w:rsidRPr="006C22C1">
        <w:rPr>
          <w:sz w:val="20"/>
          <w:szCs w:val="20"/>
          <w:lang w:val="en-GB"/>
        </w:rPr>
        <w:t>baseline and 4CMenB-only scenarios, tetracycline-resistant</w:t>
      </w:r>
      <w:r>
        <w:rPr>
          <w:sz w:val="20"/>
          <w:szCs w:val="20"/>
          <w:lang w:val="en-GB"/>
        </w:rPr>
        <w:t xml:space="preserve"> </w:t>
      </w:r>
      <w:r w:rsidRPr="006C22C1">
        <w:rPr>
          <w:sz w:val="20"/>
          <w:szCs w:val="20"/>
          <w:lang w:val="en-GB"/>
        </w:rPr>
        <w:t xml:space="preserve">infections </w:t>
      </w:r>
      <w:proofErr w:type="gramStart"/>
      <w:r w:rsidRPr="006C22C1">
        <w:rPr>
          <w:sz w:val="20"/>
          <w:szCs w:val="20"/>
          <w:lang w:val="en-GB"/>
        </w:rPr>
        <w:t>actually decline</w:t>
      </w:r>
      <w:proofErr w:type="gramEnd"/>
      <w:r w:rsidRPr="006C22C1">
        <w:rPr>
          <w:sz w:val="20"/>
          <w:szCs w:val="20"/>
          <w:lang w:val="en-GB"/>
        </w:rPr>
        <w:t xml:space="preserve">, suggesting that in the absence of ongoing antibiotic pressure, the intrinsic fitness costs of the resistance mutation render these strains less competitive than the wild-type. Conversely, </w:t>
      </w:r>
      <w:r>
        <w:rPr>
          <w:sz w:val="20"/>
          <w:szCs w:val="20"/>
          <w:lang w:val="en-GB"/>
        </w:rPr>
        <w:t>d</w:t>
      </w:r>
      <w:r w:rsidRPr="006C22C1">
        <w:rPr>
          <w:sz w:val="20"/>
          <w:szCs w:val="20"/>
          <w:lang w:val="en-GB"/>
        </w:rPr>
        <w:t xml:space="preserve">oxy-PEP rollout overrides this fitness disadvantage, </w:t>
      </w:r>
      <w:r w:rsidRPr="006C22C1">
        <w:rPr>
          <w:sz w:val="20"/>
          <w:szCs w:val="20"/>
          <w:lang w:val="en-GB"/>
        </w:rPr>
        <w:lastRenderedPageBreak/>
        <w:t>leading to a continuous expansion of the tetracycline-resistant</w:t>
      </w:r>
      <w:r>
        <w:rPr>
          <w:sz w:val="20"/>
          <w:szCs w:val="20"/>
          <w:lang w:val="en-GB"/>
        </w:rPr>
        <w:t xml:space="preserve"> </w:t>
      </w:r>
      <w:r w:rsidRPr="006C22C1">
        <w:rPr>
          <w:sz w:val="20"/>
          <w:szCs w:val="20"/>
          <w:lang w:val="en-GB"/>
        </w:rPr>
        <w:t xml:space="preserve">population. Notably, the combined </w:t>
      </w:r>
      <w:r>
        <w:rPr>
          <w:sz w:val="20"/>
          <w:szCs w:val="20"/>
          <w:lang w:val="en-GB"/>
        </w:rPr>
        <w:t>d</w:t>
      </w:r>
      <w:r w:rsidRPr="006C22C1">
        <w:rPr>
          <w:sz w:val="20"/>
          <w:szCs w:val="20"/>
          <w:lang w:val="en-GB"/>
        </w:rPr>
        <w:t xml:space="preserve">oxy-PEP </w:t>
      </w:r>
      <w:r>
        <w:rPr>
          <w:sz w:val="20"/>
          <w:szCs w:val="20"/>
          <w:lang w:val="en-GB"/>
        </w:rPr>
        <w:t>with</w:t>
      </w:r>
      <w:r w:rsidRPr="006C22C1">
        <w:rPr>
          <w:sz w:val="20"/>
          <w:szCs w:val="20"/>
          <w:lang w:val="en-GB"/>
        </w:rPr>
        <w:t xml:space="preserve"> 4CMenB strategy initially suppresses tetracycline-resistant</w:t>
      </w:r>
      <w:r>
        <w:rPr>
          <w:sz w:val="20"/>
          <w:szCs w:val="20"/>
          <w:lang w:val="en-GB"/>
        </w:rPr>
        <w:t xml:space="preserve"> </w:t>
      </w:r>
      <w:r w:rsidRPr="006C22C1">
        <w:rPr>
          <w:sz w:val="20"/>
          <w:szCs w:val="20"/>
          <w:lang w:val="en-GB"/>
        </w:rPr>
        <w:t xml:space="preserve">levels below </w:t>
      </w:r>
      <w:r>
        <w:rPr>
          <w:sz w:val="20"/>
          <w:szCs w:val="20"/>
          <w:lang w:val="en-GB"/>
        </w:rPr>
        <w:t xml:space="preserve">no-intervention </w:t>
      </w:r>
      <w:r w:rsidRPr="006C22C1">
        <w:rPr>
          <w:sz w:val="20"/>
          <w:szCs w:val="20"/>
          <w:lang w:val="en-GB"/>
        </w:rPr>
        <w:t xml:space="preserve">baseline, but as vaccine-induced immunity wanes, the persistent selective pressure of </w:t>
      </w:r>
      <w:r>
        <w:rPr>
          <w:sz w:val="20"/>
          <w:szCs w:val="20"/>
          <w:lang w:val="en-GB"/>
        </w:rPr>
        <w:t>d</w:t>
      </w:r>
      <w:r w:rsidRPr="006C22C1">
        <w:rPr>
          <w:sz w:val="20"/>
          <w:szCs w:val="20"/>
          <w:lang w:val="en-GB"/>
        </w:rPr>
        <w:t>oxy-PEP drives a late-stage resurgence that eventually results in a higher absolute number of resistant infections than the no-intervention scenario.</w:t>
      </w:r>
    </w:p>
    <w:p w14:paraId="102DA279" w14:textId="1F17A498" w:rsidR="00654ED9" w:rsidRDefault="00654ED9" w:rsidP="003B3837">
      <w:pPr>
        <w:pStyle w:val="NormalWeb"/>
        <w:spacing w:line="276" w:lineRule="auto"/>
        <w:jc w:val="both"/>
        <w:rPr>
          <w:sz w:val="20"/>
          <w:szCs w:val="20"/>
          <w:lang w:val="en-GB"/>
        </w:rPr>
      </w:pPr>
      <w:r w:rsidRPr="00654ED9">
        <w:rPr>
          <w:sz w:val="20"/>
          <w:szCs w:val="20"/>
          <w:lang w:val="en-GB"/>
        </w:rPr>
        <w:t>Resistance to ceftriaxone and dual-resistant strains fail to achieve endemic stability within the modelled population, despite their initial introduction at low proportions. These populations exhibit a consistent downward trajectory across all scenarios, a trend largely attributable to the calibrated treatment failure rate being near zero. This reflects the current clinical landscape in England, where ceftriaxone</w:t>
      </w:r>
      <w:r>
        <w:rPr>
          <w:sz w:val="20"/>
          <w:szCs w:val="20"/>
          <w:lang w:val="en-GB"/>
        </w:rPr>
        <w:t xml:space="preserve">-resistant gonorrhoea </w:t>
      </w:r>
      <w:r w:rsidRPr="00654ED9">
        <w:rPr>
          <w:sz w:val="20"/>
          <w:szCs w:val="20"/>
          <w:lang w:val="en-GB"/>
        </w:rPr>
        <w:t>is primarily associated with heterosexual travel rather than sustained transmission within the MSM network</w:t>
      </w:r>
      <w:r>
        <w:rPr>
          <w:sz w:val="20"/>
          <w:szCs w:val="20"/>
          <w:lang w:val="en-GB"/>
        </w:rPr>
        <w:t xml:space="preserve"> </w:t>
      </w:r>
      <w:r w:rsidRPr="00B424FD">
        <w:rPr>
          <w:color w:val="212121"/>
          <w:sz w:val="20"/>
          <w:szCs w:val="20"/>
          <w:shd w:val="clear" w:color="auto" w:fill="FFFFFF"/>
          <w:lang w:val="en-GB"/>
        </w:rPr>
        <w:fldChar w:fldCharType="begin"/>
      </w:r>
      <w:r>
        <w:rPr>
          <w:color w:val="212121"/>
          <w:sz w:val="20"/>
          <w:szCs w:val="20"/>
          <w:shd w:val="clear" w:color="auto" w:fill="FFFFFF"/>
          <w:lang w:val="en-GB"/>
        </w:rPr>
        <w:instrText xml:space="preserve"> ADDIN ZOTERO_ITEM CSL_CITATION {"citationID":"x1sGT8LD","properties":{"unsorted":false,"formattedCitation":"[33]","plainCitation":"[33]","noteIndex":0},"citationItems":[{"id":468,"uris":["http://zotero.org/users/9663344/items/VTAG53KE"],"itemData":{"id":468,"type":"article-journal","abstract":"OBJECTIVES: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Pr="00B424FD">
        <w:rPr>
          <w:color w:val="212121"/>
          <w:sz w:val="20"/>
          <w:szCs w:val="20"/>
          <w:shd w:val="clear" w:color="auto" w:fill="FFFFFF"/>
          <w:lang w:val="en-GB"/>
        </w:rPr>
        <w:fldChar w:fldCharType="separate"/>
      </w:r>
      <w:r>
        <w:rPr>
          <w:color w:val="212121"/>
          <w:sz w:val="20"/>
          <w:szCs w:val="20"/>
          <w:shd w:val="clear" w:color="auto" w:fill="FFFFFF"/>
          <w:lang w:val="en-GB"/>
        </w:rPr>
        <w:t>[33]</w:t>
      </w:r>
      <w:r w:rsidRPr="00B424FD">
        <w:rPr>
          <w:color w:val="212121"/>
          <w:sz w:val="20"/>
          <w:szCs w:val="20"/>
          <w:shd w:val="clear" w:color="auto" w:fill="FFFFFF"/>
          <w:lang w:val="en-GB"/>
        </w:rPr>
        <w:fldChar w:fldCharType="end"/>
      </w:r>
      <w:r w:rsidRPr="00654ED9">
        <w:rPr>
          <w:sz w:val="20"/>
          <w:szCs w:val="20"/>
          <w:lang w:val="en-GB"/>
        </w:rPr>
        <w:t xml:space="preserve">. The intrinsic fitness costs associated with these specific resistance mutations exceed the marginal survival benefits provided by rare treatment failures, leading to a steady decline toward elimination. The </w:t>
      </w:r>
      <w:r w:rsidR="000C5BDB" w:rsidRPr="006C22C1">
        <w:rPr>
          <w:sz w:val="20"/>
          <w:szCs w:val="20"/>
          <w:lang w:val="en-GB"/>
        </w:rPr>
        <w:t xml:space="preserve">combined </w:t>
      </w:r>
      <w:r w:rsidR="000C5BDB">
        <w:rPr>
          <w:sz w:val="20"/>
          <w:szCs w:val="20"/>
          <w:lang w:val="en-GB"/>
        </w:rPr>
        <w:t>d</w:t>
      </w:r>
      <w:r w:rsidR="000C5BDB" w:rsidRPr="006C22C1">
        <w:rPr>
          <w:sz w:val="20"/>
          <w:szCs w:val="20"/>
          <w:lang w:val="en-GB"/>
        </w:rPr>
        <w:t xml:space="preserve">oxy-PEP </w:t>
      </w:r>
      <w:r w:rsidR="000C5BDB">
        <w:rPr>
          <w:sz w:val="20"/>
          <w:szCs w:val="20"/>
          <w:lang w:val="en-GB"/>
        </w:rPr>
        <w:t>with</w:t>
      </w:r>
      <w:r w:rsidR="000C5BDB" w:rsidRPr="006C22C1">
        <w:rPr>
          <w:sz w:val="20"/>
          <w:szCs w:val="20"/>
          <w:lang w:val="en-GB"/>
        </w:rPr>
        <w:t xml:space="preserve"> 4CMenB strategy</w:t>
      </w:r>
      <w:r w:rsidRPr="00654ED9">
        <w:rPr>
          <w:sz w:val="20"/>
          <w:szCs w:val="20"/>
          <w:lang w:val="en-GB"/>
        </w:rPr>
        <w:t xml:space="preserve"> facilitates the most rapid clearance of ceftriaxone</w:t>
      </w:r>
      <w:r>
        <w:rPr>
          <w:sz w:val="20"/>
          <w:szCs w:val="20"/>
          <w:lang w:val="en-GB"/>
        </w:rPr>
        <w:t>-</w:t>
      </w:r>
      <w:r w:rsidRPr="00654ED9">
        <w:rPr>
          <w:sz w:val="20"/>
          <w:szCs w:val="20"/>
          <w:lang w:val="en-GB"/>
        </w:rPr>
        <w:t xml:space="preserve">resistant strains, while 4CMenB vaccination is the most effective at driving the decline of dual-resistant variants. </w:t>
      </w:r>
    </w:p>
    <w:p w14:paraId="5EAC1DE4" w14:textId="11A54ADB" w:rsidR="000C5BDB" w:rsidRDefault="000C5BDB" w:rsidP="003B3837">
      <w:pPr>
        <w:pStyle w:val="NormalWeb"/>
        <w:spacing w:line="276" w:lineRule="auto"/>
        <w:jc w:val="both"/>
        <w:rPr>
          <w:sz w:val="20"/>
          <w:szCs w:val="20"/>
          <w:lang w:val="en-GB"/>
        </w:rPr>
      </w:pPr>
      <w:r w:rsidRPr="000C5BDB">
        <w:rPr>
          <w:sz w:val="20"/>
          <w:szCs w:val="20"/>
          <w:lang w:val="en-GB"/>
        </w:rPr>
        <w:t xml:space="preserve">Finally, a significant limitation of these findings is that the model utilizes data for low-level tetracycline-resistant </w:t>
      </w:r>
      <w:r>
        <w:rPr>
          <w:sz w:val="20"/>
          <w:szCs w:val="20"/>
          <w:lang w:val="en-GB"/>
        </w:rPr>
        <w:t>gonorrhoea</w:t>
      </w:r>
      <w:r w:rsidRPr="000C5BDB">
        <w:rPr>
          <w:sz w:val="20"/>
          <w:szCs w:val="20"/>
          <w:lang w:val="en-GB"/>
        </w:rPr>
        <w:t xml:space="preserve">. Because high-level resistance (doxycycline resistance) typically incurs more substantial biological fitness penalties, these results likely represent an overestimate of the severity and rate of emergence for high-level resistance. Consequently, the observed resurgence in the </w:t>
      </w:r>
      <w:r w:rsidR="00B877F5">
        <w:rPr>
          <w:sz w:val="20"/>
          <w:szCs w:val="20"/>
          <w:lang w:val="en-GB"/>
        </w:rPr>
        <w:t>d</w:t>
      </w:r>
      <w:r w:rsidRPr="000C5BDB">
        <w:rPr>
          <w:sz w:val="20"/>
          <w:szCs w:val="20"/>
          <w:lang w:val="en-GB"/>
        </w:rPr>
        <w:t xml:space="preserve">oxy-PEP scenarios should be interpreted as a worst-case projection of resistance expansion. </w:t>
      </w:r>
    </w:p>
    <w:p w14:paraId="457ED64B" w14:textId="753A298F" w:rsidR="00D43596" w:rsidRDefault="00D706B0" w:rsidP="003B3837">
      <w:pPr>
        <w:pStyle w:val="NormalWeb"/>
        <w:spacing w:line="276" w:lineRule="auto"/>
        <w:jc w:val="both"/>
        <w:rPr>
          <w:sz w:val="20"/>
          <w:szCs w:val="20"/>
          <w:lang w:val="en-GB"/>
        </w:rPr>
      </w:pPr>
      <w:r>
        <w:rPr>
          <w:noProof/>
          <w:sz w:val="20"/>
          <w:szCs w:val="20"/>
          <w:lang w:val="en-GB"/>
          <w14:ligatures w14:val="standardContextual"/>
        </w:rPr>
        <w:lastRenderedPageBreak/>
        <w:drawing>
          <wp:inline distT="0" distB="0" distL="0" distR="0" wp14:anchorId="79C4350F" wp14:editId="7E8C9E03">
            <wp:extent cx="5731510" cy="5900420"/>
            <wp:effectExtent l="0" t="0" r="0" b="5080"/>
            <wp:docPr id="581188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8347" name="Picture 581188347"/>
                    <pic:cNvPicPr/>
                  </pic:nvPicPr>
                  <pic:blipFill>
                    <a:blip r:embed="rId15"/>
                    <a:stretch>
                      <a:fillRect/>
                    </a:stretch>
                  </pic:blipFill>
                  <pic:spPr>
                    <a:xfrm>
                      <a:off x="0" y="0"/>
                      <a:ext cx="5731510" cy="5900420"/>
                    </a:xfrm>
                    <a:prstGeom prst="rect">
                      <a:avLst/>
                    </a:prstGeom>
                  </pic:spPr>
                </pic:pic>
              </a:graphicData>
            </a:graphic>
          </wp:inline>
        </w:drawing>
      </w:r>
      <w:r w:rsidR="00D43596">
        <w:rPr>
          <w:sz w:val="20"/>
          <w:szCs w:val="20"/>
          <w:lang w:val="en-GB"/>
        </w:rPr>
        <w:t xml:space="preserve">Fig. 5: </w:t>
      </w:r>
      <w:r w:rsidR="00327ED6" w:rsidRPr="00327ED6">
        <w:rPr>
          <w:sz w:val="20"/>
          <w:szCs w:val="20"/>
          <w:lang w:val="en-GB"/>
        </w:rPr>
        <w:t xml:space="preserve">Impact of </w:t>
      </w:r>
      <w:r w:rsidR="00327ED6">
        <w:rPr>
          <w:sz w:val="20"/>
          <w:szCs w:val="20"/>
          <w:lang w:val="en-GB"/>
        </w:rPr>
        <w:t>d</w:t>
      </w:r>
      <w:r w:rsidR="00327ED6" w:rsidRPr="00327ED6">
        <w:rPr>
          <w:sz w:val="20"/>
          <w:szCs w:val="20"/>
          <w:lang w:val="en-GB"/>
        </w:rPr>
        <w:t xml:space="preserve">oxy-PEP and 4CMenB vaccination on </w:t>
      </w:r>
      <w:r w:rsidR="00327ED6">
        <w:rPr>
          <w:sz w:val="20"/>
          <w:szCs w:val="20"/>
          <w:lang w:val="en-GB"/>
        </w:rPr>
        <w:t>gonorrhoea</w:t>
      </w:r>
      <w:r w:rsidR="00327ED6" w:rsidRPr="00327ED6">
        <w:rPr>
          <w:sz w:val="20"/>
          <w:szCs w:val="20"/>
          <w:lang w:val="en-GB"/>
        </w:rPr>
        <w:t xml:space="preserve"> transmission and resistance dynamics.</w:t>
      </w:r>
      <w:r w:rsidR="00327ED6">
        <w:rPr>
          <w:sz w:val="20"/>
          <w:szCs w:val="20"/>
          <w:lang w:val="en-GB"/>
        </w:rPr>
        <w:t xml:space="preserve"> </w:t>
      </w:r>
      <w:r w:rsidR="00327ED6" w:rsidRPr="00327ED6">
        <w:rPr>
          <w:sz w:val="20"/>
          <w:szCs w:val="20"/>
          <w:lang w:val="en-GB"/>
        </w:rPr>
        <w:t xml:space="preserve">Projections assume a 66% intervention uptake rate and fixed behaviour patterns. Model parameters include a calibrated near-zero ceftriaxone treatment failure rate and initial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327ED6" w:rsidRPr="00327ED6">
        <w:rPr>
          <w:sz w:val="20"/>
          <w:szCs w:val="20"/>
          <w:lang w:val="en-GB"/>
        </w:rPr>
        <w:t xml:space="preserve"> for ceftriaxone-resistant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327ED6" w:rsidRPr="00327ED6">
        <w:rPr>
          <w:sz w:val="20"/>
          <w:szCs w:val="20"/>
          <w:lang w:val="en-GB"/>
        </w:rPr>
        <w:t xml:space="preserve"> for dual-resistant strains.</w:t>
      </w:r>
    </w:p>
    <w:p w14:paraId="1F67075D" w14:textId="179185C3" w:rsidR="001E6951" w:rsidRDefault="001E6951" w:rsidP="003B3837">
      <w:pPr>
        <w:pStyle w:val="NormalWeb"/>
        <w:numPr>
          <w:ilvl w:val="0"/>
          <w:numId w:val="8"/>
        </w:numPr>
        <w:spacing w:line="276" w:lineRule="auto"/>
        <w:jc w:val="both"/>
        <w:rPr>
          <w:sz w:val="20"/>
          <w:szCs w:val="20"/>
          <w:lang w:val="en-GB"/>
        </w:rPr>
      </w:pPr>
      <w:r>
        <w:rPr>
          <w:sz w:val="20"/>
          <w:szCs w:val="20"/>
          <w:lang w:val="en-GB"/>
        </w:rPr>
        <w:t>C</w:t>
      </w:r>
      <w:r w:rsidRPr="00DE7C05">
        <w:rPr>
          <w:sz w:val="20"/>
          <w:szCs w:val="20"/>
          <w:lang w:val="en-GB"/>
        </w:rPr>
        <w:t>eftriaxone treatment failure rate</w:t>
      </w:r>
    </w:p>
    <w:p w14:paraId="1916DBB3" w14:textId="6FF8306F" w:rsidR="00DE7C05" w:rsidRDefault="00DE7C05" w:rsidP="003B3837">
      <w:pPr>
        <w:pStyle w:val="NormalWeb"/>
        <w:spacing w:line="276" w:lineRule="auto"/>
        <w:jc w:val="both"/>
        <w:rPr>
          <w:sz w:val="20"/>
          <w:szCs w:val="20"/>
          <w:lang w:val="en-GB"/>
        </w:rPr>
      </w:pPr>
      <w:r w:rsidRPr="00DE7C05">
        <w:rPr>
          <w:sz w:val="20"/>
          <w:szCs w:val="20"/>
          <w:lang w:val="en-GB"/>
        </w:rPr>
        <w:t xml:space="preserve">To further explore the sensitivity of our model to clinical parameters, we increased the ceftriaxone treatment failure rate </w:t>
      </w:r>
      <m:oMath>
        <m:r>
          <w:rPr>
            <w:rFonts w:ascii="Cambria Math" w:hAnsi="Cambria Math"/>
            <w:sz w:val="20"/>
            <w:szCs w:val="20"/>
            <w:lang w:val="en-GB"/>
          </w:rPr>
          <m:t>ϕ</m:t>
        </m:r>
      </m:oMath>
      <w:r w:rsidRPr="00B424FD">
        <w:rPr>
          <w:sz w:val="20"/>
          <w:szCs w:val="20"/>
          <w:lang w:val="en-GB"/>
        </w:rPr>
        <w:t xml:space="preserve"> </w:t>
      </w:r>
      <w:r w:rsidRPr="00DE7C05">
        <w:rPr>
          <w:sz w:val="20"/>
          <w:szCs w:val="20"/>
          <w:lang w:val="en-GB"/>
        </w:rPr>
        <w:t>to 20%, reflecting a scenario of significantly reduced antibiotic efficacy</w:t>
      </w:r>
      <w:r w:rsidR="007525AC">
        <w:rPr>
          <w:sz w:val="20"/>
          <w:szCs w:val="20"/>
          <w:lang w:val="en-GB"/>
        </w:rPr>
        <w:t xml:space="preserve"> (see Fig. 6)</w:t>
      </w:r>
      <w:r w:rsidRPr="00DE7C05">
        <w:rPr>
          <w:sz w:val="20"/>
          <w:szCs w:val="20"/>
          <w:lang w:val="en-GB"/>
        </w:rPr>
        <w:t>. While the qualitative trajectories for total infections, susceptible strains, and tetracycline-resistant strains remain consistent with our primary analysis, this higher failure rate precipitates a fundamental shift in the dynamics of ceftriaxone and dual-resistant</w:t>
      </w:r>
      <w:r>
        <w:rPr>
          <w:sz w:val="20"/>
          <w:szCs w:val="20"/>
          <w:lang w:val="en-GB"/>
        </w:rPr>
        <w:t xml:space="preserve"> </w:t>
      </w:r>
      <w:r w:rsidRPr="00DE7C05">
        <w:rPr>
          <w:sz w:val="20"/>
          <w:szCs w:val="20"/>
          <w:lang w:val="en-GB"/>
        </w:rPr>
        <w:t>populations, revealing critical vulnerabilities in existing treatment and prophylaxis strategies.</w:t>
      </w:r>
    </w:p>
    <w:p w14:paraId="384094CB" w14:textId="76481CCC" w:rsidR="00F9132B" w:rsidRDefault="00F9132B" w:rsidP="003B3837">
      <w:pPr>
        <w:pStyle w:val="NormalWeb"/>
        <w:spacing w:line="276" w:lineRule="auto"/>
        <w:jc w:val="both"/>
        <w:rPr>
          <w:sz w:val="20"/>
          <w:szCs w:val="20"/>
        </w:rPr>
      </w:pPr>
      <w:r w:rsidRPr="00F9132B">
        <w:rPr>
          <w:sz w:val="20"/>
          <w:szCs w:val="20"/>
        </w:rPr>
        <w:t xml:space="preserve">The </w:t>
      </w:r>
      <w:r>
        <w:rPr>
          <w:sz w:val="20"/>
          <w:szCs w:val="20"/>
        </w:rPr>
        <w:t xml:space="preserve">total </w:t>
      </w:r>
      <w:r w:rsidRPr="00F9132B">
        <w:rPr>
          <w:sz w:val="20"/>
          <w:szCs w:val="20"/>
        </w:rPr>
        <w:t xml:space="preserve">infection burden continues to follow established patterns: the no-intervention baseline stabilizes at approximately 180,000 annual cases, while </w:t>
      </w:r>
      <w:r>
        <w:rPr>
          <w:sz w:val="20"/>
          <w:szCs w:val="20"/>
        </w:rPr>
        <w:t>d</w:t>
      </w:r>
      <w:r w:rsidRPr="00F9132B">
        <w:rPr>
          <w:sz w:val="20"/>
          <w:szCs w:val="20"/>
        </w:rPr>
        <w:t xml:space="preserve">oxy-PEP monotherapy induces an initial decline followed by a rebound to a level slightly below the baseline. The 4CMenB vaccine and the combined strategy maintain their roles as the most effective interventions for long-term suppression, with the combined approach yielding the </w:t>
      </w:r>
      <w:r w:rsidRPr="00F9132B">
        <w:rPr>
          <w:sz w:val="20"/>
          <w:szCs w:val="20"/>
        </w:rPr>
        <w:lastRenderedPageBreak/>
        <w:t xml:space="preserve">lowest absolute infection equilibrium. Similarly, the susceptible population continues to trend toward elimination under </w:t>
      </w:r>
      <w:r>
        <w:rPr>
          <w:sz w:val="20"/>
          <w:szCs w:val="20"/>
        </w:rPr>
        <w:t>d</w:t>
      </w:r>
      <w:r w:rsidRPr="00F9132B">
        <w:rPr>
          <w:sz w:val="20"/>
          <w:szCs w:val="20"/>
        </w:rPr>
        <w:t xml:space="preserve">oxy-PEP-containing strategies, while tetracycline resistance remains heavily driven by selection pressure. In the absence of vaccine-mediated suppression, </w:t>
      </w:r>
      <w:r>
        <w:rPr>
          <w:sz w:val="20"/>
          <w:szCs w:val="20"/>
        </w:rPr>
        <w:t>d</w:t>
      </w:r>
      <w:r w:rsidRPr="00F9132B">
        <w:rPr>
          <w:sz w:val="20"/>
          <w:szCs w:val="20"/>
        </w:rPr>
        <w:t xml:space="preserve">oxy-PEP continues to drive a sustained increase in </w:t>
      </w:r>
      <w:r w:rsidRPr="00DE7C05">
        <w:rPr>
          <w:sz w:val="20"/>
          <w:szCs w:val="20"/>
          <w:lang w:val="en-GB"/>
        </w:rPr>
        <w:t xml:space="preserve">tetracycline-resistant </w:t>
      </w:r>
      <w:r>
        <w:rPr>
          <w:sz w:val="20"/>
          <w:szCs w:val="20"/>
        </w:rPr>
        <w:t>infections</w:t>
      </w:r>
      <w:r w:rsidRPr="00F9132B">
        <w:rPr>
          <w:sz w:val="20"/>
          <w:szCs w:val="20"/>
        </w:rPr>
        <w:t xml:space="preserve">, while the combined strategy suppresses </w:t>
      </w:r>
      <w:r w:rsidRPr="00DE7C05">
        <w:rPr>
          <w:sz w:val="20"/>
          <w:szCs w:val="20"/>
          <w:lang w:val="en-GB"/>
        </w:rPr>
        <w:t xml:space="preserve">tetracycline-resistant </w:t>
      </w:r>
      <w:r w:rsidRPr="00F9132B">
        <w:rPr>
          <w:sz w:val="20"/>
          <w:szCs w:val="20"/>
        </w:rPr>
        <w:t>levels initially before a late-stage increase occurs as immunity wanes.</w:t>
      </w:r>
    </w:p>
    <w:p w14:paraId="6E3F5320" w14:textId="1090B47C" w:rsidR="00F9132B" w:rsidRDefault="00F9132B" w:rsidP="003B3837">
      <w:pPr>
        <w:pStyle w:val="NormalWeb"/>
        <w:spacing w:line="276" w:lineRule="auto"/>
        <w:jc w:val="both"/>
        <w:rPr>
          <w:sz w:val="20"/>
          <w:szCs w:val="20"/>
          <w:lang w:val="en-GB"/>
        </w:rPr>
      </w:pPr>
      <w:r w:rsidRPr="00F9132B">
        <w:rPr>
          <w:sz w:val="20"/>
          <w:szCs w:val="20"/>
          <w:lang w:val="en-GB"/>
        </w:rPr>
        <w:t xml:space="preserve">The most striking departure from the baseline model occurs within the </w:t>
      </w:r>
      <w:r w:rsidRPr="00DE7C05">
        <w:rPr>
          <w:sz w:val="20"/>
          <w:szCs w:val="20"/>
          <w:lang w:val="en-GB"/>
        </w:rPr>
        <w:t>ceftriaxone and dual-resistant</w:t>
      </w:r>
      <w:r w:rsidRPr="00F9132B">
        <w:rPr>
          <w:sz w:val="20"/>
          <w:szCs w:val="20"/>
          <w:lang w:val="en-GB"/>
        </w:rPr>
        <w:t xml:space="preserve"> </w:t>
      </w:r>
      <w:r>
        <w:rPr>
          <w:sz w:val="20"/>
          <w:szCs w:val="20"/>
          <w:lang w:val="en-GB"/>
        </w:rPr>
        <w:t xml:space="preserve">strain </w:t>
      </w:r>
      <w:r w:rsidRPr="00F9132B">
        <w:rPr>
          <w:sz w:val="20"/>
          <w:szCs w:val="20"/>
          <w:lang w:val="en-GB"/>
        </w:rPr>
        <w:t xml:space="preserve">populations. Under a 20% treatment failure rate, the no-intervention scenario no longer results in the stochastic decline of ceftriaxone resistance; instead, it triggers a sustained increase with a significant potential for a large-scale outbreak. Crucially, while </w:t>
      </w:r>
      <w:r>
        <w:rPr>
          <w:sz w:val="20"/>
          <w:szCs w:val="20"/>
          <w:lang w:val="en-GB"/>
        </w:rPr>
        <w:t>d</w:t>
      </w:r>
      <w:r w:rsidRPr="00F9132B">
        <w:rPr>
          <w:sz w:val="20"/>
          <w:szCs w:val="20"/>
          <w:lang w:val="en-GB"/>
        </w:rPr>
        <w:t xml:space="preserve">oxy-PEP, 4CMenB, and the combined strategy are all effective at maintaining </w:t>
      </w:r>
      <w:r w:rsidRPr="00DE7C05">
        <w:rPr>
          <w:sz w:val="20"/>
          <w:szCs w:val="20"/>
          <w:lang w:val="en-GB"/>
        </w:rPr>
        <w:t>ceftriaxone</w:t>
      </w:r>
      <w:r>
        <w:rPr>
          <w:sz w:val="20"/>
          <w:szCs w:val="20"/>
          <w:lang w:val="en-GB"/>
        </w:rPr>
        <w:t xml:space="preserve"> resistance </w:t>
      </w:r>
      <w:r w:rsidRPr="00F9132B">
        <w:rPr>
          <w:sz w:val="20"/>
          <w:szCs w:val="20"/>
          <w:lang w:val="en-GB"/>
        </w:rPr>
        <w:t>at near-zero levels, the dynamics of dual resistance reveal a new risk associated with antibiotic prophylaxis.</w:t>
      </w:r>
    </w:p>
    <w:p w14:paraId="3FF0FCD9" w14:textId="5D808197" w:rsidR="00F9132B" w:rsidRPr="00F9132B" w:rsidRDefault="00F9132B" w:rsidP="003B3837">
      <w:pPr>
        <w:pStyle w:val="NormalWeb"/>
        <w:spacing w:line="276" w:lineRule="auto"/>
        <w:jc w:val="both"/>
        <w:rPr>
          <w:sz w:val="20"/>
          <w:szCs w:val="20"/>
          <w:lang w:val="en-GB"/>
        </w:rPr>
      </w:pPr>
      <w:r w:rsidRPr="00F9132B">
        <w:rPr>
          <w:sz w:val="20"/>
          <w:szCs w:val="20"/>
          <w:lang w:val="en-GB"/>
        </w:rPr>
        <w:t xml:space="preserve">In the </w:t>
      </w:r>
      <w:r w:rsidR="001E6951">
        <w:rPr>
          <w:sz w:val="20"/>
          <w:szCs w:val="20"/>
          <w:lang w:val="en-GB"/>
        </w:rPr>
        <w:t>d</w:t>
      </w:r>
      <w:r w:rsidRPr="00F9132B">
        <w:rPr>
          <w:sz w:val="20"/>
          <w:szCs w:val="20"/>
          <w:lang w:val="en-GB"/>
        </w:rPr>
        <w:t xml:space="preserve">oxy-PEP monotherapy scenario, dual-resistant infections undergo a rapid expansion, presenting a substantial outbreak potential that exceeds even the no-intervention baseline. This suggests that the selection pressure for tetracycline resistance, when coupled with high ceftriaxone treatment failure, creates a potent evolutionary pathway for the emergence of multi-drug resistant strains. In contrast, 4CMenB vaccination and the combined strategy remain robust against this emergence, successfully suppressing both </w:t>
      </w:r>
      <w:r w:rsidRPr="00DE7C05">
        <w:rPr>
          <w:sz w:val="20"/>
          <w:szCs w:val="20"/>
          <w:lang w:val="en-GB"/>
        </w:rPr>
        <w:t>ceftriaxone and dual-resistant</w:t>
      </w:r>
      <w:r w:rsidRPr="00F9132B">
        <w:rPr>
          <w:sz w:val="20"/>
          <w:szCs w:val="20"/>
          <w:lang w:val="en-GB"/>
        </w:rPr>
        <w:t xml:space="preserve"> populations to near-zero levels. These findings underscore that while vaccines provide a non-selective barrier to resistance, the safety and utility of </w:t>
      </w:r>
      <w:r>
        <w:rPr>
          <w:sz w:val="20"/>
          <w:szCs w:val="20"/>
          <w:lang w:val="en-GB"/>
        </w:rPr>
        <w:t>d</w:t>
      </w:r>
      <w:r w:rsidRPr="00F9132B">
        <w:rPr>
          <w:sz w:val="20"/>
          <w:szCs w:val="20"/>
          <w:lang w:val="en-GB"/>
        </w:rPr>
        <w:t>oxy-PEP are highly contingent upon the continued efficacy of primary ceftriaxone treatment.</w:t>
      </w:r>
    </w:p>
    <w:p w14:paraId="36C08CD5" w14:textId="77777777" w:rsidR="00B50E2D" w:rsidRDefault="00B50E2D" w:rsidP="003B3837">
      <w:pPr>
        <w:pStyle w:val="NormalWeb"/>
        <w:spacing w:line="276" w:lineRule="auto"/>
        <w:jc w:val="both"/>
        <w:rPr>
          <w:sz w:val="20"/>
          <w:szCs w:val="20"/>
          <w:lang w:val="en-GB"/>
        </w:rPr>
      </w:pPr>
      <w:r>
        <w:rPr>
          <w:noProof/>
          <w:sz w:val="20"/>
          <w:szCs w:val="20"/>
          <w:lang w:val="en-GB"/>
          <w14:ligatures w14:val="standardContextual"/>
        </w:rPr>
        <w:lastRenderedPageBreak/>
        <w:drawing>
          <wp:inline distT="0" distB="0" distL="0" distR="0" wp14:anchorId="352CB507" wp14:editId="0F29B09A">
            <wp:extent cx="5731510" cy="5900420"/>
            <wp:effectExtent l="0" t="0" r="0" b="5080"/>
            <wp:docPr id="10741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4588" name="Picture 1074144588"/>
                    <pic:cNvPicPr/>
                  </pic:nvPicPr>
                  <pic:blipFill>
                    <a:blip r:embed="rId16"/>
                    <a:stretch>
                      <a:fillRect/>
                    </a:stretch>
                  </pic:blipFill>
                  <pic:spPr>
                    <a:xfrm>
                      <a:off x="0" y="0"/>
                      <a:ext cx="5731510" cy="5900420"/>
                    </a:xfrm>
                    <a:prstGeom prst="rect">
                      <a:avLst/>
                    </a:prstGeom>
                  </pic:spPr>
                </pic:pic>
              </a:graphicData>
            </a:graphic>
          </wp:inline>
        </w:drawing>
      </w:r>
    </w:p>
    <w:p w14:paraId="13E78D84" w14:textId="579003FC" w:rsidR="00B50E2D" w:rsidRDefault="00B50E2D" w:rsidP="003B3837">
      <w:pPr>
        <w:pStyle w:val="NormalWeb"/>
        <w:spacing w:line="276" w:lineRule="auto"/>
        <w:jc w:val="both"/>
        <w:rPr>
          <w:sz w:val="20"/>
          <w:szCs w:val="20"/>
          <w:lang w:val="en-GB"/>
        </w:rPr>
      </w:pPr>
      <w:r>
        <w:rPr>
          <w:sz w:val="20"/>
          <w:szCs w:val="20"/>
          <w:lang w:val="en-GB"/>
        </w:rPr>
        <w:t xml:space="preserve">Fig. 6: </w:t>
      </w:r>
      <w:r w:rsidR="0073529F" w:rsidRPr="00327ED6">
        <w:rPr>
          <w:sz w:val="20"/>
          <w:szCs w:val="20"/>
          <w:lang w:val="en-GB"/>
        </w:rPr>
        <w:t xml:space="preserve">Impact of </w:t>
      </w:r>
      <w:r w:rsidR="0073529F">
        <w:rPr>
          <w:sz w:val="20"/>
          <w:szCs w:val="20"/>
          <w:lang w:val="en-GB"/>
        </w:rPr>
        <w:t>d</w:t>
      </w:r>
      <w:r w:rsidR="0073529F" w:rsidRPr="00327ED6">
        <w:rPr>
          <w:sz w:val="20"/>
          <w:szCs w:val="20"/>
          <w:lang w:val="en-GB"/>
        </w:rPr>
        <w:t xml:space="preserve">oxy-PEP and 4CMenB vaccination on </w:t>
      </w:r>
      <w:r w:rsidR="0073529F">
        <w:rPr>
          <w:sz w:val="20"/>
          <w:szCs w:val="20"/>
          <w:lang w:val="en-GB"/>
        </w:rPr>
        <w:t>gonorrhoea</w:t>
      </w:r>
      <w:r w:rsidR="0073529F" w:rsidRPr="00327ED6">
        <w:rPr>
          <w:sz w:val="20"/>
          <w:szCs w:val="20"/>
          <w:lang w:val="en-GB"/>
        </w:rPr>
        <w:t xml:space="preserve"> transmission and resistance dynamics.</w:t>
      </w:r>
      <w:r w:rsidR="0073529F">
        <w:rPr>
          <w:sz w:val="20"/>
          <w:szCs w:val="20"/>
          <w:lang w:val="en-GB"/>
        </w:rPr>
        <w:t xml:space="preserve"> </w:t>
      </w:r>
      <w:r w:rsidR="0073529F" w:rsidRPr="00327ED6">
        <w:rPr>
          <w:sz w:val="20"/>
          <w:szCs w:val="20"/>
          <w:lang w:val="en-GB"/>
        </w:rPr>
        <w:t xml:space="preserve">Projections assume a 66% intervention uptake rate and fixed behaviour patterns. Model parameters include </w:t>
      </w:r>
      <w:proofErr w:type="gramStart"/>
      <w:r w:rsidR="0073529F" w:rsidRPr="00327ED6">
        <w:rPr>
          <w:sz w:val="20"/>
          <w:szCs w:val="20"/>
          <w:lang w:val="en-GB"/>
        </w:rPr>
        <w:t>a</w:t>
      </w:r>
      <w:proofErr w:type="gramEnd"/>
      <w:r w:rsidR="0073529F" w:rsidRPr="00327ED6">
        <w:rPr>
          <w:sz w:val="20"/>
          <w:szCs w:val="20"/>
          <w:lang w:val="en-GB"/>
        </w:rPr>
        <w:t xml:space="preserve"> </w:t>
      </w:r>
      <w:r w:rsidR="0073529F">
        <w:rPr>
          <w:sz w:val="20"/>
          <w:szCs w:val="20"/>
          <w:lang w:val="en-GB"/>
        </w:rPr>
        <w:t xml:space="preserve">assumed 20% </w:t>
      </w:r>
      <w:r w:rsidR="0073529F" w:rsidRPr="00327ED6">
        <w:rPr>
          <w:sz w:val="20"/>
          <w:szCs w:val="20"/>
          <w:lang w:val="en-GB"/>
        </w:rPr>
        <w:t xml:space="preserve">ceftriaxone treatment failure rate and initial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73529F" w:rsidRPr="00327ED6">
        <w:rPr>
          <w:sz w:val="20"/>
          <w:szCs w:val="20"/>
          <w:lang w:val="en-GB"/>
        </w:rPr>
        <w:t xml:space="preserve"> for ceftriaxone-resistant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73529F" w:rsidRPr="00327ED6">
        <w:rPr>
          <w:sz w:val="20"/>
          <w:szCs w:val="20"/>
          <w:lang w:val="en-GB"/>
        </w:rPr>
        <w:t xml:space="preserve"> for dual-resistant strains.</w:t>
      </w:r>
    </w:p>
    <w:p w14:paraId="3A170058" w14:textId="0A61A075" w:rsidR="00713935" w:rsidRDefault="00713935" w:rsidP="003B3837">
      <w:pPr>
        <w:pStyle w:val="NormalWeb"/>
        <w:numPr>
          <w:ilvl w:val="0"/>
          <w:numId w:val="8"/>
        </w:numPr>
        <w:spacing w:line="276" w:lineRule="auto"/>
        <w:jc w:val="both"/>
        <w:rPr>
          <w:sz w:val="20"/>
          <w:szCs w:val="20"/>
        </w:rPr>
      </w:pPr>
      <w:r>
        <w:rPr>
          <w:sz w:val="20"/>
          <w:szCs w:val="20"/>
        </w:rPr>
        <w:t>Uptake rate</w:t>
      </w:r>
    </w:p>
    <w:p w14:paraId="3FF83A9F" w14:textId="72B237E3" w:rsidR="008E6B37" w:rsidRPr="008E6B37" w:rsidRDefault="008E6B37" w:rsidP="003B3837">
      <w:pPr>
        <w:pStyle w:val="NormalWeb"/>
        <w:spacing w:line="276" w:lineRule="auto"/>
        <w:jc w:val="both"/>
        <w:rPr>
          <w:sz w:val="20"/>
          <w:szCs w:val="20"/>
        </w:rPr>
      </w:pPr>
      <w:r w:rsidRPr="008E6B37">
        <w:rPr>
          <w:sz w:val="20"/>
          <w:szCs w:val="20"/>
        </w:rPr>
        <w:t xml:space="preserve">Sensitivity analyses utilizing a lower intervention uptake rate of 0.1 demonstrate that the qualitative epidemiological patterns across all </w:t>
      </w:r>
      <w:r w:rsidRPr="008E6B37">
        <w:rPr>
          <w:i/>
          <w:iCs/>
          <w:sz w:val="20"/>
          <w:szCs w:val="20"/>
        </w:rPr>
        <w:t>N. gonorrhoeae</w:t>
      </w:r>
      <w:r w:rsidRPr="008E6B37">
        <w:rPr>
          <w:sz w:val="20"/>
          <w:szCs w:val="20"/>
        </w:rPr>
        <w:t xml:space="preserve"> strains remain consistent with the primary 0.66 uptake scenario, albeit with an attenuated magnitude of effect</w:t>
      </w:r>
      <w:r w:rsidR="00D67628">
        <w:rPr>
          <w:sz w:val="20"/>
          <w:szCs w:val="20"/>
        </w:rPr>
        <w:t xml:space="preserve"> (see Fig. </w:t>
      </w:r>
      <w:r w:rsidR="00536FF5">
        <w:rPr>
          <w:sz w:val="20"/>
          <w:szCs w:val="20"/>
        </w:rPr>
        <w:t>7</w:t>
      </w:r>
      <w:r w:rsidR="00D67628">
        <w:rPr>
          <w:sz w:val="20"/>
          <w:szCs w:val="20"/>
        </w:rPr>
        <w:t>)</w:t>
      </w:r>
      <w:r w:rsidRPr="008E6B37">
        <w:rPr>
          <w:sz w:val="20"/>
          <w:szCs w:val="20"/>
        </w:rPr>
        <w:t>. For total infections, the characteristic trajectories, including the transient decline and subsequent rebound associated with doxy-PEP, as well as the sustained suppression provided by 4CMenB, are preserved, but result in significantly higher absolute infection counts than those observed under higher coverage levels.</w:t>
      </w:r>
      <w:r w:rsidR="00B50E2D">
        <w:rPr>
          <w:sz w:val="20"/>
          <w:szCs w:val="20"/>
        </w:rPr>
        <w:t xml:space="preserve"> </w:t>
      </w:r>
      <w:r w:rsidRPr="008E6B37">
        <w:rPr>
          <w:sz w:val="20"/>
          <w:szCs w:val="20"/>
        </w:rPr>
        <w:t xml:space="preserve">The strain-specific dynamics similarly reflect this reduced intensity of impact. The selective pressure exerted by </w:t>
      </w:r>
      <w:r w:rsidR="00F65B86">
        <w:rPr>
          <w:sz w:val="20"/>
          <w:szCs w:val="20"/>
        </w:rPr>
        <w:t>d</w:t>
      </w:r>
      <w:r w:rsidRPr="008E6B37">
        <w:rPr>
          <w:sz w:val="20"/>
          <w:szCs w:val="20"/>
        </w:rPr>
        <w:t xml:space="preserve">oxy-PEP on the tetracycline-resistant population remains evident but drives a less pronounced expansion of the resistant niche. Likewise, while susceptible, ceftriaxone-resistant, and dual-resistant strains continue to trend toward lower equilibrium points, the rate of decline is markedly slower. </w:t>
      </w:r>
      <w:r w:rsidRPr="008E6B37">
        <w:rPr>
          <w:sz w:val="20"/>
          <w:szCs w:val="20"/>
        </w:rPr>
        <w:lastRenderedPageBreak/>
        <w:t>These results suggest that while the fundamental evolutionary and transmission mechanics of the interventions are robust to variations in uptake, the ultimate public health utility and the degree of AMR selection are critically dependent on the scale of population-level implementation.</w:t>
      </w:r>
    </w:p>
    <w:p w14:paraId="0FBAA459" w14:textId="0FB49233" w:rsidR="00F52E0E" w:rsidRDefault="00F52E0E" w:rsidP="003B3837">
      <w:pPr>
        <w:pStyle w:val="NormalWeb"/>
        <w:spacing w:line="276" w:lineRule="auto"/>
        <w:jc w:val="both"/>
        <w:rPr>
          <w:sz w:val="20"/>
          <w:szCs w:val="20"/>
          <w:lang w:val="en-GB"/>
        </w:rPr>
      </w:pPr>
      <w:r>
        <w:rPr>
          <w:noProof/>
          <w:sz w:val="20"/>
          <w:szCs w:val="20"/>
          <w:lang w:val="en-GB"/>
          <w14:ligatures w14:val="standardContextual"/>
        </w:rPr>
        <w:drawing>
          <wp:inline distT="0" distB="0" distL="0" distR="0" wp14:anchorId="596C8770" wp14:editId="7AE63943">
            <wp:extent cx="5731510" cy="5900420"/>
            <wp:effectExtent l="0" t="0" r="0" b="5080"/>
            <wp:docPr id="1661620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20965" name="Picture 1661620965"/>
                    <pic:cNvPicPr/>
                  </pic:nvPicPr>
                  <pic:blipFill>
                    <a:blip r:embed="rId17"/>
                    <a:stretch>
                      <a:fillRect/>
                    </a:stretch>
                  </pic:blipFill>
                  <pic:spPr>
                    <a:xfrm>
                      <a:off x="0" y="0"/>
                      <a:ext cx="5731510" cy="5900420"/>
                    </a:xfrm>
                    <a:prstGeom prst="rect">
                      <a:avLst/>
                    </a:prstGeom>
                  </pic:spPr>
                </pic:pic>
              </a:graphicData>
            </a:graphic>
          </wp:inline>
        </w:drawing>
      </w:r>
      <w:r>
        <w:rPr>
          <w:sz w:val="20"/>
          <w:szCs w:val="20"/>
          <w:lang w:val="en-GB"/>
        </w:rPr>
        <w:t xml:space="preserve">Fig. </w:t>
      </w:r>
      <w:r w:rsidR="009550C6">
        <w:rPr>
          <w:sz w:val="20"/>
          <w:szCs w:val="20"/>
          <w:lang w:val="en-GB"/>
        </w:rPr>
        <w:t>7</w:t>
      </w:r>
      <w:r>
        <w:rPr>
          <w:sz w:val="20"/>
          <w:szCs w:val="20"/>
          <w:lang w:val="en-GB"/>
        </w:rPr>
        <w:t xml:space="preserve">: </w:t>
      </w:r>
      <w:r w:rsidR="009B6B32" w:rsidRPr="00327ED6">
        <w:rPr>
          <w:sz w:val="20"/>
          <w:szCs w:val="20"/>
          <w:lang w:val="en-GB"/>
        </w:rPr>
        <w:t xml:space="preserve">Impact of </w:t>
      </w:r>
      <w:r w:rsidR="009B6B32">
        <w:rPr>
          <w:sz w:val="20"/>
          <w:szCs w:val="20"/>
          <w:lang w:val="en-GB"/>
        </w:rPr>
        <w:t>d</w:t>
      </w:r>
      <w:r w:rsidR="009B6B32" w:rsidRPr="00327ED6">
        <w:rPr>
          <w:sz w:val="20"/>
          <w:szCs w:val="20"/>
          <w:lang w:val="en-GB"/>
        </w:rPr>
        <w:t xml:space="preserve">oxy-PEP and 4CMenB vaccination on </w:t>
      </w:r>
      <w:r w:rsidR="009B6B32">
        <w:rPr>
          <w:sz w:val="20"/>
          <w:szCs w:val="20"/>
          <w:lang w:val="en-GB"/>
        </w:rPr>
        <w:t>gonorrhoea</w:t>
      </w:r>
      <w:r w:rsidR="009B6B32" w:rsidRPr="00327ED6">
        <w:rPr>
          <w:sz w:val="20"/>
          <w:szCs w:val="20"/>
          <w:lang w:val="en-GB"/>
        </w:rPr>
        <w:t xml:space="preserve"> transmission and resistance dynamics.</w:t>
      </w:r>
      <w:r w:rsidR="009B6B32">
        <w:rPr>
          <w:sz w:val="20"/>
          <w:szCs w:val="20"/>
          <w:lang w:val="en-GB"/>
        </w:rPr>
        <w:t xml:space="preserve"> </w:t>
      </w:r>
      <w:r w:rsidR="009B6B32" w:rsidRPr="00327ED6">
        <w:rPr>
          <w:sz w:val="20"/>
          <w:szCs w:val="20"/>
          <w:lang w:val="en-GB"/>
        </w:rPr>
        <w:t xml:space="preserve">Projections assume a </w:t>
      </w:r>
      <w:r w:rsidR="009B6B32">
        <w:rPr>
          <w:sz w:val="20"/>
          <w:szCs w:val="20"/>
          <w:lang w:val="en-GB"/>
        </w:rPr>
        <w:t>10</w:t>
      </w:r>
      <w:r w:rsidR="009B6B32" w:rsidRPr="00327ED6">
        <w:rPr>
          <w:sz w:val="20"/>
          <w:szCs w:val="20"/>
          <w:lang w:val="en-GB"/>
        </w:rPr>
        <w:t xml:space="preserve">% intervention uptake rate and fixed behaviour patterns. Model parameters include a calibrated near-zero ceftriaxone treatment failure rate and initial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9B6B32" w:rsidRPr="00327ED6">
        <w:rPr>
          <w:sz w:val="20"/>
          <w:szCs w:val="20"/>
          <w:lang w:val="en-GB"/>
        </w:rPr>
        <w:t xml:space="preserve"> for ceftriaxone-resistant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9B6B32" w:rsidRPr="00327ED6">
        <w:rPr>
          <w:sz w:val="20"/>
          <w:szCs w:val="20"/>
          <w:lang w:val="en-GB"/>
        </w:rPr>
        <w:t xml:space="preserve"> for dual-resistant strains.</w:t>
      </w:r>
    </w:p>
    <w:p w14:paraId="0D152E15" w14:textId="5EB9DB20" w:rsidR="00713935" w:rsidRDefault="00713935" w:rsidP="003B3837">
      <w:pPr>
        <w:pStyle w:val="NormalWeb"/>
        <w:numPr>
          <w:ilvl w:val="0"/>
          <w:numId w:val="8"/>
        </w:numPr>
        <w:spacing w:line="276" w:lineRule="auto"/>
        <w:jc w:val="both"/>
        <w:rPr>
          <w:sz w:val="20"/>
          <w:szCs w:val="20"/>
        </w:rPr>
      </w:pPr>
      <w:r>
        <w:rPr>
          <w:sz w:val="20"/>
          <w:szCs w:val="20"/>
        </w:rPr>
        <w:t>Continued behavioural patterns</w:t>
      </w:r>
    </w:p>
    <w:p w14:paraId="0D52A328" w14:textId="5E55651F" w:rsidR="00550ABE" w:rsidRPr="00B50E2D" w:rsidRDefault="009550C6" w:rsidP="003B3837">
      <w:pPr>
        <w:pStyle w:val="NormalWeb"/>
        <w:spacing w:line="276" w:lineRule="auto"/>
        <w:jc w:val="both"/>
        <w:rPr>
          <w:sz w:val="20"/>
          <w:szCs w:val="20"/>
        </w:rPr>
      </w:pPr>
      <w:r w:rsidRPr="00550ABE">
        <w:rPr>
          <w:sz w:val="20"/>
          <w:szCs w:val="20"/>
        </w:rPr>
        <w:t>To further examine the robustness of these interventions, we performed a sensitivity analysis under an assumption of continuously increasing behaviour within the MSM population</w:t>
      </w:r>
      <w:r w:rsidR="00C70A9E">
        <w:rPr>
          <w:sz w:val="20"/>
          <w:szCs w:val="20"/>
        </w:rPr>
        <w:t xml:space="preserve"> (see Fig. 8)</w:t>
      </w:r>
      <w:r w:rsidRPr="00550ABE">
        <w:rPr>
          <w:sz w:val="20"/>
          <w:szCs w:val="20"/>
        </w:rPr>
        <w:t>. This scenario significantly alters the long-term effectiveness of both pharmacological and immunological interventions, as the rising baseline transmission intensity competes with the protective effects of the rollout.</w:t>
      </w:r>
      <w:r w:rsidR="00B50E2D">
        <w:rPr>
          <w:sz w:val="20"/>
          <w:szCs w:val="20"/>
        </w:rPr>
        <w:t xml:space="preserve"> </w:t>
      </w:r>
      <w:r w:rsidR="00550ABE" w:rsidRPr="00550ABE">
        <w:rPr>
          <w:sz w:val="20"/>
          <w:szCs w:val="20"/>
        </w:rPr>
        <w:t xml:space="preserve">Under this assumption, the total burden of gonorrhoea infections in the no-intervention scenario exhibits a sustained upward trajectory. While doxy-PEP monotherapy also shows an increase in total infections, it maintains a marginally lower incidence than the baseline. </w:t>
      </w:r>
      <w:r w:rsidR="00550ABE" w:rsidRPr="00550ABE">
        <w:rPr>
          <w:sz w:val="20"/>
          <w:szCs w:val="20"/>
        </w:rPr>
        <w:lastRenderedPageBreak/>
        <w:t xml:space="preserve">Conversely, both 4CMenB vaccination and the combined strategy initially drive a reduction in total cases; however, this trend eventually reverses into a </w:t>
      </w:r>
      <w:r w:rsidR="00B50E2D">
        <w:rPr>
          <w:sz w:val="20"/>
          <w:szCs w:val="20"/>
        </w:rPr>
        <w:t>“</w:t>
      </w:r>
      <w:r w:rsidR="00550ABE" w:rsidRPr="00550ABE">
        <w:rPr>
          <w:sz w:val="20"/>
          <w:szCs w:val="20"/>
        </w:rPr>
        <w:t>rebound</w:t>
      </w:r>
      <w:r w:rsidR="00B50E2D">
        <w:rPr>
          <w:sz w:val="20"/>
          <w:szCs w:val="20"/>
        </w:rPr>
        <w:t>”</w:t>
      </w:r>
      <w:r w:rsidR="00550ABE" w:rsidRPr="00550ABE">
        <w:rPr>
          <w:sz w:val="20"/>
          <w:szCs w:val="20"/>
        </w:rPr>
        <w:t xml:space="preserve"> phase as the increase in behaviour and the waning of vaccine-induced immunity converge to drive a late-stage surge in transmission.</w:t>
      </w:r>
      <w:r w:rsidR="00B50E2D">
        <w:rPr>
          <w:sz w:val="20"/>
          <w:szCs w:val="20"/>
        </w:rPr>
        <w:t xml:space="preserve"> </w:t>
      </w:r>
      <w:r w:rsidR="00550ABE" w:rsidRPr="00550ABE">
        <w:rPr>
          <w:sz w:val="20"/>
          <w:szCs w:val="20"/>
        </w:rPr>
        <w:t>The dynamics of individual strains under increased behavioural pressure reveal distinct evolutionary pathways. For susceptible (wild-type) strains, the no-intervention baseline reflects the broader population trend of increasing incidence. Vaccination with 4CMenB initially suppresses these infections, but a subsequent increase is observed as immunity wanes. Notably, both doxy-PEP and the combined strategy remain highly effective at driving susceptible strains toward elimination, with the synergistic effect of the combination strategy accelerating this clearance despite the heightened transmission background. Similarly, for ceftriaxone-resistant strains, all strategies facilitate a decline, but doxy-PEP and the combined strategy are uniquely capable of achieving complete elimination, outperforming both the no-intervention and 4CMenB-only scenarios.</w:t>
      </w:r>
      <w:r w:rsidR="00B50E2D">
        <w:rPr>
          <w:sz w:val="20"/>
          <w:szCs w:val="20"/>
        </w:rPr>
        <w:t xml:space="preserve"> </w:t>
      </w:r>
      <w:r w:rsidR="00550ABE" w:rsidRPr="00550ABE">
        <w:rPr>
          <w:sz w:val="20"/>
          <w:szCs w:val="20"/>
          <w:lang w:val="en-GB"/>
        </w:rPr>
        <w:t xml:space="preserve">Tetracycline-resistant strains exhibit the most significant variation under increased behavioural assumptions. While the no-intervention baseline for </w:t>
      </w:r>
      <w:r w:rsidR="00550ABE">
        <w:rPr>
          <w:sz w:val="20"/>
          <w:szCs w:val="20"/>
          <w:lang w:val="en-GB"/>
        </w:rPr>
        <w:t>t</w:t>
      </w:r>
      <w:r w:rsidR="00550ABE" w:rsidRPr="00550ABE">
        <w:rPr>
          <w:sz w:val="20"/>
          <w:szCs w:val="20"/>
          <w:lang w:val="en-GB"/>
        </w:rPr>
        <w:t xml:space="preserve">etracycline-resistant </w:t>
      </w:r>
      <w:r w:rsidR="00550ABE">
        <w:rPr>
          <w:sz w:val="20"/>
          <w:szCs w:val="20"/>
          <w:lang w:val="en-GB"/>
        </w:rPr>
        <w:t xml:space="preserve">gonorrhoea </w:t>
      </w:r>
      <w:r w:rsidR="00550ABE" w:rsidRPr="00550ABE">
        <w:rPr>
          <w:sz w:val="20"/>
          <w:szCs w:val="20"/>
          <w:lang w:val="en-GB"/>
        </w:rPr>
        <w:t>stabilizes</w:t>
      </w:r>
      <w:r w:rsidR="00550ABE">
        <w:rPr>
          <w:sz w:val="20"/>
          <w:szCs w:val="20"/>
          <w:lang w:val="en-GB"/>
        </w:rPr>
        <w:t xml:space="preserve">, </w:t>
      </w:r>
      <w:r w:rsidR="00550ABE" w:rsidRPr="00550ABE">
        <w:rPr>
          <w:sz w:val="20"/>
          <w:szCs w:val="20"/>
          <w:lang w:val="en-GB"/>
        </w:rPr>
        <w:t>suggesting a balance between increased transmission and fitness costs</w:t>
      </w:r>
      <w:r w:rsidR="00550ABE">
        <w:rPr>
          <w:sz w:val="20"/>
          <w:szCs w:val="20"/>
          <w:lang w:val="en-GB"/>
        </w:rPr>
        <w:t>, d</w:t>
      </w:r>
      <w:r w:rsidR="00550ABE" w:rsidRPr="00550ABE">
        <w:rPr>
          <w:sz w:val="20"/>
          <w:szCs w:val="20"/>
          <w:lang w:val="en-GB"/>
        </w:rPr>
        <w:t xml:space="preserve">oxy-PEP monotherapy drives a continuous and aggressive expansion of this resistant population. The combined strategy initially suppresses </w:t>
      </w:r>
      <w:r w:rsidR="00550ABE">
        <w:rPr>
          <w:sz w:val="20"/>
          <w:szCs w:val="20"/>
          <w:lang w:val="en-GB"/>
        </w:rPr>
        <w:t>t</w:t>
      </w:r>
      <w:r w:rsidR="00550ABE" w:rsidRPr="00550ABE">
        <w:rPr>
          <w:sz w:val="20"/>
          <w:szCs w:val="20"/>
          <w:lang w:val="en-GB"/>
        </w:rPr>
        <w:t xml:space="preserve">etracycline-resistant infections to levels below the baseline; however, following the waning of vaccine protection, the underlying selective pressure of </w:t>
      </w:r>
      <w:r w:rsidR="0062623D">
        <w:rPr>
          <w:sz w:val="20"/>
          <w:szCs w:val="20"/>
          <w:lang w:val="en-GB"/>
        </w:rPr>
        <w:t>d</w:t>
      </w:r>
      <w:r w:rsidR="00550ABE" w:rsidRPr="00550ABE">
        <w:rPr>
          <w:sz w:val="20"/>
          <w:szCs w:val="20"/>
          <w:lang w:val="en-GB"/>
        </w:rPr>
        <w:t xml:space="preserve">oxy-PEP causes </w:t>
      </w:r>
      <w:r w:rsidR="0062623D">
        <w:rPr>
          <w:sz w:val="20"/>
          <w:szCs w:val="20"/>
          <w:lang w:val="en-GB"/>
        </w:rPr>
        <w:t>t</w:t>
      </w:r>
      <w:r w:rsidR="0062623D" w:rsidRPr="00550ABE">
        <w:rPr>
          <w:sz w:val="20"/>
          <w:szCs w:val="20"/>
          <w:lang w:val="en-GB"/>
        </w:rPr>
        <w:t xml:space="preserve">etracycline-resistant </w:t>
      </w:r>
      <w:r w:rsidR="0062623D">
        <w:rPr>
          <w:sz w:val="20"/>
          <w:szCs w:val="20"/>
          <w:lang w:val="en-GB"/>
        </w:rPr>
        <w:t>infections</w:t>
      </w:r>
      <w:r w:rsidR="00550ABE" w:rsidRPr="00550ABE">
        <w:rPr>
          <w:sz w:val="20"/>
          <w:szCs w:val="20"/>
          <w:lang w:val="en-GB"/>
        </w:rPr>
        <w:t xml:space="preserve"> to surge, eventually exceeding the absolute number seen in the no-intervention scenario. Dual-resistant strains, by contrast, continue to decline across all scenarios, though the rate of reduction is notably slowest under </w:t>
      </w:r>
      <w:r w:rsidR="0062623D">
        <w:rPr>
          <w:sz w:val="20"/>
          <w:szCs w:val="20"/>
          <w:lang w:val="en-GB"/>
        </w:rPr>
        <w:t>d</w:t>
      </w:r>
      <w:r w:rsidR="00550ABE" w:rsidRPr="00550ABE">
        <w:rPr>
          <w:sz w:val="20"/>
          <w:szCs w:val="20"/>
          <w:lang w:val="en-GB"/>
        </w:rPr>
        <w:t xml:space="preserve">oxy-PEP monotherapy and most rapid following 4CMenB vaccination. These results underscore that while </w:t>
      </w:r>
      <w:r w:rsidR="0062623D">
        <w:rPr>
          <w:sz w:val="20"/>
          <w:szCs w:val="20"/>
          <w:lang w:val="en-GB"/>
        </w:rPr>
        <w:t>d</w:t>
      </w:r>
      <w:r w:rsidR="00550ABE" w:rsidRPr="00550ABE">
        <w:rPr>
          <w:sz w:val="20"/>
          <w:szCs w:val="20"/>
          <w:lang w:val="en-GB"/>
        </w:rPr>
        <w:t xml:space="preserve">oxy-PEP remains a potent tool for eliminating susceptible and ceftriaxone-resistant strains, its long-term utility is heavily contingent upon </w:t>
      </w:r>
      <w:r w:rsidR="0062623D" w:rsidRPr="00550ABE">
        <w:rPr>
          <w:sz w:val="20"/>
          <w:szCs w:val="20"/>
          <w:lang w:val="en-GB"/>
        </w:rPr>
        <w:t>behavioural</w:t>
      </w:r>
      <w:r w:rsidR="00550ABE" w:rsidRPr="00550ABE">
        <w:rPr>
          <w:sz w:val="20"/>
          <w:szCs w:val="20"/>
          <w:lang w:val="en-GB"/>
        </w:rPr>
        <w:t xml:space="preserve"> trends and the potential for a </w:t>
      </w:r>
      <w:r w:rsidR="0062623D">
        <w:rPr>
          <w:sz w:val="20"/>
          <w:szCs w:val="20"/>
          <w:lang w:val="en-GB"/>
        </w:rPr>
        <w:t>“</w:t>
      </w:r>
      <w:r w:rsidR="00550ABE" w:rsidRPr="00550ABE">
        <w:rPr>
          <w:sz w:val="20"/>
          <w:szCs w:val="20"/>
          <w:lang w:val="en-GB"/>
        </w:rPr>
        <w:t>selection-driven</w:t>
      </w:r>
      <w:r w:rsidR="0062623D">
        <w:rPr>
          <w:sz w:val="20"/>
          <w:szCs w:val="20"/>
          <w:lang w:val="en-GB"/>
        </w:rPr>
        <w:t>”</w:t>
      </w:r>
      <w:r w:rsidR="00550ABE" w:rsidRPr="00550ABE">
        <w:rPr>
          <w:sz w:val="20"/>
          <w:szCs w:val="20"/>
          <w:lang w:val="en-GB"/>
        </w:rPr>
        <w:t xml:space="preserve"> rebound in tetracycline-resistant infections.</w:t>
      </w:r>
    </w:p>
    <w:p w14:paraId="26E64319" w14:textId="691F2582" w:rsidR="00C577E4" w:rsidRDefault="00C577E4" w:rsidP="003B3837">
      <w:pPr>
        <w:spacing w:before="100" w:beforeAutospacing="1" w:after="100" w:afterAutospacing="1" w:line="276" w:lineRule="auto"/>
        <w:jc w:val="both"/>
        <w:rPr>
          <w:rFonts w:ascii="Times New Roman" w:hAnsi="Times New Roman" w:cs="Times New Roman"/>
          <w:sz w:val="20"/>
          <w:szCs w:val="20"/>
          <w:lang w:val="en-GB"/>
        </w:rPr>
      </w:pPr>
      <w:r>
        <w:rPr>
          <w:rFonts w:ascii="Times New Roman" w:hAnsi="Times New Roman" w:cs="Times New Roman"/>
          <w:noProof/>
          <w:sz w:val="20"/>
          <w:szCs w:val="20"/>
          <w:lang w:val="en-GB"/>
        </w:rPr>
        <w:lastRenderedPageBreak/>
        <w:drawing>
          <wp:inline distT="0" distB="0" distL="0" distR="0" wp14:anchorId="6AEEC996" wp14:editId="0762CDD0">
            <wp:extent cx="5731510" cy="5900420"/>
            <wp:effectExtent l="0" t="0" r="0" b="5080"/>
            <wp:docPr id="211401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202" name="Picture 211401202"/>
                    <pic:cNvPicPr/>
                  </pic:nvPicPr>
                  <pic:blipFill>
                    <a:blip r:embed="rId18"/>
                    <a:stretch>
                      <a:fillRect/>
                    </a:stretch>
                  </pic:blipFill>
                  <pic:spPr>
                    <a:xfrm>
                      <a:off x="0" y="0"/>
                      <a:ext cx="5731510" cy="5900420"/>
                    </a:xfrm>
                    <a:prstGeom prst="rect">
                      <a:avLst/>
                    </a:prstGeom>
                  </pic:spPr>
                </pic:pic>
              </a:graphicData>
            </a:graphic>
          </wp:inline>
        </w:drawing>
      </w:r>
    </w:p>
    <w:p w14:paraId="2B59E6CA" w14:textId="415B4C19" w:rsidR="00BD59C2" w:rsidRPr="00B424FD" w:rsidRDefault="00C577E4" w:rsidP="003B3837">
      <w:pPr>
        <w:pStyle w:val="NormalWeb"/>
        <w:spacing w:line="276" w:lineRule="auto"/>
        <w:jc w:val="both"/>
        <w:rPr>
          <w:iCs/>
          <w:color w:val="000000" w:themeColor="text1"/>
          <w:sz w:val="20"/>
          <w:szCs w:val="20"/>
          <w:lang w:val="en-GB"/>
        </w:rPr>
        <w:sectPr w:rsidR="00BD59C2" w:rsidRPr="00B424FD">
          <w:pgSz w:w="11906" w:h="16838"/>
          <w:pgMar w:top="1440" w:right="1440" w:bottom="1440" w:left="1440" w:header="708" w:footer="708" w:gutter="0"/>
          <w:cols w:space="708"/>
          <w:docGrid w:linePitch="360"/>
        </w:sectPr>
      </w:pPr>
      <w:r>
        <w:rPr>
          <w:sz w:val="20"/>
          <w:szCs w:val="20"/>
          <w:lang w:val="en-GB"/>
        </w:rPr>
        <w:t xml:space="preserve">Fig. </w:t>
      </w:r>
      <w:r w:rsidR="009550C6">
        <w:rPr>
          <w:sz w:val="20"/>
          <w:szCs w:val="20"/>
          <w:lang w:val="en-GB"/>
        </w:rPr>
        <w:t>8</w:t>
      </w:r>
      <w:r>
        <w:rPr>
          <w:sz w:val="20"/>
          <w:szCs w:val="20"/>
          <w:lang w:val="en-GB"/>
        </w:rPr>
        <w:t xml:space="preserve">: </w:t>
      </w:r>
      <w:r w:rsidR="005215DC" w:rsidRPr="00327ED6">
        <w:rPr>
          <w:sz w:val="20"/>
          <w:szCs w:val="20"/>
          <w:lang w:val="en-GB"/>
        </w:rPr>
        <w:t xml:space="preserve">Impact of </w:t>
      </w:r>
      <w:r w:rsidR="005215DC">
        <w:rPr>
          <w:sz w:val="20"/>
          <w:szCs w:val="20"/>
          <w:lang w:val="en-GB"/>
        </w:rPr>
        <w:t>d</w:t>
      </w:r>
      <w:r w:rsidR="005215DC" w:rsidRPr="00327ED6">
        <w:rPr>
          <w:sz w:val="20"/>
          <w:szCs w:val="20"/>
          <w:lang w:val="en-GB"/>
        </w:rPr>
        <w:t xml:space="preserve">oxy-PEP and 4CMenB vaccination on </w:t>
      </w:r>
      <w:r w:rsidR="005215DC">
        <w:rPr>
          <w:sz w:val="20"/>
          <w:szCs w:val="20"/>
          <w:lang w:val="en-GB"/>
        </w:rPr>
        <w:t>gonorrhoea</w:t>
      </w:r>
      <w:r w:rsidR="005215DC" w:rsidRPr="00327ED6">
        <w:rPr>
          <w:sz w:val="20"/>
          <w:szCs w:val="20"/>
          <w:lang w:val="en-GB"/>
        </w:rPr>
        <w:t xml:space="preserve"> transmission and resistance dynamics.</w:t>
      </w:r>
      <w:r w:rsidR="005215DC">
        <w:rPr>
          <w:sz w:val="20"/>
          <w:szCs w:val="20"/>
          <w:lang w:val="en-GB"/>
        </w:rPr>
        <w:t xml:space="preserve"> </w:t>
      </w:r>
      <w:r w:rsidR="005215DC" w:rsidRPr="00327ED6">
        <w:rPr>
          <w:sz w:val="20"/>
          <w:szCs w:val="20"/>
          <w:lang w:val="en-GB"/>
        </w:rPr>
        <w:t xml:space="preserve">Projections assume a 66% intervention uptake rate and </w:t>
      </w:r>
      <w:r w:rsidR="005215DC">
        <w:rPr>
          <w:sz w:val="20"/>
          <w:szCs w:val="20"/>
          <w:lang w:val="en-GB"/>
        </w:rPr>
        <w:t>continuously increased</w:t>
      </w:r>
      <w:r w:rsidR="005215DC" w:rsidRPr="00327ED6">
        <w:rPr>
          <w:sz w:val="20"/>
          <w:szCs w:val="20"/>
          <w:lang w:val="en-GB"/>
        </w:rPr>
        <w:t xml:space="preserve"> behaviour patterns. Model parameters include a calibrated near-zero ceftriaxone treatment failure rate and initial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5215DC" w:rsidRPr="00327ED6">
        <w:rPr>
          <w:sz w:val="20"/>
          <w:szCs w:val="20"/>
          <w:lang w:val="en-GB"/>
        </w:rPr>
        <w:t xml:space="preserve"> for ceftriaxone-resistant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5215DC" w:rsidRPr="00327ED6">
        <w:rPr>
          <w:sz w:val="20"/>
          <w:szCs w:val="20"/>
          <w:lang w:val="en-GB"/>
        </w:rPr>
        <w:t xml:space="preserve"> for dual-resistant strains.</w:t>
      </w:r>
    </w:p>
    <w:p w14:paraId="7848A7C5" w14:textId="5094848F" w:rsidR="00E168B3" w:rsidRPr="00B424FD" w:rsidRDefault="000011E7" w:rsidP="003B383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B424FD">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075A5A17" w14:textId="77777777" w:rsidR="001E6F22" w:rsidRPr="001E6F22" w:rsidRDefault="00802477" w:rsidP="003B3837">
      <w:pPr>
        <w:pStyle w:val="Bibliography"/>
        <w:spacing w:line="276" w:lineRule="auto"/>
        <w:rPr>
          <w:rFonts w:ascii="Times New Roman" w:hAnsi="Times New Roman" w:cs="Times New Roman"/>
          <w:color w:val="000000"/>
          <w:sz w:val="20"/>
          <w:lang w:val="en-US"/>
        </w:rPr>
      </w:pPr>
      <w:r w:rsidRPr="00B424FD">
        <w:rPr>
          <w:rFonts w:eastAsia="Times New Roman"/>
          <w:color w:val="000000" w:themeColor="text1"/>
          <w:sz w:val="20"/>
          <w:szCs w:val="20"/>
          <w:lang w:val="en-GB"/>
          <w14:ligatures w14:val="none"/>
        </w:rPr>
        <w:fldChar w:fldCharType="begin"/>
      </w:r>
      <w:r w:rsidR="00E96FBA" w:rsidRPr="00B424FD">
        <w:rPr>
          <w:rFonts w:eastAsia="Times New Roman"/>
          <w:color w:val="000000" w:themeColor="text1"/>
          <w:sz w:val="20"/>
          <w:szCs w:val="20"/>
          <w:lang w:val="en-GB"/>
          <w14:ligatures w14:val="none"/>
        </w:rPr>
        <w:instrText xml:space="preserve"> ADDIN ZOTERO_BIBL {"uncited":[],"omitted":[],"custom":[]} CSL_BIBLIOGRAPHY </w:instrText>
      </w:r>
      <w:r w:rsidRPr="00B424FD">
        <w:rPr>
          <w:rFonts w:eastAsia="Times New Roman"/>
          <w:color w:val="000000" w:themeColor="text1"/>
          <w:sz w:val="20"/>
          <w:szCs w:val="20"/>
          <w:lang w:val="en-GB"/>
          <w14:ligatures w14:val="none"/>
        </w:rPr>
        <w:fldChar w:fldCharType="separate"/>
      </w:r>
      <w:r w:rsidR="001E6F22" w:rsidRPr="001E6F22">
        <w:rPr>
          <w:rFonts w:ascii="Times New Roman" w:hAnsi="Times New Roman" w:cs="Times New Roman"/>
          <w:color w:val="000000"/>
          <w:sz w:val="20"/>
          <w:lang w:val="en-US"/>
        </w:rPr>
        <w:t>[1]</w:t>
      </w:r>
      <w:r w:rsidR="001E6F22" w:rsidRPr="001E6F22">
        <w:rPr>
          <w:rFonts w:ascii="Times New Roman" w:hAnsi="Times New Roman" w:cs="Times New Roman"/>
          <w:color w:val="000000"/>
          <w:sz w:val="20"/>
          <w:lang w:val="en-US"/>
        </w:rPr>
        <w:tab/>
        <w:t>J. Saunders, J. Deering, C. Dewsnap, R. Drayton, and J. Gilmore, “UK National Guideline for the Use of Doxycycline Post-Exposure Prophylaxis (DoxyPEP) for the Prevention of Syphilis”.</w:t>
      </w:r>
    </w:p>
    <w:p w14:paraId="303ED031"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w:t>
      </w:r>
      <w:r w:rsidRPr="001E6F22">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1E6F22">
        <w:rPr>
          <w:rFonts w:ascii="Times New Roman" w:hAnsi="Times New Roman" w:cs="Times New Roman"/>
          <w:i/>
          <w:iCs/>
          <w:color w:val="000000"/>
          <w:sz w:val="20"/>
          <w:lang w:val="en-US"/>
        </w:rPr>
        <w:t>Lancet Infect. Dis.</w:t>
      </w:r>
      <w:r w:rsidRPr="001E6F22">
        <w:rPr>
          <w:rFonts w:ascii="Times New Roman" w:hAnsi="Times New Roman" w:cs="Times New Roman"/>
          <w:color w:val="000000"/>
          <w:sz w:val="20"/>
          <w:lang w:val="en-US"/>
        </w:rPr>
        <w:t>, vol. 23, no. 8, pp. e268–e269, Aug. 2023, doi: 10.1016/S1473-3099(23)00359-6.</w:t>
      </w:r>
    </w:p>
    <w:p w14:paraId="74C5A53D"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[3]</w:t>
      </w:r>
      <w:r w:rsidRPr="001E6F22">
        <w:rPr>
          <w:rFonts w:ascii="Times New Roman" w:hAnsi="Times New Roman" w:cs="Times New Roman"/>
          <w:color w:val="000000"/>
          <w:sz w:val="20"/>
          <w:lang w:val="en-US"/>
        </w:rPr>
        <w:tab/>
        <w:t xml:space="preserve">M. E. DeWitt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“Promise and peril: doxycycline prophylaxis and the spread of resistance among diverse populations,” </w:t>
      </w:r>
      <w:r w:rsidRPr="001E6F22">
        <w:rPr>
          <w:rFonts w:ascii="Times New Roman" w:hAnsi="Times New Roman" w:cs="Times New Roman"/>
          <w:i/>
          <w:iCs/>
          <w:color w:val="000000"/>
          <w:sz w:val="20"/>
          <w:lang w:val="en-US"/>
        </w:rPr>
        <w:t>Lancet Microbe</w:t>
      </w:r>
      <w:r w:rsidRPr="001E6F22">
        <w:rPr>
          <w:rFonts w:ascii="Times New Roman" w:hAnsi="Times New Roman" w:cs="Times New Roman"/>
          <w:color w:val="000000"/>
          <w:sz w:val="20"/>
          <w:lang w:val="en-US"/>
        </w:rPr>
        <w:t>, vol. 0, no. 0, Aug. 2025, doi: 10.1016/j.lanmic.2025.101222.</w:t>
      </w:r>
    </w:p>
    <w:p w14:paraId="5D611343"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[4]</w:t>
      </w:r>
      <w:r w:rsidRPr="001E6F22">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1E6F22">
        <w:rPr>
          <w:rFonts w:ascii="Times New Roman" w:hAnsi="Times New Roman" w:cs="Times New Roman"/>
          <w:i/>
          <w:iCs/>
          <w:color w:val="000000"/>
          <w:sz w:val="20"/>
          <w:lang w:val="en-US"/>
        </w:rPr>
        <w:t>Lancet Infect. Dis.</w:t>
      </w:r>
      <w:r w:rsidRPr="001E6F22">
        <w:rPr>
          <w:rFonts w:ascii="Times New Roman" w:hAnsi="Times New Roman" w:cs="Times New Roman"/>
          <w:color w:val="000000"/>
          <w:sz w:val="20"/>
          <w:lang w:val="en-US"/>
        </w:rPr>
        <w:t>, vol. 25, no. 6, p. e316, Jun. 2025, doi: 10.1016/S1473-3099(25)00234-8.</w:t>
      </w:r>
    </w:p>
    <w:p w14:paraId="702CE627"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[5]</w:t>
      </w:r>
      <w:r w:rsidRPr="001E6F22">
        <w:rPr>
          <w:rFonts w:ascii="Times New Roman" w:hAnsi="Times New Roman" w:cs="Times New Roman"/>
          <w:color w:val="000000"/>
          <w:sz w:val="20"/>
          <w:lang w:val="en-US"/>
        </w:rPr>
        <w:tab/>
        <w:t xml:space="preserve">T. Vanbaelen, F. Kong, I. Kanesaka, S. S. Manoharan-Basil, and C. Kenyon, “Where we stand on doxyPEP depends on where we sit: a viewpoint,” </w:t>
      </w:r>
      <w:r w:rsidRPr="001E6F22">
        <w:rPr>
          <w:rFonts w:ascii="Times New Roman" w:hAnsi="Times New Roman" w:cs="Times New Roman"/>
          <w:i/>
          <w:iCs/>
          <w:color w:val="000000"/>
          <w:sz w:val="20"/>
          <w:lang w:val="en-US"/>
        </w:rPr>
        <w:t>Front. Microbiol.</w:t>
      </w:r>
      <w:r w:rsidRPr="001E6F22">
        <w:rPr>
          <w:rFonts w:ascii="Times New Roman" w:hAnsi="Times New Roman" w:cs="Times New Roman"/>
          <w:color w:val="000000"/>
          <w:sz w:val="20"/>
          <w:lang w:val="en-US"/>
        </w:rPr>
        <w:t>, vol. 16, Jun. 2025, doi: 10.3389/fmicb.2025.1616111.</w:t>
      </w:r>
    </w:p>
    <w:p w14:paraId="058646D4"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[6]</w:t>
      </w:r>
      <w:r w:rsidRPr="001E6F22">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1E6F22">
        <w:rPr>
          <w:rFonts w:ascii="Times New Roman" w:hAnsi="Times New Roman" w:cs="Times New Roman"/>
          <w:i/>
          <w:iCs/>
          <w:color w:val="000000"/>
          <w:sz w:val="20"/>
          <w:lang w:val="en-US"/>
        </w:rPr>
        <w:t>Clin. Microbiol. Rev.</w:t>
      </w:r>
      <w:r w:rsidRPr="001E6F22">
        <w:rPr>
          <w:rFonts w:ascii="Times New Roman" w:hAnsi="Times New Roman" w:cs="Times New Roman"/>
          <w:color w:val="000000"/>
          <w:sz w:val="20"/>
          <w:lang w:val="en-US"/>
        </w:rPr>
        <w:t>, vol. 27, no. 3, pp. 587–613, Jul. 2014, doi: 10.1128/CMR.00010-14.</w:t>
      </w:r>
    </w:p>
    <w:p w14:paraId="0B57F2A2"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[7]</w:t>
      </w:r>
      <w:r w:rsidRPr="001E6F22">
        <w:rPr>
          <w:rFonts w:ascii="Times New Roman" w:hAnsi="Times New Roman" w:cs="Times New Roman"/>
          <w:color w:val="000000"/>
          <w:sz w:val="20"/>
          <w:lang w:val="en-US"/>
        </w:rPr>
        <w:tab/>
        <w:t xml:space="preserve">R. Pitt-Kendall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“Investigating the cause of increased tetracycline-resistant Neisseria gonorrhoeae in England, 2016-20,” </w:t>
      </w:r>
      <w:r w:rsidRPr="001E6F22">
        <w:rPr>
          <w:rFonts w:ascii="Times New Roman" w:hAnsi="Times New Roman" w:cs="Times New Roman"/>
          <w:i/>
          <w:iCs/>
          <w:color w:val="000000"/>
          <w:sz w:val="20"/>
          <w:lang w:val="en-US"/>
        </w:rPr>
        <w:t>J. Antimicrob. Chemother.</w:t>
      </w:r>
      <w:r w:rsidRPr="001E6F22">
        <w:rPr>
          <w:rFonts w:ascii="Times New Roman" w:hAnsi="Times New Roman" w:cs="Times New Roman"/>
          <w:color w:val="000000"/>
          <w:sz w:val="20"/>
          <w:lang w:val="en-US"/>
        </w:rPr>
        <w:t>, vol. 79, no. 5, pp. 1060–1068, May 2024, doi: 10.1093/jac/dkae073.</w:t>
      </w:r>
    </w:p>
    <w:p w14:paraId="4803EC7F"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[8]</w:t>
      </w:r>
      <w:r w:rsidRPr="001E6F22">
        <w:rPr>
          <w:rFonts w:ascii="Times New Roman" w:hAnsi="Times New Roman" w:cs="Times New Roman"/>
          <w:color w:val="000000"/>
          <w:sz w:val="20"/>
          <w:lang w:val="en-US"/>
        </w:rPr>
        <w:tab/>
        <w:t xml:space="preserve">L. R. Robinson, C. J. McDevitt, M. R. Regan, S. L. Quail, M. Swartz, and C. B. Wadsworth, “Revisiting the potential impact of doxycycline post-exposure prophylaxis on the selection of doxycycline resistance in Neisseria commensals,” </w:t>
      </w:r>
      <w:r w:rsidRPr="001E6F22">
        <w:rPr>
          <w:rFonts w:ascii="Times New Roman" w:hAnsi="Times New Roman" w:cs="Times New Roman"/>
          <w:i/>
          <w:iCs/>
          <w:color w:val="000000"/>
          <w:sz w:val="20"/>
          <w:lang w:val="en-US"/>
        </w:rPr>
        <w:t>Sci. Rep.</w:t>
      </w:r>
      <w:r w:rsidRPr="001E6F22">
        <w:rPr>
          <w:rFonts w:ascii="Times New Roman" w:hAnsi="Times New Roman" w:cs="Times New Roman"/>
          <w:color w:val="000000"/>
          <w:sz w:val="20"/>
          <w:lang w:val="en-US"/>
        </w:rPr>
        <w:t>, vol. 15, no. 1, p. 12400, Apr. 2025, doi: 10.1038/s41598-025-96244-8.</w:t>
      </w:r>
    </w:p>
    <w:p w14:paraId="59948E17"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[9]</w:t>
      </w:r>
      <w:r w:rsidRPr="001E6F22">
        <w:rPr>
          <w:rFonts w:ascii="Times New Roman" w:hAnsi="Times New Roman" w:cs="Times New Roman"/>
          <w:color w:val="000000"/>
          <w:sz w:val="20"/>
          <w:lang w:val="en-US"/>
        </w:rPr>
        <w:tab/>
        <w:t>“US FDA accepts New Drug Application for zoliflodacin,” Global Antibiotic Research and Development Partnership. Accessed: Nov. 21, 2025. [Online]. Available: https://gardp.org/innoviva-specialty-therapeutics-receives-fda-new-drug-application-acceptance-for-zoliflodacin-a-first-in-class-oral-antibiotic-for-uncomplicated-gonorrhoea-in-adults/</w:t>
      </w:r>
    </w:p>
    <w:p w14:paraId="331BECE9"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[10]</w:t>
      </w:r>
      <w:r w:rsidRPr="001E6F22">
        <w:rPr>
          <w:rFonts w:ascii="Times New Roman" w:hAnsi="Times New Roman" w:cs="Times New Roman"/>
          <w:color w:val="000000"/>
          <w:sz w:val="20"/>
          <w:lang w:val="en-US"/>
        </w:rPr>
        <w:tab/>
        <w:t xml:space="preserve">S. N. Taylor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“Single-Dose Zoliflodacin (ETX0914) for Treatment of Urogenital Gonorrhea,” </w:t>
      </w:r>
      <w:r w:rsidRPr="001E6F22">
        <w:rPr>
          <w:rFonts w:ascii="Times New Roman" w:hAnsi="Times New Roman" w:cs="Times New Roman"/>
          <w:i/>
          <w:iCs/>
          <w:color w:val="000000"/>
          <w:sz w:val="20"/>
          <w:lang w:val="en-US"/>
        </w:rPr>
        <w:t>N. Engl. J. Med.</w:t>
      </w:r>
      <w:r w:rsidRPr="001E6F22">
        <w:rPr>
          <w:rFonts w:ascii="Times New Roman" w:hAnsi="Times New Roman" w:cs="Times New Roman"/>
          <w:color w:val="000000"/>
          <w:sz w:val="20"/>
          <w:lang w:val="en-US"/>
        </w:rPr>
        <w:t>, vol. 379, no. 19, pp. 1835–1845, Nov. 2018, doi: 10.1056/NEJMoa1706988.</w:t>
      </w:r>
    </w:p>
    <w:p w14:paraId="515C7757"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[11]</w:t>
      </w:r>
      <w:r w:rsidRPr="001E6F22">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635B367F"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[12]</w:t>
      </w:r>
      <w:r w:rsidRPr="001E6F22">
        <w:rPr>
          <w:rFonts w:ascii="Times New Roman" w:hAnsi="Times New Roman" w:cs="Times New Roman"/>
          <w:color w:val="000000"/>
          <w:sz w:val="20"/>
          <w:lang w:val="en-US"/>
        </w:rPr>
        <w:tab/>
        <w:t xml:space="preserve">K. K. K. Ko, M. T. W. Chio, S. S. Goh, A. L. Tan, T. H. Koh, and N. B. Abdul Rahman, “First Case of Ceftriaxone-Resistant Multidrug-Resistant Neisseria gonorrhoeae in Singapore,” </w:t>
      </w:r>
      <w:r w:rsidRPr="001E6F22">
        <w:rPr>
          <w:rFonts w:ascii="Times New Roman" w:hAnsi="Times New Roman" w:cs="Times New Roman"/>
          <w:i/>
          <w:iCs/>
          <w:color w:val="000000"/>
          <w:sz w:val="20"/>
          <w:lang w:val="en-US"/>
        </w:rPr>
        <w:t>Antimicrob. Agents Chemother.</w:t>
      </w:r>
      <w:r w:rsidRPr="001E6F22">
        <w:rPr>
          <w:rFonts w:ascii="Times New Roman" w:hAnsi="Times New Roman" w:cs="Times New Roman"/>
          <w:color w:val="000000"/>
          <w:sz w:val="20"/>
          <w:lang w:val="en-US"/>
        </w:rPr>
        <w:t>, vol. 63, no. 5, pp. e02624-18, Apr. 2019, doi: 10.1128/AAC.02624-18.</w:t>
      </w:r>
    </w:p>
    <w:p w14:paraId="3D468393"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[13]</w:t>
      </w:r>
      <w:r w:rsidRPr="001E6F22">
        <w:rPr>
          <w:rFonts w:ascii="Times New Roman" w:hAnsi="Times New Roman" w:cs="Times New Roman"/>
          <w:color w:val="000000"/>
          <w:sz w:val="20"/>
          <w:lang w:val="en-US"/>
        </w:rPr>
        <w:tab/>
        <w:t xml:space="preserve">C. Kenyon, “Doxycycline Postexposure Prophylaxis Could Accelerate the Emergence of Gonococcal Ceftriaxone Resistance,” </w:t>
      </w:r>
      <w:r w:rsidRPr="001E6F22">
        <w:rPr>
          <w:rFonts w:ascii="Times New Roman" w:hAnsi="Times New Roman" w:cs="Times New Roman"/>
          <w:i/>
          <w:iCs/>
          <w:color w:val="000000"/>
          <w:sz w:val="20"/>
          <w:lang w:val="en-US"/>
        </w:rPr>
        <w:t>JAMA Intern. Med.</w:t>
      </w:r>
      <w:r w:rsidRPr="001E6F22">
        <w:rPr>
          <w:rFonts w:ascii="Times New Roman" w:hAnsi="Times New Roman" w:cs="Times New Roman"/>
          <w:color w:val="000000"/>
          <w:sz w:val="20"/>
          <w:lang w:val="en-US"/>
        </w:rPr>
        <w:t>, vol. 185, no. 8, p. 1051, Aug. 2025, doi: 10.1001/jamainternmed.2025.0984.</w:t>
      </w:r>
    </w:p>
    <w:p w14:paraId="55326549"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[14]</w:t>
      </w:r>
      <w:r w:rsidRPr="001E6F22">
        <w:rPr>
          <w:rFonts w:ascii="Times New Roman" w:hAnsi="Times New Roman" w:cs="Times New Roman"/>
          <w:color w:val="000000"/>
          <w:sz w:val="20"/>
          <w:lang w:val="en-US"/>
        </w:rPr>
        <w:tab/>
        <w:t xml:space="preserve">L. Geng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“Potential public health impacts of gonorrhea vaccination programmes under declining incidences: A modeling study,” </w:t>
      </w:r>
      <w:r w:rsidRPr="001E6F22">
        <w:rPr>
          <w:rFonts w:ascii="Times New Roman" w:hAnsi="Times New Roman" w:cs="Times New Roman"/>
          <w:i/>
          <w:iCs/>
          <w:color w:val="000000"/>
          <w:sz w:val="20"/>
          <w:lang w:val="en-US"/>
        </w:rPr>
        <w:t>PLoS Med.</w:t>
      </w:r>
      <w:r w:rsidRPr="001E6F22">
        <w:rPr>
          <w:rFonts w:ascii="Times New Roman" w:hAnsi="Times New Roman" w:cs="Times New Roman"/>
          <w:color w:val="000000"/>
          <w:sz w:val="20"/>
          <w:lang w:val="en-US"/>
        </w:rPr>
        <w:t>, vol. 22, no. 2, p. e1004521, Feb. 2025, doi: 10.1371/journal.pmed.1004521.</w:t>
      </w:r>
    </w:p>
    <w:p w14:paraId="096474EB"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[15]</w:t>
      </w:r>
      <w:r w:rsidRPr="001E6F22">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1E6F22">
        <w:rPr>
          <w:rFonts w:ascii="Times New Roman" w:hAnsi="Times New Roman" w:cs="Times New Roman"/>
          <w:i/>
          <w:iCs/>
          <w:color w:val="000000"/>
          <w:sz w:val="20"/>
          <w:lang w:val="en-US"/>
        </w:rPr>
        <w:t>Lancet Infect. Dis.</w:t>
      </w:r>
      <w:r w:rsidRPr="001E6F22">
        <w:rPr>
          <w:rFonts w:ascii="Times New Roman" w:hAnsi="Times New Roman" w:cs="Times New Roman"/>
          <w:color w:val="000000"/>
          <w:sz w:val="20"/>
          <w:lang w:val="en-US"/>
        </w:rPr>
        <w:t>, vol. 22, no. 7, pp. 1030–1041, Jul. 2022, doi: 10.1016/S1473-3099(21)00744-1.</w:t>
      </w:r>
    </w:p>
    <w:p w14:paraId="6DE61537"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[16]</w:t>
      </w:r>
      <w:r w:rsidRPr="001E6F22">
        <w:rPr>
          <w:rFonts w:ascii="Times New Roman" w:hAnsi="Times New Roman" w:cs="Times New Roman"/>
          <w:color w:val="000000"/>
          <w:sz w:val="20"/>
          <w:lang w:val="en-US"/>
        </w:rPr>
        <w:tab/>
        <w:t xml:space="preserve">S. N. Ladhani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“Use of a meningococcal group B vaccine (4CMenB) in populations at high risk of gonorrhoea in the UK,” </w:t>
      </w:r>
      <w:r w:rsidRPr="001E6F22">
        <w:rPr>
          <w:rFonts w:ascii="Times New Roman" w:hAnsi="Times New Roman" w:cs="Times New Roman"/>
          <w:i/>
          <w:iCs/>
          <w:color w:val="000000"/>
          <w:sz w:val="20"/>
          <w:lang w:val="en-US"/>
        </w:rPr>
        <w:t>Lancet Infect. Dis.</w:t>
      </w:r>
      <w:r w:rsidRPr="001E6F22">
        <w:rPr>
          <w:rFonts w:ascii="Times New Roman" w:hAnsi="Times New Roman" w:cs="Times New Roman"/>
          <w:color w:val="000000"/>
          <w:sz w:val="20"/>
          <w:lang w:val="en-US"/>
        </w:rPr>
        <w:t>, vol. 24, no. 9, pp. e576–e583, Sep. 2024, doi: 10.1016/S1473-3099(24)00031-8.</w:t>
      </w:r>
    </w:p>
    <w:p w14:paraId="2EC8C183"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[17]</w:t>
      </w:r>
      <w:r w:rsidRPr="001E6F22">
        <w:rPr>
          <w:rFonts w:ascii="Times New Roman" w:hAnsi="Times New Roman" w:cs="Times New Roman"/>
          <w:color w:val="000000"/>
          <w:sz w:val="20"/>
          <w:lang w:val="en-US"/>
        </w:rPr>
        <w:tab/>
        <w:t xml:space="preserve">A. R. Tuite, T. L. Gift, H. W. Chesson, K. Hsu, J. A. Salomon, and Y. H. Grad, “Impact of Rapid Susceptibility Testing and Antibiotic Selection Strategy on the Emergence and Spread of Antibiotic Resistance in Gonorrhea,” </w:t>
      </w:r>
      <w:r w:rsidRPr="001E6F22">
        <w:rPr>
          <w:rFonts w:ascii="Times New Roman" w:hAnsi="Times New Roman" w:cs="Times New Roman"/>
          <w:i/>
          <w:iCs/>
          <w:color w:val="000000"/>
          <w:sz w:val="20"/>
          <w:lang w:val="en-US"/>
        </w:rPr>
        <w:t>J. Infect. Dis.</w:t>
      </w:r>
      <w:r w:rsidRPr="001E6F22">
        <w:rPr>
          <w:rFonts w:ascii="Times New Roman" w:hAnsi="Times New Roman" w:cs="Times New Roman"/>
          <w:color w:val="000000"/>
          <w:sz w:val="20"/>
          <w:lang w:val="en-US"/>
        </w:rPr>
        <w:t>, vol. 216, no. 9, pp. 1141–1149, Nov. 2017, doi: 10.1093/infdis/jix450.</w:t>
      </w:r>
    </w:p>
    <w:p w14:paraId="66B49308"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lastRenderedPageBreak/>
        <w:t>[18]</w:t>
      </w:r>
      <w:r w:rsidRPr="001E6F22">
        <w:rPr>
          <w:rFonts w:ascii="Times New Roman" w:hAnsi="Times New Roman" w:cs="Times New Roman"/>
          <w:color w:val="000000"/>
          <w:sz w:val="20"/>
          <w:lang w:val="en-US"/>
        </w:rPr>
        <w:tab/>
        <w:t xml:space="preserve">E. Reichert, R. Yaesoubi, M. M. Rönn, T. L. Gift, J. A. Salomon, and Y. H. Grad, “Resistance-minimising strategies for introducing a novel antibiotic for gonorrhoea treatment: a mathematical modelling study,” </w:t>
      </w:r>
      <w:r w:rsidRPr="001E6F22">
        <w:rPr>
          <w:rFonts w:ascii="Times New Roman" w:hAnsi="Times New Roman" w:cs="Times New Roman"/>
          <w:i/>
          <w:iCs/>
          <w:color w:val="000000"/>
          <w:sz w:val="20"/>
          <w:lang w:val="en-US"/>
        </w:rPr>
        <w:t>Lancet Microbe</w:t>
      </w:r>
      <w:r w:rsidRPr="001E6F22">
        <w:rPr>
          <w:rFonts w:ascii="Times New Roman" w:hAnsi="Times New Roman" w:cs="Times New Roman"/>
          <w:color w:val="000000"/>
          <w:sz w:val="20"/>
          <w:lang w:val="en-US"/>
        </w:rPr>
        <w:t>, vol. 4, no. 10, pp. e781–e789, Oct. 2023, doi: 10.1016/S2666-5247(23)00145-3.</w:t>
      </w:r>
    </w:p>
    <w:p w14:paraId="38798EF2"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[19]</w:t>
      </w:r>
      <w:r w:rsidRPr="001E6F22">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1E6F22">
        <w:rPr>
          <w:rFonts w:ascii="Times New Roman" w:hAnsi="Times New Roman" w:cs="Times New Roman"/>
          <w:i/>
          <w:iCs/>
          <w:color w:val="000000"/>
          <w:sz w:val="20"/>
          <w:lang w:val="en-US"/>
        </w:rPr>
        <w:t>Lancet Microbe</w:t>
      </w:r>
      <w:r w:rsidRPr="001E6F22">
        <w:rPr>
          <w:rFonts w:ascii="Times New Roman" w:hAnsi="Times New Roman" w:cs="Times New Roman"/>
          <w:color w:val="000000"/>
          <w:sz w:val="20"/>
          <w:lang w:val="en-US"/>
        </w:rPr>
        <w:t>, vol. 5, no. 11, p. 100926, Nov. 2024, doi: 10.1016/s2666-5247(24)00168-x.</w:t>
      </w:r>
    </w:p>
    <w:p w14:paraId="2A6DA91D"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[20]</w:t>
      </w:r>
      <w:r w:rsidRPr="001E6F22">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1E6F22">
        <w:rPr>
          <w:rFonts w:ascii="Times New Roman" w:hAnsi="Times New Roman" w:cs="Times New Roman"/>
          <w:i/>
          <w:iCs/>
          <w:color w:val="000000"/>
          <w:sz w:val="20"/>
          <w:lang w:val="en-US"/>
        </w:rPr>
        <w:t>Clin. Infect. Dis.</w:t>
      </w:r>
      <w:r w:rsidRPr="001E6F22">
        <w:rPr>
          <w:rFonts w:ascii="Times New Roman" w:hAnsi="Times New Roman" w:cs="Times New Roman"/>
          <w:color w:val="000000"/>
          <w:sz w:val="20"/>
          <w:lang w:val="en-US"/>
        </w:rPr>
        <w:t>, vol. 71, no. 8, pp. 1912–1919, Nov. 2020, doi: 10.1093/cid/ciz1241.</w:t>
      </w:r>
    </w:p>
    <w:p w14:paraId="4BFD9726"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[21]</w:t>
      </w:r>
      <w:r w:rsidRPr="001E6F22">
        <w:rPr>
          <w:rFonts w:ascii="Times New Roman" w:hAnsi="Times New Roman" w:cs="Times New Roman"/>
          <w:color w:val="000000"/>
          <w:sz w:val="20"/>
          <w:lang w:val="en-US"/>
        </w:rPr>
        <w:tab/>
        <w:t xml:space="preserve">L. K. Whittles, P. J. White, and X. Didelot, “Estimating the fitness cost and benefit of cefixime resistance in Neisseria gonorrhoeae to inform prescription policy: A modelling study,” </w:t>
      </w:r>
      <w:r w:rsidRPr="001E6F22">
        <w:rPr>
          <w:rFonts w:ascii="Times New Roman" w:hAnsi="Times New Roman" w:cs="Times New Roman"/>
          <w:i/>
          <w:iCs/>
          <w:color w:val="000000"/>
          <w:sz w:val="20"/>
          <w:lang w:val="en-US"/>
        </w:rPr>
        <w:t>PLOS Med.</w:t>
      </w:r>
      <w:r w:rsidRPr="001E6F22">
        <w:rPr>
          <w:rFonts w:ascii="Times New Roman" w:hAnsi="Times New Roman" w:cs="Times New Roman"/>
          <w:color w:val="000000"/>
          <w:sz w:val="20"/>
          <w:lang w:val="en-US"/>
        </w:rPr>
        <w:t>, vol. 14, no. 10, p. e1002416, Oct. 2017, doi: 10.1371/journal.pmed.1002416.</w:t>
      </w:r>
    </w:p>
    <w:p w14:paraId="5A9C6FEF"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[22]</w:t>
      </w:r>
      <w:r w:rsidRPr="001E6F22">
        <w:rPr>
          <w:rFonts w:ascii="Times New Roman" w:hAnsi="Times New Roman" w:cs="Times New Roman"/>
          <w:color w:val="000000"/>
          <w:sz w:val="20"/>
          <w:lang w:val="en-US"/>
        </w:rPr>
        <w:tab/>
        <w:t xml:space="preserve">H. Fifer, J. Saunders, S. Soni, S. T. Sadiq, and M. FitzGerald, “2018 UK national guideline for the management of infection with Neisseria gonorrhoeae,” </w:t>
      </w:r>
      <w:r w:rsidRPr="001E6F22">
        <w:rPr>
          <w:rFonts w:ascii="Times New Roman" w:hAnsi="Times New Roman" w:cs="Times New Roman"/>
          <w:i/>
          <w:iCs/>
          <w:color w:val="000000"/>
          <w:sz w:val="20"/>
          <w:lang w:val="en-US"/>
        </w:rPr>
        <w:t>Int. J. STD AIDS</w:t>
      </w:r>
      <w:r w:rsidRPr="001E6F22">
        <w:rPr>
          <w:rFonts w:ascii="Times New Roman" w:hAnsi="Times New Roman" w:cs="Times New Roman"/>
          <w:color w:val="000000"/>
          <w:sz w:val="20"/>
          <w:lang w:val="en-US"/>
        </w:rPr>
        <w:t>, vol. 31, no. 1, pp. 4–15, Jan. 2020, doi: 10.1177/0956462419886775.</w:t>
      </w:r>
    </w:p>
    <w:p w14:paraId="3E7F0994"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[23]</w:t>
      </w:r>
      <w:r w:rsidRPr="001E6F22">
        <w:rPr>
          <w:rFonts w:ascii="Times New Roman" w:hAnsi="Times New Roman" w:cs="Times New Roman"/>
          <w:color w:val="000000"/>
          <w:sz w:val="20"/>
          <w:lang w:val="en-US"/>
        </w:rPr>
        <w:tab/>
        <w:t>“GRASP report: data to September 2025,” UK Health Security Agency. Accessed: Nov. 20, 2025. [Online]. Available: https://www.gov.uk/government/publications/gonococcal-resistance-to-antimicrobials-surveillance-programme-grasp-report/grasp-report-data-to-september-2025</w:t>
      </w:r>
    </w:p>
    <w:p w14:paraId="2A9F3FDE"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[24]</w:t>
      </w:r>
      <w:r w:rsidRPr="001E6F22">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1E6F22">
        <w:rPr>
          <w:rFonts w:ascii="Times New Roman" w:hAnsi="Times New Roman" w:cs="Times New Roman"/>
          <w:i/>
          <w:iCs/>
          <w:color w:val="000000"/>
          <w:sz w:val="20"/>
          <w:lang w:val="en-US"/>
        </w:rPr>
        <w:t>JAMA</w:t>
      </w:r>
      <w:r w:rsidRPr="001E6F22">
        <w:rPr>
          <w:rFonts w:ascii="Times New Roman" w:hAnsi="Times New Roman" w:cs="Times New Roman"/>
          <w:color w:val="000000"/>
          <w:sz w:val="20"/>
          <w:lang w:val="en-US"/>
        </w:rPr>
        <w:t>, vol. 250, no. 23, pp. 3205–3209, Dec. 1983.</w:t>
      </w:r>
    </w:p>
    <w:p w14:paraId="3A61FDF7"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[25]</w:t>
      </w:r>
      <w:r w:rsidRPr="001E6F22">
        <w:rPr>
          <w:rFonts w:ascii="Times New Roman" w:hAnsi="Times New Roman" w:cs="Times New Roman"/>
          <w:color w:val="000000"/>
          <w:sz w:val="20"/>
          <w:lang w:val="en-US"/>
        </w:rPr>
        <w:tab/>
        <w:t xml:space="preserve">K. A. Schmidt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“Experimental gonococcal urethritis and reinfection with homologous gonococci in male volunteers,” </w:t>
      </w:r>
      <w:r w:rsidRPr="001E6F22">
        <w:rPr>
          <w:rFonts w:ascii="Times New Roman" w:hAnsi="Times New Roman" w:cs="Times New Roman"/>
          <w:i/>
          <w:iCs/>
          <w:color w:val="000000"/>
          <w:sz w:val="20"/>
          <w:lang w:val="en-US"/>
        </w:rPr>
        <w:t>Sex. Transm. Dis.</w:t>
      </w:r>
      <w:r w:rsidRPr="001E6F22">
        <w:rPr>
          <w:rFonts w:ascii="Times New Roman" w:hAnsi="Times New Roman" w:cs="Times New Roman"/>
          <w:color w:val="000000"/>
          <w:sz w:val="20"/>
          <w:lang w:val="en-US"/>
        </w:rPr>
        <w:t>, vol. 28, no. 10, pp. 555–564, Oct. 2001, doi: 10.1097/00007435-200110000-00001.</w:t>
      </w:r>
    </w:p>
    <w:p w14:paraId="5C58D029"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[26]</w:t>
      </w:r>
      <w:r w:rsidRPr="001E6F22">
        <w:rPr>
          <w:rFonts w:ascii="Times New Roman" w:hAnsi="Times New Roman" w:cs="Times New Roman"/>
          <w:color w:val="000000"/>
          <w:sz w:val="20"/>
          <w:lang w:val="en-US"/>
        </w:rPr>
        <w:tab/>
        <w:t xml:space="preserve">C. B. Hosenfeld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“Repeat infection with Chlamydia and gonorrhea among females: a systematic review of the literature,” </w:t>
      </w:r>
      <w:r w:rsidRPr="001E6F22">
        <w:rPr>
          <w:rFonts w:ascii="Times New Roman" w:hAnsi="Times New Roman" w:cs="Times New Roman"/>
          <w:i/>
          <w:iCs/>
          <w:color w:val="000000"/>
          <w:sz w:val="20"/>
          <w:lang w:val="en-US"/>
        </w:rPr>
        <w:t>Sex. Transm. Dis.</w:t>
      </w:r>
      <w:r w:rsidRPr="001E6F22">
        <w:rPr>
          <w:rFonts w:ascii="Times New Roman" w:hAnsi="Times New Roman" w:cs="Times New Roman"/>
          <w:color w:val="000000"/>
          <w:sz w:val="20"/>
          <w:lang w:val="en-US"/>
        </w:rPr>
        <w:t>, vol. 36, no. 8, pp. 478–489, Aug. 2009, doi: 10.1097/OLQ.0b013e3181a2a933.</w:t>
      </w:r>
    </w:p>
    <w:p w14:paraId="56369028"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[27]</w:t>
      </w:r>
      <w:r w:rsidRPr="001E6F22">
        <w:rPr>
          <w:rFonts w:ascii="Times New Roman" w:hAnsi="Times New Roman" w:cs="Times New Roman"/>
          <w:color w:val="000000"/>
          <w:sz w:val="20"/>
          <w:lang w:val="en-US"/>
        </w:rPr>
        <w:tab/>
        <w:t xml:space="preserve">C. Kenyon, B. Herrmann, G. Hughes, and H. J. C. de Vries, “Management of asymptomatic sexually transmitted infections in Europe: towards a differentiated, evidence-based approach,” </w:t>
      </w:r>
      <w:r w:rsidRPr="001E6F22">
        <w:rPr>
          <w:rFonts w:ascii="Times New Roman" w:hAnsi="Times New Roman" w:cs="Times New Roman"/>
          <w:i/>
          <w:iCs/>
          <w:color w:val="000000"/>
          <w:sz w:val="20"/>
          <w:lang w:val="en-US"/>
        </w:rPr>
        <w:t>Lancet Reg. Health – Eur.</w:t>
      </w:r>
      <w:r w:rsidRPr="001E6F22">
        <w:rPr>
          <w:rFonts w:ascii="Times New Roman" w:hAnsi="Times New Roman" w:cs="Times New Roman"/>
          <w:color w:val="000000"/>
          <w:sz w:val="20"/>
          <w:lang w:val="en-US"/>
        </w:rPr>
        <w:t>, vol. 34, Nov. 2023, doi: 10.1016/j.lanepe.2023.100743.</w:t>
      </w:r>
    </w:p>
    <w:p w14:paraId="06453184"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[28]</w:t>
      </w:r>
      <w:r w:rsidRPr="001E6F22">
        <w:rPr>
          <w:rFonts w:ascii="Times New Roman" w:hAnsi="Times New Roman" w:cs="Times New Roman"/>
          <w:color w:val="000000"/>
          <w:sz w:val="20"/>
          <w:lang w:val="en-US"/>
        </w:rPr>
        <w:tab/>
        <w:t xml:space="preserve">J. Whelan, V. Abbing-Karahagopian, L. Serino, and M. Unemo, “Gonorrhoea: a systematic review of prevalence reporting globally,” </w:t>
      </w:r>
      <w:r w:rsidRPr="001E6F22">
        <w:rPr>
          <w:rFonts w:ascii="Times New Roman" w:hAnsi="Times New Roman" w:cs="Times New Roman"/>
          <w:i/>
          <w:iCs/>
          <w:color w:val="000000"/>
          <w:sz w:val="20"/>
          <w:lang w:val="en-US"/>
        </w:rPr>
        <w:t>BMC Infect. Dis.</w:t>
      </w:r>
      <w:r w:rsidRPr="001E6F22">
        <w:rPr>
          <w:rFonts w:ascii="Times New Roman" w:hAnsi="Times New Roman" w:cs="Times New Roman"/>
          <w:color w:val="000000"/>
          <w:sz w:val="20"/>
          <w:lang w:val="en-US"/>
        </w:rPr>
        <w:t>, vol. 21, p. 1152, Nov. 2021, doi: 10.1186/s12879-021-06381-4.</w:t>
      </w:r>
    </w:p>
    <w:p w14:paraId="27894668"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[29]</w:t>
      </w:r>
      <w:r w:rsidRPr="001E6F22">
        <w:rPr>
          <w:rFonts w:ascii="Times New Roman" w:hAnsi="Times New Roman" w:cs="Times New Roman"/>
          <w:color w:val="000000"/>
          <w:sz w:val="20"/>
          <w:lang w:val="en-US"/>
        </w:rPr>
        <w:tab/>
        <w:t xml:space="preserve">J.-M. Molina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“Doxycycline prophylaxis and meningococcal group B vaccine to prevent bacterial sexually transmitted infections in France (ANRS 174 DOXYVAC): a multicentre, open-label, randomised trial with a 2 × 2 factorial design,” </w:t>
      </w:r>
      <w:r w:rsidRPr="001E6F22">
        <w:rPr>
          <w:rFonts w:ascii="Times New Roman" w:hAnsi="Times New Roman" w:cs="Times New Roman"/>
          <w:i/>
          <w:iCs/>
          <w:color w:val="000000"/>
          <w:sz w:val="20"/>
          <w:lang w:val="en-US"/>
        </w:rPr>
        <w:t>Lancet Infect. Dis.</w:t>
      </w:r>
      <w:r w:rsidRPr="001E6F22">
        <w:rPr>
          <w:rFonts w:ascii="Times New Roman" w:hAnsi="Times New Roman" w:cs="Times New Roman"/>
          <w:color w:val="000000"/>
          <w:sz w:val="20"/>
          <w:lang w:val="en-US"/>
        </w:rPr>
        <w:t>, vol. 24, no. 10, pp. 1093–1104, Oct. 2024, doi: 10.1016/S1473-3099(24)00236-6.</w:t>
      </w:r>
    </w:p>
    <w:p w14:paraId="585ED920"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[30]</w:t>
      </w:r>
      <w:r w:rsidRPr="001E6F22">
        <w:rPr>
          <w:rFonts w:ascii="Times New Roman" w:hAnsi="Times New Roman" w:cs="Times New Roman"/>
          <w:color w:val="000000"/>
          <w:sz w:val="20"/>
          <w:lang w:val="en-US"/>
        </w:rPr>
        <w:tab/>
        <w:t xml:space="preserve">J. Zhang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“Discontinuation, suboptimal adherence, and reinitiation of oral HIV pre-exposure prophylaxis: a global systematic review and meta-analysis,” </w:t>
      </w:r>
      <w:r w:rsidRPr="001E6F22">
        <w:rPr>
          <w:rFonts w:ascii="Times New Roman" w:hAnsi="Times New Roman" w:cs="Times New Roman"/>
          <w:i/>
          <w:iCs/>
          <w:color w:val="000000"/>
          <w:sz w:val="20"/>
          <w:lang w:val="en-US"/>
        </w:rPr>
        <w:t>Lancet HIV</w:t>
      </w:r>
      <w:r w:rsidRPr="001E6F22">
        <w:rPr>
          <w:rFonts w:ascii="Times New Roman" w:hAnsi="Times New Roman" w:cs="Times New Roman"/>
          <w:color w:val="000000"/>
          <w:sz w:val="20"/>
          <w:lang w:val="en-US"/>
        </w:rPr>
        <w:t>, vol. 9, no. 4, pp. e254–e268, Apr. 2022, doi: 10.1016/S2352-3018(22)00030-3.</w:t>
      </w:r>
    </w:p>
    <w:p w14:paraId="49BC7631"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[31]</w:t>
      </w:r>
      <w:r w:rsidRPr="001E6F22">
        <w:rPr>
          <w:rFonts w:ascii="Times New Roman" w:hAnsi="Times New Roman" w:cs="Times New Roman"/>
          <w:color w:val="000000"/>
          <w:sz w:val="20"/>
          <w:lang w:val="en-US"/>
        </w:rPr>
        <w:tab/>
        <w:t xml:space="preserve">B. Wang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“4CMenB sustained vaccine effectiveness against invasive meningococcal B disease and gonorrhoea at three years post programme implementation,” </w:t>
      </w:r>
      <w:r w:rsidRPr="001E6F22">
        <w:rPr>
          <w:rFonts w:ascii="Times New Roman" w:hAnsi="Times New Roman" w:cs="Times New Roman"/>
          <w:i/>
          <w:iCs/>
          <w:color w:val="000000"/>
          <w:sz w:val="20"/>
          <w:lang w:val="en-US"/>
        </w:rPr>
        <w:t>J. Infect.</w:t>
      </w:r>
      <w:r w:rsidRPr="001E6F22">
        <w:rPr>
          <w:rFonts w:ascii="Times New Roman" w:hAnsi="Times New Roman" w:cs="Times New Roman"/>
          <w:color w:val="000000"/>
          <w:sz w:val="20"/>
          <w:lang w:val="en-US"/>
        </w:rPr>
        <w:t>, vol. 87, no. 2, pp. 95–102, Aug. 2023, doi: 10.1016/j.jinf.2023.05.021.</w:t>
      </w:r>
    </w:p>
    <w:p w14:paraId="5E0F2046"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[32]</w:t>
      </w:r>
      <w:r w:rsidRPr="001E6F22">
        <w:rPr>
          <w:rFonts w:ascii="Times New Roman" w:hAnsi="Times New Roman" w:cs="Times New Roman"/>
          <w:color w:val="000000"/>
          <w:sz w:val="20"/>
          <w:lang w:val="en-US"/>
        </w:rPr>
        <w:tab/>
        <w:t xml:space="preserve">B. Wang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“Long-Term Protection Against Invasive Meningococcal B Disease and Gonococcal Infection 5 Years After Implementation of Funded Childhood and Adolescent 4CMenB Vaccination Program in South Australia: An Observational Cohort and Case-Control Study,” </w:t>
      </w:r>
      <w:r w:rsidRPr="001E6F22">
        <w:rPr>
          <w:rFonts w:ascii="Times New Roman" w:hAnsi="Times New Roman" w:cs="Times New Roman"/>
          <w:i/>
          <w:iCs/>
          <w:color w:val="000000"/>
          <w:sz w:val="20"/>
          <w:lang w:val="en-US"/>
        </w:rPr>
        <w:t>Clin. Infect. Dis. Off. Publ. Infect. Dis. Soc. Am.</w:t>
      </w:r>
      <w:r w:rsidRPr="001E6F22">
        <w:rPr>
          <w:rFonts w:ascii="Times New Roman" w:hAnsi="Times New Roman" w:cs="Times New Roman"/>
          <w:color w:val="000000"/>
          <w:sz w:val="20"/>
          <w:lang w:val="en-US"/>
        </w:rPr>
        <w:t>, vol. 81, no. 4, pp. e202–e210, Nov. 2025, doi: 10.1093/cid/ciaf372.</w:t>
      </w:r>
    </w:p>
    <w:p w14:paraId="0555FB8B" w14:textId="77777777" w:rsidR="001E6F22" w:rsidRPr="001E6F22" w:rsidRDefault="001E6F22" w:rsidP="003B3837">
      <w:pPr>
        <w:pStyle w:val="Bibliography"/>
        <w:spacing w:line="276" w:lineRule="auto"/>
        <w:rPr>
          <w:rFonts w:ascii="Times New Roman" w:hAnsi="Times New Roman" w:cs="Times New Roman"/>
          <w:color w:val="000000"/>
          <w:sz w:val="20"/>
          <w:lang w:val="en-US"/>
        </w:rPr>
      </w:pPr>
      <w:r w:rsidRPr="001E6F22">
        <w:rPr>
          <w:rFonts w:ascii="Times New Roman" w:hAnsi="Times New Roman" w:cs="Times New Roman"/>
          <w:color w:val="000000"/>
          <w:sz w:val="20"/>
          <w:lang w:val="en-US"/>
        </w:rPr>
        <w:t>[33]</w:t>
      </w:r>
      <w:r w:rsidRPr="001E6F22">
        <w:rPr>
          <w:rFonts w:ascii="Times New Roman" w:hAnsi="Times New Roman" w:cs="Times New Roman"/>
          <w:color w:val="000000"/>
          <w:sz w:val="20"/>
          <w:lang w:val="en-US"/>
        </w:rPr>
        <w:tab/>
        <w:t xml:space="preserve">H. Fifer </w:t>
      </w:r>
      <w:r w:rsidRPr="001E6F22">
        <w:rPr>
          <w:rFonts w:ascii="Times New Roman" w:hAnsi="Times New Roman" w:cs="Times New Roman"/>
          <w:i/>
          <w:iCs/>
          <w:color w:val="000000"/>
          <w:sz w:val="20"/>
          <w:lang w:val="en-US"/>
        </w:rPr>
        <w:t>et al.</w:t>
      </w:r>
      <w:r w:rsidRPr="001E6F22">
        <w:rPr>
          <w:rFonts w:ascii="Times New Roman" w:hAnsi="Times New Roman" w:cs="Times New Roman"/>
          <w:color w:val="000000"/>
          <w:sz w:val="20"/>
          <w:lang w:val="en-US"/>
        </w:rPr>
        <w:t xml:space="preserve">, “Ceftriaxone-resistant Neisseria gonorrhoeae detected in England, 2015-24: an observational analysis,” </w:t>
      </w:r>
      <w:r w:rsidRPr="001E6F22">
        <w:rPr>
          <w:rFonts w:ascii="Times New Roman" w:hAnsi="Times New Roman" w:cs="Times New Roman"/>
          <w:i/>
          <w:iCs/>
          <w:color w:val="000000"/>
          <w:sz w:val="20"/>
          <w:lang w:val="en-US"/>
        </w:rPr>
        <w:t>J. Antimicrob. Chemother.</w:t>
      </w:r>
      <w:r w:rsidRPr="001E6F22">
        <w:rPr>
          <w:rFonts w:ascii="Times New Roman" w:hAnsi="Times New Roman" w:cs="Times New Roman"/>
          <w:color w:val="000000"/>
          <w:sz w:val="20"/>
          <w:lang w:val="en-US"/>
        </w:rPr>
        <w:t>, vol. 79, no. 12, pp. 3332–3339, Dec. 2024, doi: 10.1093/jac/dkae369.</w:t>
      </w:r>
    </w:p>
    <w:p w14:paraId="5AC95642" w14:textId="4E9FBC5E" w:rsidR="00802477" w:rsidRPr="00B424FD" w:rsidRDefault="00802477" w:rsidP="003B3837">
      <w:pPr>
        <w:pStyle w:val="Bibliography"/>
        <w:spacing w:line="276" w:lineRule="auto"/>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fldChar w:fldCharType="end"/>
      </w:r>
    </w:p>
    <w:p w14:paraId="09887875" w14:textId="34CA54EE" w:rsidR="006A5D60" w:rsidRPr="00B424FD" w:rsidRDefault="006A5D60"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sectPr w:rsidR="006A5D60" w:rsidRPr="00B424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6D26" w14:textId="77777777" w:rsidR="00EF0B62" w:rsidRDefault="00EF0B62" w:rsidP="00BA2AB7">
      <w:pPr>
        <w:spacing w:after="0" w:line="240" w:lineRule="auto"/>
      </w:pPr>
      <w:r>
        <w:separator/>
      </w:r>
    </w:p>
  </w:endnote>
  <w:endnote w:type="continuationSeparator" w:id="0">
    <w:p w14:paraId="796D254D" w14:textId="77777777" w:rsidR="00EF0B62" w:rsidRDefault="00EF0B62"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5A0DE" w14:textId="77777777" w:rsidR="00EF0B62" w:rsidRDefault="00EF0B62" w:rsidP="00BA2AB7">
      <w:pPr>
        <w:spacing w:after="0" w:line="240" w:lineRule="auto"/>
      </w:pPr>
      <w:r>
        <w:separator/>
      </w:r>
    </w:p>
  </w:footnote>
  <w:footnote w:type="continuationSeparator" w:id="0">
    <w:p w14:paraId="100CDF5B" w14:textId="77777777" w:rsidR="00EF0B62" w:rsidRDefault="00EF0B62" w:rsidP="00BA2AB7">
      <w:pPr>
        <w:spacing w:after="0" w:line="240" w:lineRule="auto"/>
      </w:pPr>
      <w:r>
        <w:continuationSeparator/>
      </w:r>
    </w:p>
  </w:footnote>
  <w:footnote w:id="1">
    <w:p w14:paraId="4158FAE3" w14:textId="210BE83E" w:rsidR="00F729B0" w:rsidRPr="00F729B0" w:rsidRDefault="00F729B0" w:rsidP="00F729B0">
      <w:pPr>
        <w:pStyle w:val="FootnoteText"/>
        <w:jc w:val="both"/>
        <w:rPr>
          <w:rFonts w:ascii="Times New Roman" w:hAnsi="Times New Roman" w:cs="Times New Roman"/>
          <w:sz w:val="16"/>
          <w:szCs w:val="16"/>
          <w:lang w:val="en-US"/>
        </w:rPr>
      </w:pPr>
      <w:r w:rsidRPr="00F729B0">
        <w:rPr>
          <w:rStyle w:val="FootnoteReference"/>
          <w:rFonts w:ascii="Times New Roman" w:hAnsi="Times New Roman" w:cs="Times New Roman"/>
          <w:sz w:val="16"/>
          <w:szCs w:val="16"/>
        </w:rPr>
        <w:footnoteRef/>
      </w:r>
      <w:r w:rsidRPr="00F729B0">
        <w:rPr>
          <w:rFonts w:ascii="Times New Roman" w:hAnsi="Times New Roman" w:cs="Times New Roman"/>
          <w:sz w:val="16"/>
          <w:szCs w:val="16"/>
        </w:rPr>
        <w:t xml:space="preserve"> Laboratory studies have shown that zoliflodacin is active against </w:t>
      </w:r>
      <w:r w:rsidRPr="00F729B0">
        <w:rPr>
          <w:rStyle w:val="Emphasis"/>
          <w:rFonts w:ascii="Times New Roman" w:hAnsi="Times New Roman" w:cs="Times New Roman"/>
          <w:sz w:val="16"/>
          <w:szCs w:val="16"/>
        </w:rPr>
        <w:t>Neisseria gonorrhoeae</w:t>
      </w:r>
      <w:r w:rsidRPr="00F729B0">
        <w:rPr>
          <w:rFonts w:ascii="Times New Roman" w:hAnsi="Times New Roman" w:cs="Times New Roman"/>
          <w:sz w:val="16"/>
          <w:szCs w:val="16"/>
        </w:rPr>
        <w:t>, including multidrug-resistant strains</w:t>
      </w:r>
      <w:r>
        <w:rPr>
          <w:rFonts w:ascii="Times New Roman" w:hAnsi="Times New Roman" w:cs="Times New Roman"/>
          <w:sz w:val="16"/>
          <w:szCs w:val="16"/>
        </w:rPr>
        <w:t xml:space="preserve"> </w:t>
      </w:r>
      <w:r>
        <w:rPr>
          <w:rFonts w:ascii="Times New Roman" w:hAnsi="Times New Roman" w:cs="Times New Roman"/>
          <w:sz w:val="16"/>
          <w:szCs w:val="16"/>
        </w:rPr>
        <w:fldChar w:fldCharType="begin"/>
      </w:r>
      <w:r w:rsidR="001E6F22">
        <w:rPr>
          <w:rFonts w:ascii="Times New Roman" w:hAnsi="Times New Roman" w:cs="Times New Roman"/>
          <w:sz w:val="16"/>
          <w:szCs w:val="16"/>
        </w:rPr>
        <w:instrText xml:space="preserve"> ADDIN ZOTERO_ITEM CSL_CITATION {"citationID":"ozBOp0eh","properties":{"formattedCitation":"[9]","plainCitation":"[9]","noteIndex":1},"citationItems":[{"id":441,"uris":["http://zotero.org/users/9663344/items/VLY7I8IE"],"itemData":{"id":441,"type":"webpage","abstract":"US FDA accepts NDA for zoliflodacin - an investigational first-in-class oral antibiotic poised to become the first new treatment for gonorrhoea in decades.","container-title":"Global Antibiotic Research and Development Partnership","language":"en-US","note":"section: Press releases","title":"US FDA accepts New Drug Application for zoliflodacin","URL":"https://gardp.org/innoviva-specialty-therapeutics-receives-fda-new-drug-application-acceptance-for-zoliflodacin-a-first-in-class-oral-antibiotic-for-uncomplicated-gonorrhoea-in-adults/","accessed":{"date-parts":[["2025",11,21]]},"issued":{"date-parts":[["2025",6,10]]}}}],"schema":"https://github.com/citation-style-language/schema/raw/master/csl-citation.json"} </w:instrText>
      </w:r>
      <w:r>
        <w:rPr>
          <w:rFonts w:ascii="Times New Roman" w:hAnsi="Times New Roman" w:cs="Times New Roman"/>
          <w:sz w:val="16"/>
          <w:szCs w:val="16"/>
        </w:rPr>
        <w:fldChar w:fldCharType="separate"/>
      </w:r>
      <w:r w:rsidR="001E6F22">
        <w:rPr>
          <w:rFonts w:ascii="Times New Roman" w:hAnsi="Times New Roman" w:cs="Times New Roman"/>
          <w:noProof/>
          <w:sz w:val="16"/>
          <w:szCs w:val="16"/>
        </w:rPr>
        <w:t>[9]</w:t>
      </w:r>
      <w:r>
        <w:rPr>
          <w:rFonts w:ascii="Times New Roman" w:hAnsi="Times New Roman" w:cs="Times New Roman"/>
          <w:sz w:val="16"/>
          <w:szCs w:val="16"/>
        </w:rPr>
        <w:fldChar w:fldCharType="end"/>
      </w:r>
      <w:r w:rsidRPr="00F729B0">
        <w:rPr>
          <w:rFonts w:ascii="Times New Roman" w:hAnsi="Times New Roman" w:cs="Times New Roman"/>
          <w:sz w:val="16"/>
          <w:szCs w:val="16"/>
        </w:rPr>
        <w:t>. Clinical trials indicate that oral zoliflodacin is highly effective for treating uncomplicated urogenital and rectal gonococcal infections, though its performance is notably weaker for pharyngeal infections</w:t>
      </w:r>
      <w:r>
        <w:rPr>
          <w:rFonts w:ascii="Times New Roman" w:hAnsi="Times New Roman" w:cs="Times New Roman"/>
          <w:sz w:val="16"/>
          <w:szCs w:val="16"/>
        </w:rPr>
        <w:t xml:space="preserve"> </w:t>
      </w:r>
      <w:r>
        <w:rPr>
          <w:rFonts w:ascii="Times New Roman" w:hAnsi="Times New Roman" w:cs="Times New Roman"/>
          <w:sz w:val="16"/>
          <w:szCs w:val="16"/>
        </w:rPr>
        <w:fldChar w:fldCharType="begin"/>
      </w:r>
      <w:r w:rsidR="001E6F22">
        <w:rPr>
          <w:rFonts w:ascii="Times New Roman" w:hAnsi="Times New Roman" w:cs="Times New Roman"/>
          <w:sz w:val="16"/>
          <w:szCs w:val="16"/>
        </w:rPr>
        <w:instrText xml:space="preserve"> ADDIN ZOTERO_ITEM CSL_CITATION {"citationID":"ql6gBmLo","properties":{"formattedCitation":"[10]","plainCitation":"[10]","noteIndex":1},"citationItems":[{"id":439,"uris":["http://zotero.org/users/9663344/items/LDMPL5QV"],"itemData":{"id":439,"type":"article-journal","abstract":"Increases in antimicrobial resistance are creating challenges for the treatment of gonorrhea. Zoliflodacin is a new antimicrobial agent that inhibits DNA biosynthesis. In this phase 2 trial, zoliflodacin is shown to have activity against uncomplicated urogenital gonorrhea.","container-title":"New England Journal of Medicine","DOI":"10.1056/NEJMoa1706988","ISSN":"0028-4793","issue":"19","note":"_eprint: https://www.nejm.org/doi/pdf/10.1056/NEJMoa1706988","page":"1835-1845","publisher":"Massachusetts Medical Society","source":"Taylor and Francis+NEJM","title":"Single-Dose Zoliflodacin (ETX0914) for Treatment of Urogenital Gonorrhea","volume":"379","author":[{"family":"Taylor","given":"Stephanie N."},{"family":"Marrazzo","given":"Jeanne"},{"family":"Batteiger","given":"Byron E."},{"family":"Hook","given":"Edward W."},{"family":"Seña","given":"Arlene C."},{"family":"Long","given":"Jill"},{"family":"Wierzbicki","given":"Michael R."},{"family":"Kwak","given":"Hannah"},{"family":"Johnson","given":"Shacondra M."},{"family":"Lawrence","given":"Kenneth"},{"family":"Mueller","given":"John"}],"issued":{"date-parts":[["2018",11,8]]}}}],"schema":"https://github.com/citation-style-language/schema/raw/master/csl-citation.json"} </w:instrText>
      </w:r>
      <w:r>
        <w:rPr>
          <w:rFonts w:ascii="Times New Roman" w:hAnsi="Times New Roman" w:cs="Times New Roman"/>
          <w:sz w:val="16"/>
          <w:szCs w:val="16"/>
        </w:rPr>
        <w:fldChar w:fldCharType="separate"/>
      </w:r>
      <w:r w:rsidR="001E6F22">
        <w:rPr>
          <w:rFonts w:ascii="Times New Roman" w:hAnsi="Times New Roman" w:cs="Times New Roman"/>
          <w:noProof/>
          <w:sz w:val="16"/>
          <w:szCs w:val="16"/>
        </w:rPr>
        <w:t>[10]</w:t>
      </w:r>
      <w:r>
        <w:rPr>
          <w:rFonts w:ascii="Times New Roman" w:hAnsi="Times New Roman" w:cs="Times New Roman"/>
          <w:sz w:val="16"/>
          <w:szCs w:val="16"/>
        </w:rPr>
        <w:fldChar w:fldCharType="end"/>
      </w:r>
      <w:r w:rsidRPr="00F729B0">
        <w:rPr>
          <w:rFonts w:ascii="Times New Roman" w:hAnsi="Times New Roman" w:cs="Times New Roman"/>
          <w:sz w:val="16"/>
          <w:szCs w:val="16"/>
        </w:rPr>
        <w:t>. Overall, its efficacy remains inferior to ceftriaxone</w:t>
      </w:r>
      <w:r>
        <w:rPr>
          <w:rFonts w:ascii="Times New Roman" w:hAnsi="Times New Roman" w:cs="Times New Roman"/>
          <w:sz w:val="16"/>
          <w:szCs w:val="16"/>
        </w:rPr>
        <w:t xml:space="preserve"> </w:t>
      </w:r>
      <w:r>
        <w:rPr>
          <w:rFonts w:ascii="Times New Roman" w:hAnsi="Times New Roman" w:cs="Times New Roman"/>
          <w:sz w:val="16"/>
          <w:szCs w:val="16"/>
        </w:rPr>
        <w:fldChar w:fldCharType="begin"/>
      </w:r>
      <w:r w:rsidR="001E6F22">
        <w:rPr>
          <w:rFonts w:ascii="Times New Roman" w:hAnsi="Times New Roman" w:cs="Times New Roman"/>
          <w:sz w:val="16"/>
          <w:szCs w:val="16"/>
        </w:rPr>
        <w:instrText xml:space="preserve"> ADDIN ZOTERO_ITEM CSL_CITATION {"citationID":"GGZk39Ri","properties":{"formattedCitation":"[10]","plainCitation":"[10]","noteIndex":1},"citationItems":[{"id":439,"uris":["http://zotero.org/users/9663344/items/LDMPL5QV"],"itemData":{"id":439,"type":"article-journal","abstract":"Increases in antimicrobial resistance are creating challenges for the treatment of gonorrhea. Zoliflodacin is a new antimicrobial agent that inhibits DNA biosynthesis. In this phase 2 trial, zoliflodacin is shown to have activity against uncomplicated urogenital gonorrhea.","container-title":"New England Journal of Medicine","DOI":"10.1056/NEJMoa1706988","ISSN":"0028-4793","issue":"19","note":"_eprint: https://www.nejm.org/doi/pdf/10.1056/NEJMoa1706988","page":"1835-1845","publisher":"Massachusetts Medical Society","source":"Taylor and Francis+NEJM","title":"Single-Dose Zoliflodacin (ETX0914) for Treatment of Urogenital Gonorrhea","volume":"379","author":[{"family":"Taylor","given":"Stephanie N."},{"family":"Marrazzo","given":"Jeanne"},{"family":"Batteiger","given":"Byron E."},{"family":"Hook","given":"Edward W."},{"family":"Seña","given":"Arlene C."},{"family":"Long","given":"Jill"},{"family":"Wierzbicki","given":"Michael R."},{"family":"Kwak","given":"Hannah"},{"family":"Johnson","given":"Shacondra M."},{"family":"Lawrence","given":"Kenneth"},{"family":"Mueller","given":"John"}],"issued":{"date-parts":[["2018",11,8]]}}}],"schema":"https://github.com/citation-style-language/schema/raw/master/csl-citation.json"} </w:instrText>
      </w:r>
      <w:r>
        <w:rPr>
          <w:rFonts w:ascii="Times New Roman" w:hAnsi="Times New Roman" w:cs="Times New Roman"/>
          <w:sz w:val="16"/>
          <w:szCs w:val="16"/>
        </w:rPr>
        <w:fldChar w:fldCharType="separate"/>
      </w:r>
      <w:r w:rsidR="001E6F22">
        <w:rPr>
          <w:rFonts w:ascii="Times New Roman" w:hAnsi="Times New Roman" w:cs="Times New Roman"/>
          <w:noProof/>
          <w:sz w:val="16"/>
          <w:szCs w:val="16"/>
        </w:rPr>
        <w:t>[10]</w:t>
      </w:r>
      <w:r>
        <w:rPr>
          <w:rFonts w:ascii="Times New Roman" w:hAnsi="Times New Roman" w:cs="Times New Roman"/>
          <w:sz w:val="16"/>
          <w:szCs w:val="16"/>
        </w:rPr>
        <w:fldChar w:fldCharType="end"/>
      </w:r>
      <w:r w:rsidRPr="00F729B0">
        <w:rPr>
          <w:rFonts w:ascii="Times New Roman" w:hAnsi="Times New Roman" w:cs="Times New Roman"/>
          <w:sz w:val="16"/>
          <w:szCs w:val="16"/>
        </w:rPr>
        <w:t>.</w:t>
      </w:r>
    </w:p>
  </w:footnote>
  <w:footnote w:id="2">
    <w:p w14:paraId="35D8A0C6" w14:textId="4EF99CED" w:rsidR="00E5498B" w:rsidRPr="00523A73" w:rsidRDefault="00E5498B">
      <w:pPr>
        <w:pStyle w:val="FootnoteText"/>
        <w:rPr>
          <w:rFonts w:ascii="Times New Roman" w:hAnsi="Times New Roman" w:cs="Times New Roman"/>
          <w:sz w:val="16"/>
          <w:szCs w:val="16"/>
        </w:rPr>
      </w:pPr>
      <w:r w:rsidRPr="00523A73">
        <w:rPr>
          <w:rStyle w:val="FootnoteReference"/>
          <w:rFonts w:ascii="Times New Roman" w:hAnsi="Times New Roman" w:cs="Times New Roman"/>
          <w:sz w:val="16"/>
          <w:szCs w:val="16"/>
        </w:rPr>
        <w:footnoteRef/>
      </w:r>
      <w:r w:rsidRPr="00523A73">
        <w:rPr>
          <w:rFonts w:ascii="Times New Roman" w:hAnsi="Times New Roman" w:cs="Times New Roman"/>
          <w:sz w:val="16"/>
          <w:szCs w:val="16"/>
        </w:rPr>
        <w:t xml:space="preserve"> MIC </w:t>
      </w:r>
      <m:oMath>
        <m:r>
          <w:rPr>
            <w:rFonts w:ascii="Cambria Math" w:hAnsi="Cambria Math" w:cs="Times New Roman"/>
            <w:sz w:val="16"/>
            <w:szCs w:val="16"/>
          </w:rPr>
          <m:t>≥</m:t>
        </m:r>
      </m:oMath>
      <w:r w:rsidRPr="00523A73">
        <w:rPr>
          <w:rFonts w:ascii="Times New Roman" w:hAnsi="Times New Roman" w:cs="Times New Roman"/>
          <w:sz w:val="16"/>
          <w:szCs w:val="16"/>
        </w:rPr>
        <w:t xml:space="preserve"> 2mg/L</w:t>
      </w:r>
    </w:p>
  </w:footnote>
  <w:footnote w:id="3">
    <w:p w14:paraId="1FE4FA1B" w14:textId="4446451B" w:rsidR="00E5498B" w:rsidRPr="00523A73" w:rsidRDefault="00E5498B">
      <w:pPr>
        <w:pStyle w:val="FootnoteText"/>
        <w:rPr>
          <w:rFonts w:ascii="Times New Roman" w:hAnsi="Times New Roman" w:cs="Times New Roman"/>
          <w:sz w:val="16"/>
          <w:szCs w:val="16"/>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Data from 2020</w:t>
      </w:r>
      <w:r>
        <w:rPr>
          <w:rFonts w:ascii="Times New Roman" w:hAnsi="Times New Roman" w:cs="Times New Roman"/>
          <w:sz w:val="16"/>
          <w:szCs w:val="16"/>
        </w:rPr>
        <w:t xml:space="preserve"> - </w:t>
      </w:r>
      <w:r w:rsidRPr="00523A73">
        <w:rPr>
          <w:rFonts w:ascii="Times New Roman" w:hAnsi="Times New Roman" w:cs="Times New Roman"/>
          <w:sz w:val="16"/>
          <w:szCs w:val="16"/>
        </w:rPr>
        <w:t>2021 were excluded due to sampling biases during COVID-19.</w:t>
      </w:r>
    </w:p>
  </w:footnote>
  <w:footnote w:id="4">
    <w:p w14:paraId="535A06E0" w14:textId="6556FF06" w:rsidR="00E5498B" w:rsidRPr="009A302F" w:rsidRDefault="00E5498B">
      <w:pPr>
        <w:pStyle w:val="FootnoteText"/>
        <w:rPr>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MIC </w:t>
      </w:r>
      <m:oMath>
        <m:r>
          <w:rPr>
            <w:rFonts w:ascii="Cambria Math" w:hAnsi="Cambria Math" w:cs="Times New Roman"/>
            <w:sz w:val="16"/>
            <w:szCs w:val="16"/>
          </w:rPr>
          <m:t>&gt;</m:t>
        </m:r>
      </m:oMath>
      <w:r w:rsidRPr="00523A73">
        <w:rPr>
          <w:rFonts w:ascii="Times New Roman" w:hAnsi="Times New Roman" w:cs="Times New Roman"/>
          <w:sz w:val="16"/>
          <w:szCs w:val="16"/>
        </w:rPr>
        <w:t xml:space="preserve"> 0.5mg/L</w:t>
      </w:r>
    </w:p>
  </w:footnote>
  <w:footnote w:id="5">
    <w:p w14:paraId="49BB2CC5" w14:textId="49DEE684" w:rsidR="006C157E" w:rsidRPr="006C157E" w:rsidRDefault="006C157E">
      <w:pPr>
        <w:pStyle w:val="FootnoteText"/>
      </w:pPr>
      <w:r>
        <w:rPr>
          <w:rStyle w:val="FootnoteReference"/>
        </w:rPr>
        <w:footnoteRef/>
      </w:r>
      <w:r>
        <w:t xml:space="preserve"> </w:t>
      </w:r>
      <w:r w:rsidRPr="006C157E">
        <w:rPr>
          <w:rFonts w:ascii="Times New Roman" w:hAnsi="Times New Roman" w:cs="Times New Roman"/>
          <w:sz w:val="16"/>
          <w:szCs w:val="16"/>
        </w:rPr>
        <w:t>For prior distributions and parameter bounds.</w:t>
      </w:r>
    </w:p>
  </w:footnote>
  <w:footnote w:id="6">
    <w:p w14:paraId="36C2C945" w14:textId="7ABADFCD" w:rsidR="00BA2AB7" w:rsidRPr="00B1021E" w:rsidRDefault="00BA2AB7" w:rsidP="00145FC1">
      <w:pPr>
        <w:pStyle w:val="FootnoteText"/>
        <w:jc w:val="both"/>
        <w:rPr>
          <w:rFonts w:ascii="Times New Roman" w:hAnsi="Times New Roman" w:cs="Times New Roman"/>
          <w:sz w:val="18"/>
          <w:szCs w:val="18"/>
          <w:lang w:val="en-US"/>
        </w:rPr>
      </w:pPr>
      <w:r>
        <w:rPr>
          <w:rStyle w:val="FootnoteReference"/>
        </w:rPr>
        <w:footnoteRef/>
      </w:r>
      <w:r w:rsidR="00B1021E">
        <w:t xml:space="preserve"> </w:t>
      </w:r>
      <w:r w:rsidRPr="00B1021E">
        <w:rPr>
          <w:rFonts w:ascii="Times New Roman" w:hAnsi="Times New Roman" w:cs="Times New Roman"/>
          <w:sz w:val="18"/>
          <w:szCs w:val="18"/>
          <w:lang w:val="en-US"/>
        </w:rPr>
        <w:t>Assume</w:t>
      </w:r>
      <w:r w:rsidR="00F477CC" w:rsidRPr="00B1021E">
        <w:rPr>
          <w:rFonts w:ascii="Times New Roman" w:hAnsi="Times New Roman" w:cs="Times New Roman"/>
          <w:sz w:val="18"/>
          <w:szCs w:val="18"/>
          <w:lang w:val="en-US"/>
        </w:rPr>
        <w:t>d</w:t>
      </w:r>
      <w:r w:rsidRPr="00B1021E">
        <w:rPr>
          <w:rFonts w:ascii="Times New Roman" w:hAnsi="Times New Roman" w:cs="Times New Roman"/>
          <w:sz w:val="18"/>
          <w:szCs w:val="18"/>
          <w:lang w:val="en-US"/>
        </w:rPr>
        <w:t xml:space="preserve"> </w:t>
      </w:r>
      <w:r w:rsidRPr="00B1021E">
        <w:rPr>
          <w:rFonts w:ascii="Times New Roman" w:hAnsi="Times New Roman" w:cs="Times New Roman"/>
          <w:sz w:val="18"/>
          <w:szCs w:val="18"/>
        </w:rPr>
        <w:t>each intervention reduces infection risk independently such that their combined efficacy is modelled multiplicatively</w:t>
      </w:r>
      <w:r w:rsidR="00F477CC" w:rsidRPr="00B1021E">
        <w:rPr>
          <w:rFonts w:ascii="Times New Roman" w:hAnsi="Times New Roman" w:cs="Times New Roman"/>
          <w:sz w:val="18"/>
          <w:szCs w:val="18"/>
        </w:rPr>
        <w:t xml:space="preserve">, i.e., </w:t>
      </w:r>
      <m:oMath>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vd</m:t>
            </m:r>
          </m:sub>
        </m:sSub>
        <m:r>
          <w:rPr>
            <w:rFonts w:ascii="Cambria Math" w:hAnsi="Cambria Math" w:cs="Times New Roman"/>
            <w:sz w:val="18"/>
            <w:szCs w:val="18"/>
          </w:rPr>
          <m:t>=1-</m:t>
        </m:r>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d</m:t>
                </m:r>
              </m:sub>
            </m:sSub>
          </m:e>
        </m:d>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m:t>
                </m:r>
              </m:sub>
            </m:sSub>
          </m:e>
        </m:d>
      </m:oMath>
      <w:r w:rsidR="00F477CC" w:rsidRPr="00B1021E">
        <w:rPr>
          <w:rFonts w:ascii="Times New Roman" w:hAnsi="Times New Roman" w:cs="Times New Roman"/>
          <w:sz w:val="18"/>
          <w:szCs w:val="18"/>
        </w:rPr>
        <w:t>.</w:t>
      </w:r>
    </w:p>
  </w:footnote>
  <w:footnote w:id="7">
    <w:p w14:paraId="166275AC" w14:textId="2645665A" w:rsidR="00B1021E" w:rsidRPr="00B1021E" w:rsidRDefault="00B1021E" w:rsidP="00145FC1">
      <w:pPr>
        <w:pStyle w:val="FootnoteText"/>
        <w:jc w:val="both"/>
        <w:rPr>
          <w:rFonts w:ascii="Times New Roman" w:hAnsi="Times New Roman" w:cs="Times New Roman"/>
          <w:sz w:val="18"/>
          <w:szCs w:val="18"/>
        </w:rPr>
      </w:pPr>
      <w:r w:rsidRPr="00B1021E">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w:t>
      </w:r>
      <w:r w:rsidRPr="00B1021E">
        <w:rPr>
          <w:rFonts w:ascii="Times New Roman" w:hAnsi="Times New Roman" w:cs="Times New Roman"/>
          <w:sz w:val="18"/>
          <w:szCs w:val="18"/>
        </w:rPr>
        <w:t xml:space="preserve">A booster dose may need to be further evaluated and considered in adolescents, given evidence of waning protection against gonorrhoea beginning around 36 months after vaccination </w:t>
      </w:r>
      <w:r w:rsidRPr="00B1021E">
        <w:rPr>
          <w:rFonts w:ascii="Times New Roman" w:hAnsi="Times New Roman" w:cs="Times New Roman"/>
          <w:sz w:val="18"/>
          <w:szCs w:val="18"/>
        </w:rPr>
        <w:fldChar w:fldCharType="begin"/>
      </w:r>
      <w:r w:rsidR="001E6F22">
        <w:rPr>
          <w:rFonts w:ascii="Times New Roman" w:hAnsi="Times New Roman" w:cs="Times New Roman"/>
          <w:sz w:val="18"/>
          <w:szCs w:val="18"/>
        </w:rPr>
        <w:instrText xml:space="preserve"> ADDIN ZOTERO_ITEM CSL_CITATION {"citationID":"YHB4VZcH","properties":{"unsorted":false,"formattedCitation":"[31]","plainCitation":"[31]","noteIndex":7},"citationItems":[{"id":464,"uris":["http://zotero.org/users/9663344/items/89SSBCG8"],"itemData":{"id":464,"type":"article-journal","abstract":"OBJECTIVES: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schema":"https://github.com/citation-style-language/schema/raw/master/csl-citation.json"} </w:instrText>
      </w:r>
      <w:r w:rsidRPr="00B1021E">
        <w:rPr>
          <w:rFonts w:ascii="Times New Roman" w:hAnsi="Times New Roman" w:cs="Times New Roman"/>
          <w:sz w:val="18"/>
          <w:szCs w:val="18"/>
        </w:rPr>
        <w:fldChar w:fldCharType="separate"/>
      </w:r>
      <w:r w:rsidR="001E6F22">
        <w:rPr>
          <w:rFonts w:ascii="Times New Roman" w:hAnsi="Times New Roman" w:cs="Times New Roman"/>
          <w:noProof/>
          <w:sz w:val="18"/>
          <w:szCs w:val="18"/>
        </w:rPr>
        <w:t>[31]</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 w:id="8">
    <w:p w14:paraId="46B8E66B" w14:textId="35EBE846" w:rsidR="00B1021E" w:rsidRPr="00B1021E" w:rsidRDefault="00B1021E" w:rsidP="00145FC1">
      <w:pPr>
        <w:pStyle w:val="FootnoteText"/>
        <w:jc w:val="both"/>
        <w:rPr>
          <w:lang w:val="en-US"/>
        </w:rPr>
      </w:pPr>
      <w:r w:rsidRPr="00B1021E">
        <w:rPr>
          <w:rStyle w:val="FootnoteReference"/>
          <w:rFonts w:ascii="Times New Roman" w:hAnsi="Times New Roman" w:cs="Times New Roman"/>
          <w:sz w:val="18"/>
          <w:szCs w:val="18"/>
        </w:rPr>
        <w:footnoteRef/>
      </w:r>
      <w:r w:rsidRPr="00B1021E">
        <w:rPr>
          <w:rFonts w:ascii="Times New Roman" w:hAnsi="Times New Roman" w:cs="Times New Roman"/>
          <w:sz w:val="18"/>
          <w:szCs w:val="18"/>
        </w:rPr>
        <w:t xml:space="preserve"> Moderate protection against both first and subsequent gonococcal infections has been observed for up to 5 years following vaccination, although protection appears to decline over time, with waning becoming evident after 5 years </w:t>
      </w:r>
      <w:r w:rsidRPr="00B1021E">
        <w:rPr>
          <w:rFonts w:ascii="Times New Roman" w:hAnsi="Times New Roman" w:cs="Times New Roman"/>
          <w:sz w:val="18"/>
          <w:szCs w:val="18"/>
        </w:rPr>
        <w:fldChar w:fldCharType="begin"/>
      </w:r>
      <w:r w:rsidR="001E6F22">
        <w:rPr>
          <w:rFonts w:ascii="Times New Roman" w:hAnsi="Times New Roman" w:cs="Times New Roman"/>
          <w:sz w:val="18"/>
          <w:szCs w:val="18"/>
        </w:rPr>
        <w:instrText xml:space="preserve"> ADDIN ZOTERO_ITEM CSL_CITATION {"citationID":"GdmPKwrT","properties":{"unsorted":false,"formattedCitation":"[32]","plainCitation":"[32]","noteIndex":8},"citationItems":[{"id":461,"uris":["http://zotero.org/users/9663344/items/JQEUC3BQ"],"itemData":{"id":461,"type":"article-journal","abstract":"BACKGROUND: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1021E">
        <w:rPr>
          <w:rFonts w:ascii="Times New Roman" w:hAnsi="Times New Roman" w:cs="Times New Roman"/>
          <w:sz w:val="18"/>
          <w:szCs w:val="18"/>
        </w:rPr>
        <w:fldChar w:fldCharType="separate"/>
      </w:r>
      <w:r w:rsidR="001E6F22">
        <w:rPr>
          <w:rFonts w:ascii="Times New Roman" w:hAnsi="Times New Roman" w:cs="Times New Roman"/>
          <w:noProof/>
          <w:sz w:val="18"/>
          <w:szCs w:val="18"/>
        </w:rPr>
        <w:t>[32]</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5"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722562">
    <w:abstractNumId w:val="2"/>
  </w:num>
  <w:num w:numId="2" w16cid:durableId="40520125">
    <w:abstractNumId w:val="5"/>
  </w:num>
  <w:num w:numId="3" w16cid:durableId="1504318238">
    <w:abstractNumId w:val="1"/>
  </w:num>
  <w:num w:numId="4" w16cid:durableId="1606230246">
    <w:abstractNumId w:val="4"/>
  </w:num>
  <w:num w:numId="5" w16cid:durableId="734740861">
    <w:abstractNumId w:val="7"/>
  </w:num>
  <w:num w:numId="6" w16cid:durableId="1193878392">
    <w:abstractNumId w:val="0"/>
  </w:num>
  <w:num w:numId="7" w16cid:durableId="765417693">
    <w:abstractNumId w:val="6"/>
  </w:num>
  <w:num w:numId="8" w16cid:durableId="572549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367"/>
    <w:rsid w:val="00000B87"/>
    <w:rsid w:val="000011E7"/>
    <w:rsid w:val="00027E42"/>
    <w:rsid w:val="00050497"/>
    <w:rsid w:val="0005212D"/>
    <w:rsid w:val="00054123"/>
    <w:rsid w:val="000619E7"/>
    <w:rsid w:val="00065E5D"/>
    <w:rsid w:val="00075D2F"/>
    <w:rsid w:val="00083C2D"/>
    <w:rsid w:val="00085099"/>
    <w:rsid w:val="00087DCE"/>
    <w:rsid w:val="00091063"/>
    <w:rsid w:val="00092D96"/>
    <w:rsid w:val="000A58B6"/>
    <w:rsid w:val="000A5947"/>
    <w:rsid w:val="000B0C7C"/>
    <w:rsid w:val="000B2196"/>
    <w:rsid w:val="000B68AF"/>
    <w:rsid w:val="000B6CA6"/>
    <w:rsid w:val="000C5BDB"/>
    <w:rsid w:val="000D0539"/>
    <w:rsid w:val="000D1389"/>
    <w:rsid w:val="000D3B8B"/>
    <w:rsid w:val="000D472A"/>
    <w:rsid w:val="000E2764"/>
    <w:rsid w:val="000E3930"/>
    <w:rsid w:val="000E4D10"/>
    <w:rsid w:val="000F2664"/>
    <w:rsid w:val="001010DC"/>
    <w:rsid w:val="001037C7"/>
    <w:rsid w:val="001039C4"/>
    <w:rsid w:val="00103DD6"/>
    <w:rsid w:val="00117036"/>
    <w:rsid w:val="001208FB"/>
    <w:rsid w:val="00133CB1"/>
    <w:rsid w:val="001418F7"/>
    <w:rsid w:val="00145FC1"/>
    <w:rsid w:val="0014609D"/>
    <w:rsid w:val="0015330D"/>
    <w:rsid w:val="001607B0"/>
    <w:rsid w:val="0016421E"/>
    <w:rsid w:val="0016426E"/>
    <w:rsid w:val="00166618"/>
    <w:rsid w:val="001725A7"/>
    <w:rsid w:val="0017364B"/>
    <w:rsid w:val="001A06DF"/>
    <w:rsid w:val="001A3A09"/>
    <w:rsid w:val="001B42F2"/>
    <w:rsid w:val="001B69F5"/>
    <w:rsid w:val="001B74CC"/>
    <w:rsid w:val="001C0CAA"/>
    <w:rsid w:val="001C2A98"/>
    <w:rsid w:val="001C3AEF"/>
    <w:rsid w:val="001C49F2"/>
    <w:rsid w:val="001C5B10"/>
    <w:rsid w:val="001C72D5"/>
    <w:rsid w:val="001D18D4"/>
    <w:rsid w:val="001D4FFF"/>
    <w:rsid w:val="001E0698"/>
    <w:rsid w:val="001E4905"/>
    <w:rsid w:val="001E6951"/>
    <w:rsid w:val="001E6F22"/>
    <w:rsid w:val="001F071A"/>
    <w:rsid w:val="001F6852"/>
    <w:rsid w:val="002007DE"/>
    <w:rsid w:val="00204018"/>
    <w:rsid w:val="00220104"/>
    <w:rsid w:val="002234CF"/>
    <w:rsid w:val="00223F73"/>
    <w:rsid w:val="0022598D"/>
    <w:rsid w:val="00230338"/>
    <w:rsid w:val="0023165B"/>
    <w:rsid w:val="00243D2B"/>
    <w:rsid w:val="002533F2"/>
    <w:rsid w:val="0025496A"/>
    <w:rsid w:val="00256035"/>
    <w:rsid w:val="00263500"/>
    <w:rsid w:val="00276DCE"/>
    <w:rsid w:val="00284461"/>
    <w:rsid w:val="00284E15"/>
    <w:rsid w:val="00287C10"/>
    <w:rsid w:val="002A0863"/>
    <w:rsid w:val="002A0AB1"/>
    <w:rsid w:val="002A1438"/>
    <w:rsid w:val="002B358A"/>
    <w:rsid w:val="002C1836"/>
    <w:rsid w:val="002C1F75"/>
    <w:rsid w:val="002C3F2C"/>
    <w:rsid w:val="002C711F"/>
    <w:rsid w:val="002D209E"/>
    <w:rsid w:val="002D65F1"/>
    <w:rsid w:val="002E7667"/>
    <w:rsid w:val="002F1936"/>
    <w:rsid w:val="00302302"/>
    <w:rsid w:val="00307F2B"/>
    <w:rsid w:val="00316933"/>
    <w:rsid w:val="00326421"/>
    <w:rsid w:val="00327ED6"/>
    <w:rsid w:val="003300DF"/>
    <w:rsid w:val="00331A4D"/>
    <w:rsid w:val="003323E8"/>
    <w:rsid w:val="00332AD8"/>
    <w:rsid w:val="00336842"/>
    <w:rsid w:val="00337290"/>
    <w:rsid w:val="00343145"/>
    <w:rsid w:val="00354E6D"/>
    <w:rsid w:val="003561F6"/>
    <w:rsid w:val="00362BD9"/>
    <w:rsid w:val="00366B64"/>
    <w:rsid w:val="00373D9B"/>
    <w:rsid w:val="00381301"/>
    <w:rsid w:val="00382719"/>
    <w:rsid w:val="00382F63"/>
    <w:rsid w:val="00393D45"/>
    <w:rsid w:val="003A66F0"/>
    <w:rsid w:val="003B3837"/>
    <w:rsid w:val="003B6AF3"/>
    <w:rsid w:val="003B6C8E"/>
    <w:rsid w:val="003C154F"/>
    <w:rsid w:val="003C1DA1"/>
    <w:rsid w:val="003C1F45"/>
    <w:rsid w:val="003C574C"/>
    <w:rsid w:val="003E7919"/>
    <w:rsid w:val="004033EF"/>
    <w:rsid w:val="00422602"/>
    <w:rsid w:val="004229CD"/>
    <w:rsid w:val="00424CFE"/>
    <w:rsid w:val="004338C0"/>
    <w:rsid w:val="00434D86"/>
    <w:rsid w:val="004357BD"/>
    <w:rsid w:val="004455A5"/>
    <w:rsid w:val="004546A0"/>
    <w:rsid w:val="00466C02"/>
    <w:rsid w:val="00474003"/>
    <w:rsid w:val="00482565"/>
    <w:rsid w:val="0048457F"/>
    <w:rsid w:val="004E2A7F"/>
    <w:rsid w:val="004E49BA"/>
    <w:rsid w:val="004E5A57"/>
    <w:rsid w:val="004F1CFD"/>
    <w:rsid w:val="004F3D14"/>
    <w:rsid w:val="004F4B9C"/>
    <w:rsid w:val="00506AFF"/>
    <w:rsid w:val="00507315"/>
    <w:rsid w:val="00511992"/>
    <w:rsid w:val="0051618A"/>
    <w:rsid w:val="005215DC"/>
    <w:rsid w:val="00521FE0"/>
    <w:rsid w:val="00522393"/>
    <w:rsid w:val="00523A73"/>
    <w:rsid w:val="0053170E"/>
    <w:rsid w:val="00535D63"/>
    <w:rsid w:val="005368DE"/>
    <w:rsid w:val="00536FF5"/>
    <w:rsid w:val="005411A9"/>
    <w:rsid w:val="00545B96"/>
    <w:rsid w:val="0054651B"/>
    <w:rsid w:val="005473E4"/>
    <w:rsid w:val="00550ABE"/>
    <w:rsid w:val="0055619E"/>
    <w:rsid w:val="00556849"/>
    <w:rsid w:val="00563FF5"/>
    <w:rsid w:val="0057315F"/>
    <w:rsid w:val="00577E90"/>
    <w:rsid w:val="005806F6"/>
    <w:rsid w:val="005A070B"/>
    <w:rsid w:val="005B07EA"/>
    <w:rsid w:val="005B15BD"/>
    <w:rsid w:val="005B2DA0"/>
    <w:rsid w:val="005B3659"/>
    <w:rsid w:val="005C1307"/>
    <w:rsid w:val="005D0C68"/>
    <w:rsid w:val="005D5687"/>
    <w:rsid w:val="005D7DAD"/>
    <w:rsid w:val="005E0B1D"/>
    <w:rsid w:val="005E4A82"/>
    <w:rsid w:val="005F0A0A"/>
    <w:rsid w:val="00600B13"/>
    <w:rsid w:val="006108A8"/>
    <w:rsid w:val="006173E0"/>
    <w:rsid w:val="00620092"/>
    <w:rsid w:val="00624970"/>
    <w:rsid w:val="0062623D"/>
    <w:rsid w:val="00630081"/>
    <w:rsid w:val="006300FE"/>
    <w:rsid w:val="00630BF1"/>
    <w:rsid w:val="0063767C"/>
    <w:rsid w:val="006425C4"/>
    <w:rsid w:val="00654ED9"/>
    <w:rsid w:val="00666618"/>
    <w:rsid w:val="00667406"/>
    <w:rsid w:val="0067174C"/>
    <w:rsid w:val="0067361D"/>
    <w:rsid w:val="00673DDD"/>
    <w:rsid w:val="00680986"/>
    <w:rsid w:val="00690AB2"/>
    <w:rsid w:val="0069221B"/>
    <w:rsid w:val="00694DF0"/>
    <w:rsid w:val="006A2A59"/>
    <w:rsid w:val="006A5D60"/>
    <w:rsid w:val="006B564D"/>
    <w:rsid w:val="006B5BE6"/>
    <w:rsid w:val="006B751E"/>
    <w:rsid w:val="006C0BE4"/>
    <w:rsid w:val="006C157E"/>
    <w:rsid w:val="006C22C1"/>
    <w:rsid w:val="006C3307"/>
    <w:rsid w:val="006E4C38"/>
    <w:rsid w:val="006F3684"/>
    <w:rsid w:val="006F7EBA"/>
    <w:rsid w:val="007024DB"/>
    <w:rsid w:val="00713935"/>
    <w:rsid w:val="00720BC0"/>
    <w:rsid w:val="00727618"/>
    <w:rsid w:val="0073291E"/>
    <w:rsid w:val="007329A5"/>
    <w:rsid w:val="0073529F"/>
    <w:rsid w:val="00743CE1"/>
    <w:rsid w:val="007525AC"/>
    <w:rsid w:val="00755701"/>
    <w:rsid w:val="00756C05"/>
    <w:rsid w:val="00756FF7"/>
    <w:rsid w:val="0075770A"/>
    <w:rsid w:val="00757D3F"/>
    <w:rsid w:val="00776D62"/>
    <w:rsid w:val="007864C5"/>
    <w:rsid w:val="0079342B"/>
    <w:rsid w:val="007966E6"/>
    <w:rsid w:val="007A6006"/>
    <w:rsid w:val="007B7461"/>
    <w:rsid w:val="007C1062"/>
    <w:rsid w:val="007C39C6"/>
    <w:rsid w:val="007D28FF"/>
    <w:rsid w:val="007E3DC8"/>
    <w:rsid w:val="007E5D03"/>
    <w:rsid w:val="007F5429"/>
    <w:rsid w:val="00802477"/>
    <w:rsid w:val="00804703"/>
    <w:rsid w:val="00806315"/>
    <w:rsid w:val="00813523"/>
    <w:rsid w:val="008235D5"/>
    <w:rsid w:val="008241F9"/>
    <w:rsid w:val="0084213D"/>
    <w:rsid w:val="008550FB"/>
    <w:rsid w:val="008576F9"/>
    <w:rsid w:val="00864286"/>
    <w:rsid w:val="00870795"/>
    <w:rsid w:val="00877A9C"/>
    <w:rsid w:val="008925D7"/>
    <w:rsid w:val="008B7F26"/>
    <w:rsid w:val="008C079B"/>
    <w:rsid w:val="008C20BF"/>
    <w:rsid w:val="008C2AAA"/>
    <w:rsid w:val="008C3C96"/>
    <w:rsid w:val="008D037C"/>
    <w:rsid w:val="008D3D88"/>
    <w:rsid w:val="008E5752"/>
    <w:rsid w:val="008E6B37"/>
    <w:rsid w:val="008F09CA"/>
    <w:rsid w:val="008F1059"/>
    <w:rsid w:val="00900927"/>
    <w:rsid w:val="0090359A"/>
    <w:rsid w:val="00910847"/>
    <w:rsid w:val="00911EE4"/>
    <w:rsid w:val="00912190"/>
    <w:rsid w:val="00914662"/>
    <w:rsid w:val="00921697"/>
    <w:rsid w:val="00930553"/>
    <w:rsid w:val="00930B14"/>
    <w:rsid w:val="009324AB"/>
    <w:rsid w:val="00932C73"/>
    <w:rsid w:val="00941308"/>
    <w:rsid w:val="0094275B"/>
    <w:rsid w:val="009550C6"/>
    <w:rsid w:val="009662DC"/>
    <w:rsid w:val="009701A4"/>
    <w:rsid w:val="00973822"/>
    <w:rsid w:val="00974C47"/>
    <w:rsid w:val="009758E2"/>
    <w:rsid w:val="00976368"/>
    <w:rsid w:val="00976A2C"/>
    <w:rsid w:val="00986483"/>
    <w:rsid w:val="009A302F"/>
    <w:rsid w:val="009B54A6"/>
    <w:rsid w:val="009B6B32"/>
    <w:rsid w:val="009C0A6F"/>
    <w:rsid w:val="009C2B9F"/>
    <w:rsid w:val="009D5228"/>
    <w:rsid w:val="009E1546"/>
    <w:rsid w:val="009E6324"/>
    <w:rsid w:val="009F77D3"/>
    <w:rsid w:val="00A03255"/>
    <w:rsid w:val="00A05668"/>
    <w:rsid w:val="00A219CE"/>
    <w:rsid w:val="00A21F28"/>
    <w:rsid w:val="00A21F6D"/>
    <w:rsid w:val="00A26C1F"/>
    <w:rsid w:val="00A37609"/>
    <w:rsid w:val="00A42434"/>
    <w:rsid w:val="00A457AA"/>
    <w:rsid w:val="00A60259"/>
    <w:rsid w:val="00A6038C"/>
    <w:rsid w:val="00A64C35"/>
    <w:rsid w:val="00A73305"/>
    <w:rsid w:val="00A76F55"/>
    <w:rsid w:val="00A96A92"/>
    <w:rsid w:val="00A97EEB"/>
    <w:rsid w:val="00AA2F44"/>
    <w:rsid w:val="00AA3D24"/>
    <w:rsid w:val="00AA5371"/>
    <w:rsid w:val="00AA5C7A"/>
    <w:rsid w:val="00AB02ED"/>
    <w:rsid w:val="00AB1E71"/>
    <w:rsid w:val="00AB3080"/>
    <w:rsid w:val="00AC07E2"/>
    <w:rsid w:val="00AD0C45"/>
    <w:rsid w:val="00AD2004"/>
    <w:rsid w:val="00AD417C"/>
    <w:rsid w:val="00AE4378"/>
    <w:rsid w:val="00AF17D8"/>
    <w:rsid w:val="00B06488"/>
    <w:rsid w:val="00B1021E"/>
    <w:rsid w:val="00B11432"/>
    <w:rsid w:val="00B15A39"/>
    <w:rsid w:val="00B15DD7"/>
    <w:rsid w:val="00B26C1F"/>
    <w:rsid w:val="00B31011"/>
    <w:rsid w:val="00B32B88"/>
    <w:rsid w:val="00B424FD"/>
    <w:rsid w:val="00B50E2D"/>
    <w:rsid w:val="00B603C7"/>
    <w:rsid w:val="00B6206E"/>
    <w:rsid w:val="00B62B04"/>
    <w:rsid w:val="00B65A11"/>
    <w:rsid w:val="00B66285"/>
    <w:rsid w:val="00B71524"/>
    <w:rsid w:val="00B877F5"/>
    <w:rsid w:val="00BA2AB7"/>
    <w:rsid w:val="00BA61F4"/>
    <w:rsid w:val="00BC52CE"/>
    <w:rsid w:val="00BC6C09"/>
    <w:rsid w:val="00BD15B2"/>
    <w:rsid w:val="00BD217F"/>
    <w:rsid w:val="00BD59C2"/>
    <w:rsid w:val="00BF1374"/>
    <w:rsid w:val="00BF183C"/>
    <w:rsid w:val="00BF2A3D"/>
    <w:rsid w:val="00BF327B"/>
    <w:rsid w:val="00BF4DCA"/>
    <w:rsid w:val="00BF4E96"/>
    <w:rsid w:val="00BF5996"/>
    <w:rsid w:val="00BF6FF4"/>
    <w:rsid w:val="00BF7575"/>
    <w:rsid w:val="00C052D4"/>
    <w:rsid w:val="00C066BD"/>
    <w:rsid w:val="00C17699"/>
    <w:rsid w:val="00C2176F"/>
    <w:rsid w:val="00C22D10"/>
    <w:rsid w:val="00C2470F"/>
    <w:rsid w:val="00C252ED"/>
    <w:rsid w:val="00C3364D"/>
    <w:rsid w:val="00C43D02"/>
    <w:rsid w:val="00C54EE3"/>
    <w:rsid w:val="00C577E4"/>
    <w:rsid w:val="00C60BB5"/>
    <w:rsid w:val="00C70A9E"/>
    <w:rsid w:val="00CA08CF"/>
    <w:rsid w:val="00CA321D"/>
    <w:rsid w:val="00CA550C"/>
    <w:rsid w:val="00CB3FBC"/>
    <w:rsid w:val="00CB4B37"/>
    <w:rsid w:val="00CD1078"/>
    <w:rsid w:val="00CD1329"/>
    <w:rsid w:val="00CD3E9D"/>
    <w:rsid w:val="00CD493A"/>
    <w:rsid w:val="00CD5894"/>
    <w:rsid w:val="00CD73B1"/>
    <w:rsid w:val="00CE173A"/>
    <w:rsid w:val="00CE1D02"/>
    <w:rsid w:val="00CE437E"/>
    <w:rsid w:val="00CE782C"/>
    <w:rsid w:val="00CF7B21"/>
    <w:rsid w:val="00D03073"/>
    <w:rsid w:val="00D036DA"/>
    <w:rsid w:val="00D06293"/>
    <w:rsid w:val="00D12B13"/>
    <w:rsid w:val="00D12E24"/>
    <w:rsid w:val="00D21988"/>
    <w:rsid w:val="00D27D2B"/>
    <w:rsid w:val="00D32E21"/>
    <w:rsid w:val="00D337FB"/>
    <w:rsid w:val="00D43596"/>
    <w:rsid w:val="00D47058"/>
    <w:rsid w:val="00D67628"/>
    <w:rsid w:val="00D706B0"/>
    <w:rsid w:val="00D73050"/>
    <w:rsid w:val="00D76A07"/>
    <w:rsid w:val="00D77A83"/>
    <w:rsid w:val="00D803EF"/>
    <w:rsid w:val="00D817F5"/>
    <w:rsid w:val="00D81981"/>
    <w:rsid w:val="00D83ED0"/>
    <w:rsid w:val="00D95BD9"/>
    <w:rsid w:val="00DA5AB2"/>
    <w:rsid w:val="00DB0475"/>
    <w:rsid w:val="00DB3DC4"/>
    <w:rsid w:val="00DB4F61"/>
    <w:rsid w:val="00DD1B60"/>
    <w:rsid w:val="00DD1CCA"/>
    <w:rsid w:val="00DD5329"/>
    <w:rsid w:val="00DE7C05"/>
    <w:rsid w:val="00E020F1"/>
    <w:rsid w:val="00E11A11"/>
    <w:rsid w:val="00E14D5D"/>
    <w:rsid w:val="00E15449"/>
    <w:rsid w:val="00E168B3"/>
    <w:rsid w:val="00E5154E"/>
    <w:rsid w:val="00E51E5A"/>
    <w:rsid w:val="00E536A7"/>
    <w:rsid w:val="00E5498B"/>
    <w:rsid w:val="00E54A4D"/>
    <w:rsid w:val="00E62364"/>
    <w:rsid w:val="00E716CC"/>
    <w:rsid w:val="00E7338C"/>
    <w:rsid w:val="00E96FBA"/>
    <w:rsid w:val="00E97704"/>
    <w:rsid w:val="00EA3640"/>
    <w:rsid w:val="00EB17DD"/>
    <w:rsid w:val="00EB61FB"/>
    <w:rsid w:val="00EC2699"/>
    <w:rsid w:val="00EC3110"/>
    <w:rsid w:val="00EC410B"/>
    <w:rsid w:val="00ED37A4"/>
    <w:rsid w:val="00EE1CFB"/>
    <w:rsid w:val="00EE4B38"/>
    <w:rsid w:val="00EF0B62"/>
    <w:rsid w:val="00F00AFE"/>
    <w:rsid w:val="00F01206"/>
    <w:rsid w:val="00F02256"/>
    <w:rsid w:val="00F14CE2"/>
    <w:rsid w:val="00F176A5"/>
    <w:rsid w:val="00F36509"/>
    <w:rsid w:val="00F41837"/>
    <w:rsid w:val="00F477CC"/>
    <w:rsid w:val="00F5221A"/>
    <w:rsid w:val="00F52E0E"/>
    <w:rsid w:val="00F55D78"/>
    <w:rsid w:val="00F63B65"/>
    <w:rsid w:val="00F65B86"/>
    <w:rsid w:val="00F66957"/>
    <w:rsid w:val="00F7254F"/>
    <w:rsid w:val="00F729B0"/>
    <w:rsid w:val="00F9132B"/>
    <w:rsid w:val="00F9466C"/>
    <w:rsid w:val="00FA15F7"/>
    <w:rsid w:val="00FA41BC"/>
    <w:rsid w:val="00FB3D88"/>
    <w:rsid w:val="00FB7950"/>
    <w:rsid w:val="00FC6BB2"/>
    <w:rsid w:val="00FD0816"/>
    <w:rsid w:val="00FD2D8F"/>
    <w:rsid w:val="00FE282D"/>
    <w:rsid w:val="00FE3A6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F22"/>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semiHidden/>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27</Pages>
  <Words>27332</Words>
  <Characters>155799</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125</cp:revision>
  <cp:lastPrinted>2026-02-27T06:07:00Z</cp:lastPrinted>
  <dcterms:created xsi:type="dcterms:W3CDTF">2026-02-10T07:13:00Z</dcterms:created>
  <dcterms:modified xsi:type="dcterms:W3CDTF">2026-03-19T19:51:00Z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id="XFUvnlgZ"/&gt;&lt;style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