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860E" w14:textId="77777777" w:rsidR="00027E42" w:rsidRPr="00276DCE" w:rsidRDefault="00CD73B1" w:rsidP="00276DCE">
      <w:pPr>
        <w:spacing w:before="100" w:beforeAutospacing="1" w:after="100" w:afterAutospacing="1" w:line="276" w:lineRule="auto"/>
        <w:jc w:val="both"/>
        <w:rPr>
          <w:rFonts w:ascii="Times New Roman" w:hAnsi="Times New Roman" w:cs="Times New Roman"/>
          <w:b/>
          <w:bCs/>
          <w:color w:val="000000" w:themeColor="text1"/>
          <w:sz w:val="20"/>
          <w:szCs w:val="20"/>
        </w:rPr>
      </w:pPr>
      <w:r w:rsidRPr="00276DCE">
        <w:rPr>
          <w:rFonts w:ascii="Times New Roman" w:hAnsi="Times New Roman" w:cs="Times New Roman"/>
          <w:b/>
          <w:bCs/>
          <w:sz w:val="20"/>
          <w:szCs w:val="20"/>
        </w:rPr>
        <w:t xml:space="preserve">Dual Prevention, Dual Resistance? Modelling the Interplay Between Doxycycline </w:t>
      </w:r>
      <w:r w:rsidR="00000B87" w:rsidRPr="00276DCE">
        <w:rPr>
          <w:rFonts w:ascii="Times New Roman" w:hAnsi="Times New Roman" w:cs="Times New Roman"/>
          <w:b/>
          <w:bCs/>
          <w:sz w:val="20"/>
          <w:szCs w:val="20"/>
        </w:rPr>
        <w:t>Post-Exposure Prophylaxis</w:t>
      </w:r>
      <w:r w:rsidRPr="00276DCE">
        <w:rPr>
          <w:rFonts w:ascii="Times New Roman" w:hAnsi="Times New Roman" w:cs="Times New Roman"/>
          <w:b/>
          <w:bCs/>
          <w:sz w:val="20"/>
          <w:szCs w:val="20"/>
        </w:rPr>
        <w:t xml:space="preserve">, </w:t>
      </w:r>
      <w:r w:rsidR="00000B87" w:rsidRPr="00276DCE">
        <w:rPr>
          <w:rFonts w:ascii="Times New Roman" w:hAnsi="Times New Roman" w:cs="Times New Roman"/>
          <w:b/>
          <w:bCs/>
          <w:sz w:val="20"/>
          <w:szCs w:val="20"/>
        </w:rPr>
        <w:t>Four-Component Serogroup B Meningococcal (</w:t>
      </w:r>
      <w:r w:rsidRPr="00276DCE">
        <w:rPr>
          <w:rFonts w:ascii="Times New Roman" w:hAnsi="Times New Roman" w:cs="Times New Roman"/>
          <w:b/>
          <w:bCs/>
          <w:sz w:val="20"/>
          <w:szCs w:val="20"/>
        </w:rPr>
        <w:t>4CMenB</w:t>
      </w:r>
      <w:r w:rsidR="00000B87" w:rsidRPr="00276DCE">
        <w:rPr>
          <w:rFonts w:ascii="Times New Roman" w:hAnsi="Times New Roman" w:cs="Times New Roman"/>
          <w:b/>
          <w:bCs/>
          <w:sz w:val="20"/>
          <w:szCs w:val="20"/>
        </w:rPr>
        <w:t>) vaccine</w:t>
      </w:r>
      <w:r w:rsidRPr="00276DCE">
        <w:rPr>
          <w:rFonts w:ascii="Times New Roman" w:hAnsi="Times New Roman" w:cs="Times New Roman"/>
          <w:b/>
          <w:bCs/>
          <w:sz w:val="20"/>
          <w:szCs w:val="20"/>
        </w:rPr>
        <w:t xml:space="preserve">, and </w:t>
      </w:r>
      <w:r w:rsidR="00000B87" w:rsidRPr="00276DCE">
        <w:rPr>
          <w:rFonts w:ascii="Times New Roman" w:hAnsi="Times New Roman" w:cs="Times New Roman"/>
          <w:b/>
          <w:bCs/>
          <w:sz w:val="20"/>
          <w:szCs w:val="20"/>
        </w:rPr>
        <w:t>Antimicrobial Resistance</w:t>
      </w:r>
      <w:r w:rsidRPr="00276DCE">
        <w:rPr>
          <w:rFonts w:ascii="Times New Roman" w:hAnsi="Times New Roman" w:cs="Times New Roman"/>
          <w:b/>
          <w:bCs/>
          <w:sz w:val="20"/>
          <w:szCs w:val="20"/>
        </w:rPr>
        <w:t xml:space="preserve"> in </w:t>
      </w:r>
      <w:r w:rsidRPr="00276DCE">
        <w:rPr>
          <w:rStyle w:val="Emphasis"/>
          <w:rFonts w:ascii="Times New Roman" w:hAnsi="Times New Roman" w:cs="Times New Roman"/>
          <w:b/>
          <w:bCs/>
          <w:sz w:val="20"/>
          <w:szCs w:val="20"/>
        </w:rPr>
        <w:t>Neisseria gonorrhoeae</w:t>
      </w:r>
    </w:p>
    <w:p w14:paraId="7DF3C741" w14:textId="3B76E898" w:rsidR="00276DCE" w:rsidRPr="009D5228" w:rsidRDefault="00276DCE" w:rsidP="00276DCE">
      <w:pPr>
        <w:pStyle w:val="NormalWeb"/>
        <w:spacing w:line="276" w:lineRule="auto"/>
        <w:jc w:val="both"/>
        <w:rPr>
          <w:color w:val="000000" w:themeColor="text1"/>
          <w:sz w:val="20"/>
          <w:szCs w:val="20"/>
        </w:rPr>
      </w:pPr>
      <w:r w:rsidRPr="00276DCE">
        <w:rPr>
          <w:sz w:val="20"/>
          <w:szCs w:val="20"/>
        </w:rPr>
        <w:t xml:space="preserve">Doxycycline, a tetracycline-class antibiotic, has recently gained renewed interest through its use as post-exposure prophylaxis (doxy-PEP) for preventing syphilis </w:t>
      </w:r>
      <w:r w:rsidRPr="00276DCE">
        <w:rPr>
          <w:sz w:val="20"/>
          <w:szCs w:val="20"/>
        </w:rPr>
        <w:fldChar w:fldCharType="begin"/>
      </w:r>
      <w:r w:rsidRPr="00276DCE">
        <w:rPr>
          <w:sz w:val="20"/>
          <w:szCs w:val="20"/>
        </w:rPr>
        <w:instrText xml:space="preserve"> ADDIN ZOTERO_ITEM CSL_CITATION {"citationID":"4ESW7EN9","properties":{"formattedCitation":"[1]","plainCitation":"[1]","noteIndex":0},"citationItems":[{"id":164,"uris":["http://zotero.org/users/9663344/items/QS5XKHBB"],"itemData":{"id":164,"type":"article-journal","abstract":"This guideline provides evidence-based recommendations for the use of doxycycline post exposure prophylaxis (doxyPEP) for the prevention of syphilis. DoxyPEP should be part of a comprehensive approach to the prevention of STIs, along with condom use, appropriate HIV prevention interventions, vaccination, STI testing, treatment and management, and appropriate risk reduction advice and psychological interventions if indicated.","language":"en","source":"Zotero","title":"UK National Guideline for the Use of Doxycycline Post-Exposure Prophylaxis (DoxyPEP) for the Prevention of Syphilis","author":[{"family":"Saunders","given":"John"},{"family":"Deering","given":"Joseph"},{"family":"Dewsnap","given":"Claire"},{"family":"Drayton","given":"Rachel"},{"family":"Gilmore","given":"John"}]}}],"schema":"https://github.com/citation-style-language/schema/raw/master/csl-citation.json"} </w:instrText>
      </w:r>
      <w:r w:rsidRPr="00276DCE">
        <w:rPr>
          <w:sz w:val="20"/>
          <w:szCs w:val="20"/>
        </w:rPr>
        <w:fldChar w:fldCharType="separate"/>
      </w:r>
      <w:r w:rsidRPr="00276DCE">
        <w:rPr>
          <w:noProof/>
          <w:sz w:val="20"/>
          <w:szCs w:val="20"/>
        </w:rPr>
        <w:t>[1]</w:t>
      </w:r>
      <w:r w:rsidRPr="00276DCE">
        <w:rPr>
          <w:sz w:val="20"/>
          <w:szCs w:val="20"/>
        </w:rPr>
        <w:fldChar w:fldCharType="end"/>
      </w:r>
      <w:r w:rsidRPr="00276DCE">
        <w:rPr>
          <w:sz w:val="20"/>
          <w:szCs w:val="20"/>
        </w:rPr>
        <w:t xml:space="preserve">. However, its large-scale deployment has raised concerns regarding potential impacts on antimicrobial resistance (AMR) in </w:t>
      </w:r>
      <w:r w:rsidRPr="00276DCE">
        <w:rPr>
          <w:rStyle w:val="Emphasis"/>
          <w:rFonts w:eastAsiaTheme="majorEastAsia"/>
          <w:sz w:val="20"/>
          <w:szCs w:val="20"/>
        </w:rPr>
        <w:t xml:space="preserve">Neisseria gonorrhoeae </w:t>
      </w:r>
      <w:bookmarkStart w:id="0" w:name="_Hlk211990451"/>
      <w:r w:rsidRPr="00276DCE">
        <w:rPr>
          <w:rStyle w:val="Emphasis"/>
          <w:rFonts w:eastAsiaTheme="majorEastAsia"/>
          <w:i w:val="0"/>
          <w:iCs w:val="0"/>
          <w:sz w:val="20"/>
          <w:szCs w:val="20"/>
        </w:rPr>
        <w:fldChar w:fldCharType="begin"/>
      </w:r>
      <w:r w:rsidRPr="00276DCE">
        <w:rPr>
          <w:rStyle w:val="Emphasis"/>
          <w:rFonts w:eastAsiaTheme="majorEastAsia"/>
          <w:sz w:val="20"/>
          <w:szCs w:val="20"/>
        </w:rPr>
        <w:instrText xml:space="preserve"> ADDIN ZOTERO_ITEM CSL_CITATION {"citationID":"vUBOVZVp","properties":{"formattedCitation":"[2], [3]","plainCitation":"[2], [3]","noteIndex":0},"citationItems":[{"id":287,"uris":["http://zotero.org/users/9663344/items/UD4GZWU4"],"itemData":{"id":287,"type":"article-journal","container-title":"The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rStyle w:val="Emphasis"/>
          <w:rFonts w:eastAsiaTheme="majorEastAsia"/>
          <w:i w:val="0"/>
          <w:iCs w:val="0"/>
          <w:sz w:val="20"/>
          <w:szCs w:val="20"/>
        </w:rPr>
        <w:fldChar w:fldCharType="separate"/>
      </w:r>
      <w:r w:rsidRPr="00276DCE">
        <w:rPr>
          <w:rStyle w:val="Emphasis"/>
          <w:rFonts w:eastAsiaTheme="majorEastAsia"/>
          <w:noProof/>
          <w:sz w:val="20"/>
          <w:szCs w:val="20"/>
        </w:rPr>
        <w:t>[2], [3]</w:t>
      </w:r>
      <w:r w:rsidRPr="00276DCE">
        <w:rPr>
          <w:rStyle w:val="Emphasis"/>
          <w:rFonts w:eastAsiaTheme="majorEastAsia"/>
          <w:i w:val="0"/>
          <w:iCs w:val="0"/>
          <w:sz w:val="20"/>
          <w:szCs w:val="20"/>
        </w:rPr>
        <w:fldChar w:fldCharType="end"/>
      </w:r>
      <w:bookmarkEnd w:id="0"/>
      <w:r w:rsidR="009D5228">
        <w:rPr>
          <w:rStyle w:val="Emphasis"/>
          <w:rFonts w:eastAsiaTheme="majorEastAsia"/>
          <w:i w:val="0"/>
          <w:iCs w:val="0"/>
          <w:sz w:val="20"/>
          <w:szCs w:val="20"/>
        </w:rPr>
        <w:t xml:space="preserve">. </w:t>
      </w:r>
      <w:r w:rsidRPr="00276DCE">
        <w:rPr>
          <w:sz w:val="20"/>
          <w:szCs w:val="20"/>
        </w:rPr>
        <w:t>Resistance to doxycycline and extended-spectrum cephalosporins (ESCs), such as ceftriaxone (i.e., the current first-line and last-</w:t>
      </w:r>
      <w:r w:rsidR="0015330D">
        <w:rPr>
          <w:sz w:val="20"/>
          <w:szCs w:val="20"/>
        </w:rPr>
        <w:t>line</w:t>
      </w:r>
      <w:r w:rsidRPr="00276DCE">
        <w:rPr>
          <w:sz w:val="20"/>
          <w:szCs w:val="20"/>
        </w:rPr>
        <w:t xml:space="preserve"> antibiotic for gonorrhoea)</w:t>
      </w:r>
      <w:r w:rsidR="00804703">
        <w:rPr>
          <w:sz w:val="20"/>
          <w:szCs w:val="20"/>
        </w:rPr>
        <w:t xml:space="preserve"> </w:t>
      </w:r>
      <w:r w:rsidR="00804703">
        <w:rPr>
          <w:sz w:val="20"/>
          <w:szCs w:val="20"/>
        </w:rPr>
        <w:fldChar w:fldCharType="begin"/>
      </w:r>
      <w:r w:rsidR="00804703">
        <w:rPr>
          <w:sz w:val="20"/>
          <w:szCs w:val="20"/>
        </w:rPr>
        <w:instrText xml:space="preserve"> ADDIN ZOTERO_ITEM CSL_CITATION {"citationID":"XAYBGUMV","properties":{"formattedCitation":"[4]","plainCitation":"[4]","noteIndex":0},"citationItems":[{"id":420,"uris":["http://zotero.org/users/9663344/items/ZQGG9PCA"],"itemData":{"id":420,"type":"webpage","container-title":"UK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sidR="00804703">
        <w:rPr>
          <w:sz w:val="20"/>
          <w:szCs w:val="20"/>
        </w:rPr>
        <w:fldChar w:fldCharType="separate"/>
      </w:r>
      <w:r w:rsidR="00804703">
        <w:rPr>
          <w:noProof/>
          <w:sz w:val="20"/>
          <w:szCs w:val="20"/>
        </w:rPr>
        <w:t>[4]</w:t>
      </w:r>
      <w:r w:rsidR="00804703">
        <w:rPr>
          <w:sz w:val="20"/>
          <w:szCs w:val="20"/>
        </w:rPr>
        <w:fldChar w:fldCharType="end"/>
      </w:r>
      <w:r w:rsidRPr="00276DCE">
        <w:rPr>
          <w:sz w:val="20"/>
          <w:szCs w:val="20"/>
        </w:rPr>
        <w:t xml:space="preserve">, arises through distinct genetic mechanisms but can become linked via co-selection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{"citationID":"HMkDoHaW","properties":{"formattedCitation":"[2]","plainCitation":"[2]","noteIndex":0},"citationItems":[{"id":287,"uris":["http://zotero.org/users/9663344/items/UD4GZWU4"],"itemData":{"id":287,"type":"article-journal","container-title":"The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[2]</w:t>
      </w:r>
      <w:r w:rsidRPr="00276DCE">
        <w:rPr>
          <w:color w:val="000000" w:themeColor="text1"/>
          <w:sz w:val="20"/>
          <w:szCs w:val="20"/>
        </w:rPr>
        <w:fldChar w:fldCharType="end"/>
      </w:r>
      <w:r w:rsidR="009D5228">
        <w:rPr>
          <w:color w:val="000000" w:themeColor="text1"/>
          <w:sz w:val="20"/>
          <w:szCs w:val="20"/>
        </w:rPr>
        <w:t xml:space="preserve">. </w:t>
      </w:r>
      <w:r w:rsidR="009D5228" w:rsidRPr="009D5228">
        <w:rPr>
          <w:sz w:val="20"/>
          <w:szCs w:val="20"/>
        </w:rPr>
        <w:t xml:space="preserve">Notably, ceftriaxone-resistant multidrug-resistant </w:t>
      </w:r>
      <w:r w:rsidR="009D5228" w:rsidRPr="009D5228">
        <w:rPr>
          <w:rStyle w:val="Emphasis"/>
          <w:rFonts w:eastAsiaTheme="majorEastAsia"/>
          <w:sz w:val="20"/>
          <w:szCs w:val="20"/>
        </w:rPr>
        <w:t>Neisseria gonorrhoeae</w:t>
      </w:r>
      <w:r w:rsidR="009D5228" w:rsidRPr="009D5228">
        <w:rPr>
          <w:sz w:val="20"/>
          <w:szCs w:val="20"/>
        </w:rPr>
        <w:t xml:space="preserve"> strains have already been detected in Singapore</w:t>
      </w:r>
      <w:r w:rsidR="009D5228">
        <w:rPr>
          <w:sz w:val="20"/>
          <w:szCs w:val="20"/>
        </w:rPr>
        <w:t xml:space="preserve"> </w:t>
      </w:r>
      <w:r w:rsidR="009D5228">
        <w:rPr>
          <w:sz w:val="20"/>
          <w:szCs w:val="20"/>
        </w:rPr>
        <w:fldChar w:fldCharType="begin"/>
      </w:r>
      <w:r w:rsidR="009D5228">
        <w:rPr>
          <w:sz w:val="20"/>
          <w:szCs w:val="20"/>
        </w:rPr>
        <w:instrText xml:space="preserve"> ADDIN ZOTERO_ITEM CSL_CITATION {"citationID":"r51sHfS3","properties":{"formattedCitation":"[5]","plainCitation":"[5]","noteIndex":0},"citationItems":[{"id":432,"uris":["http://zotero.org/users/9663344/items/BNCYHYJV"],"itemData":{"id":432,"type":"article-journal","container-title":"Antimicrobial Agents and Chemotherapy","DOI":"10.1128/AAC.02624-18","ISSN":"0066-4804","issue":"5","journalAbbreviation":"Antimicrob Agents Chemother","note":"PMID: 30858209\nPMCID: PMC6496044","page":"e02624-18","source":"PubMed Central","title":"First Case of Ceftriaxone-Resistant Multidrug-Resistant Neisseria gonorrhoeae in Singapore","volume":"63","author":[{"family":"Ko","given":"Karrie Kwan Ki"},{"family":"Chio","given":"Martin T. W."},{"family":"Goh","given":"Sui Sin"},{"family":"Tan","given":"Ai Ling"},{"family":"Koh","given":"Tse Hsien"},{"family":"Abdul Rahman","given":"Nurdyana Binte"}],"issued":{"date-parts":[["2019",4,25]]}}}],"schema":"https://github.com/citation-style-language/schema/raw/master/csl-citation.json"} </w:instrText>
      </w:r>
      <w:r w:rsidR="009D5228">
        <w:rPr>
          <w:sz w:val="20"/>
          <w:szCs w:val="20"/>
        </w:rPr>
        <w:fldChar w:fldCharType="separate"/>
      </w:r>
      <w:r w:rsidR="009D5228">
        <w:rPr>
          <w:noProof/>
          <w:sz w:val="20"/>
          <w:szCs w:val="20"/>
        </w:rPr>
        <w:t>[5]</w:t>
      </w:r>
      <w:r w:rsidR="009D5228">
        <w:rPr>
          <w:sz w:val="20"/>
          <w:szCs w:val="20"/>
        </w:rPr>
        <w:fldChar w:fldCharType="end"/>
      </w:r>
      <w:r w:rsidR="009D5228" w:rsidRPr="009D5228">
        <w:rPr>
          <w:sz w:val="20"/>
          <w:szCs w:val="20"/>
        </w:rPr>
        <w:t>.</w:t>
      </w:r>
    </w:p>
    <w:p w14:paraId="0C3010C3" w14:textId="6E649D02" w:rsidR="00276DCE" w:rsidRPr="00276DCE" w:rsidRDefault="00276DCE" w:rsidP="00276DCE">
      <w:pPr>
        <w:pStyle w:val="NormalWeb"/>
        <w:spacing w:line="276" w:lineRule="auto"/>
        <w:jc w:val="both"/>
        <w:rPr>
          <w:sz w:val="20"/>
          <w:szCs w:val="20"/>
        </w:rPr>
      </w:pPr>
      <w:r w:rsidRPr="00276DCE">
        <w:rPr>
          <w:sz w:val="20"/>
          <w:szCs w:val="20"/>
        </w:rPr>
        <w:t xml:space="preserve">For gonorrhoea, tetracycline resistance (tetR) commonly results from plasmid-borne </w:t>
      </w:r>
      <w:r w:rsidRPr="00276DCE">
        <w:rPr>
          <w:rStyle w:val="Emphasis"/>
          <w:rFonts w:eastAsiaTheme="majorEastAsia"/>
          <w:sz w:val="20"/>
          <w:szCs w:val="20"/>
        </w:rPr>
        <w:t>tetM</w:t>
      </w:r>
      <w:r w:rsidRPr="00276DCE">
        <w:rPr>
          <w:sz w:val="20"/>
          <w:szCs w:val="20"/>
        </w:rPr>
        <w:t xml:space="preserve"> genes, which confer high-level resistance, or from chromosomal mutations in loci such as </w:t>
      </w:r>
      <w:r w:rsidRPr="00276DCE">
        <w:rPr>
          <w:rStyle w:val="Emphasis"/>
          <w:rFonts w:eastAsiaTheme="majorEastAsia"/>
          <w:sz w:val="20"/>
          <w:szCs w:val="20"/>
        </w:rPr>
        <w:t>rpsJ</w:t>
      </w:r>
      <w:r w:rsidRPr="00276DCE">
        <w:rPr>
          <w:sz w:val="20"/>
          <w:szCs w:val="20"/>
        </w:rPr>
        <w:t xml:space="preserve">, </w:t>
      </w:r>
      <w:r w:rsidRPr="00276DCE">
        <w:rPr>
          <w:rStyle w:val="Emphasis"/>
          <w:rFonts w:eastAsiaTheme="majorEastAsia"/>
          <w:sz w:val="20"/>
          <w:szCs w:val="20"/>
        </w:rPr>
        <w:t>mtrR</w:t>
      </w:r>
      <w:r w:rsidRPr="00276DCE">
        <w:rPr>
          <w:sz w:val="20"/>
          <w:szCs w:val="20"/>
        </w:rPr>
        <w:t xml:space="preserve">, and </w:t>
      </w:r>
      <w:r w:rsidRPr="00276DCE">
        <w:rPr>
          <w:rStyle w:val="Emphasis"/>
          <w:rFonts w:eastAsiaTheme="majorEastAsia"/>
          <w:sz w:val="20"/>
          <w:szCs w:val="20"/>
        </w:rPr>
        <w:t>porB</w:t>
      </w:r>
      <w:r w:rsidRPr="00276DCE">
        <w:rPr>
          <w:sz w:val="20"/>
          <w:szCs w:val="20"/>
        </w:rPr>
        <w:t xml:space="preserve">. In contrast, ceftriaxone resistance (cefR) typically involves mosaic </w:t>
      </w:r>
      <w:r w:rsidRPr="00276DCE">
        <w:rPr>
          <w:rStyle w:val="Emphasis"/>
          <w:rFonts w:eastAsiaTheme="majorEastAsia"/>
          <w:sz w:val="20"/>
          <w:szCs w:val="20"/>
        </w:rPr>
        <w:t>penA</w:t>
      </w:r>
      <w:r w:rsidRPr="00276DCE">
        <w:rPr>
          <w:sz w:val="20"/>
          <w:szCs w:val="20"/>
        </w:rPr>
        <w:t xml:space="preserve"> alleles in combination with mutations in </w:t>
      </w:r>
      <w:r w:rsidRPr="00276DCE">
        <w:rPr>
          <w:rStyle w:val="Emphasis"/>
          <w:rFonts w:eastAsiaTheme="majorEastAsia"/>
          <w:sz w:val="20"/>
          <w:szCs w:val="20"/>
        </w:rPr>
        <w:t>mtrR</w:t>
      </w:r>
      <w:r w:rsidRPr="00276DCE">
        <w:rPr>
          <w:sz w:val="20"/>
          <w:szCs w:val="20"/>
        </w:rPr>
        <w:t xml:space="preserve">, </w:t>
      </w:r>
      <w:r w:rsidRPr="00276DCE">
        <w:rPr>
          <w:rStyle w:val="Emphasis"/>
          <w:rFonts w:eastAsiaTheme="majorEastAsia"/>
          <w:sz w:val="20"/>
          <w:szCs w:val="20"/>
        </w:rPr>
        <w:t>porB</w:t>
      </w:r>
      <w:r w:rsidRPr="00276DCE">
        <w:rPr>
          <w:sz w:val="20"/>
          <w:szCs w:val="20"/>
        </w:rPr>
        <w:t xml:space="preserve">, and other chromosomal sites. Although doxycycline resistance does not inherently confer ceftriaxone resistance, a strong genetic association between the two </w:t>
      </w:r>
      <w:r w:rsidRPr="00276DCE">
        <w:rPr>
          <w:color w:val="000000" w:themeColor="text1"/>
          <w:sz w:val="20"/>
          <w:szCs w:val="20"/>
        </w:rPr>
        <w:fldChar w:fldCharType="begin"/>
      </w:r>
      <w:r w:rsidR="009D5228">
        <w:rPr>
          <w:color w:val="000000" w:themeColor="text1"/>
          <w:sz w:val="20"/>
          <w:szCs w:val="20"/>
        </w:rPr>
        <w:instrText xml:space="preserve"> ADDIN ZOTERO_ITEM CSL_CITATION {"citationID":"FjiRzlKO","properties":{"formattedCitation":"[2], [6]","plainCitation":"[2], [6]","noteIndex":0},"citationItems":[{"id":287,"uris":["http://zotero.org/users/9663344/items/UD4GZWU4"],"itemData":{"id":287,"type":"article-journal","container-title":"The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M."}],"issued":{"date-parts":[["2023",8,1]]}}},{"id":290,"uris":["http://zotero.org/users/9663344/items/I4BXMZGA"],"itemData":{"id":290,"type":"article-journal","abstract":"To the Editor Traeger et al have conducted a timely analysis of the real-world efficacy of doxycycline postexposure prophylaxis (doxyPEP) in reducing the incidence of bacterial sexually transmitted infections (STIs) in persons taking HIV preexposure prophylaxis. Their retrospective cohort analysis found that doxyPEP was associated with declines in quarterly chlamydia, gonorrhea, and syphilis positivity of 79%, 80%, and 12%, respectively. They concluded that “doxyPEP may offer substantial benefits for reducing population-level STI transmission with broader implementation.”We would like to temper this enthusiasm by noting the risk these results pose to antimicrobial resistance when considering the population perspective. Numerous analyses have confirmed that typical populations that take HIV preexposure prophylaxis have dense sexual networks that generate gonococcal equilibrium prevalence of around 10%. If antimicrobials such as doxycycline are used to reduce this prevalence, then this generates a selection pressure for the gonococci to acquire resistance to this antimicrobial. Because of the strong genetic association between resistance to doxycycline and extended-spectrum cephalosporins (ESCs) in Neisseria gonorrhoeae, widespread use of doxycycline could co-select for ESC resistance. Because ceftriaxone is the first-line treatment of gonorrhea and there are few, if any, viable alternatives to replace it, the consequences could be disastrous. Recent data from the DoxyVac study demonstrated that doxyPEP selected for reduced susceptibility to both doxycycline and ESCs in N gonorrhoeae.","container-title":"JAMA Internal Medicine","DOI":"10.1001/jamainternmed.2025.0984","ISSN":"2168-6106","issue":"8","journalAbbreviation":"JAMA Intern Med","page":"1051","source":"Silverchair","title":"Doxycycline Postexposure Prophylaxis Could Accelerate the Emergence of Gonococcal Ceftriaxone Resistance","volume":"185","author":[{"family":"Kenyon","given":"Chris"}],"issued":{"date-parts":[["2025",8,1]]}}}],"schema":"https://github.com/citation-style-language/schema/raw/master/csl-citation.json"} </w:instrText>
      </w:r>
      <w:r w:rsidRPr="00276DCE">
        <w:rPr>
          <w:color w:val="000000" w:themeColor="text1"/>
          <w:sz w:val="20"/>
          <w:szCs w:val="20"/>
        </w:rPr>
        <w:fldChar w:fldCharType="separate"/>
      </w:r>
      <w:r w:rsidR="009D5228">
        <w:rPr>
          <w:noProof/>
          <w:color w:val="000000" w:themeColor="text1"/>
          <w:sz w:val="20"/>
          <w:szCs w:val="20"/>
        </w:rPr>
        <w:t>[2], [6]</w:t>
      </w:r>
      <w:r w:rsidRPr="00276DCE">
        <w:rPr>
          <w:color w:val="000000" w:themeColor="text1"/>
          <w:sz w:val="20"/>
          <w:szCs w:val="20"/>
        </w:rPr>
        <w:fldChar w:fldCharType="end"/>
      </w:r>
      <w:r w:rsidRPr="00276DCE">
        <w:rPr>
          <w:color w:val="000000" w:themeColor="text1"/>
          <w:sz w:val="20"/>
          <w:szCs w:val="20"/>
        </w:rPr>
        <w:t xml:space="preserve"> </w:t>
      </w:r>
      <w:r w:rsidRPr="00276DCE">
        <w:rPr>
          <w:sz w:val="20"/>
          <w:szCs w:val="20"/>
        </w:rPr>
        <w:t xml:space="preserve">suggests that widespread doxycycline use, such as through doxy-PEP for syphilis, could expand the reservoir of tetracycline-resistant </w:t>
      </w:r>
      <w:r w:rsidRPr="00276DCE">
        <w:rPr>
          <w:rStyle w:val="Emphasis"/>
          <w:rFonts w:eastAsiaTheme="majorEastAsia"/>
          <w:sz w:val="20"/>
          <w:szCs w:val="20"/>
        </w:rPr>
        <w:t>N. gonorrhoeae</w:t>
      </w:r>
      <w:r w:rsidRPr="00276DCE">
        <w:rPr>
          <w:sz w:val="20"/>
          <w:szCs w:val="20"/>
        </w:rPr>
        <w:t xml:space="preserve"> strains </w:t>
      </w:r>
      <w:r w:rsidRPr="00276DCE">
        <w:rPr>
          <w:color w:val="000000" w:themeColor="text1"/>
          <w:sz w:val="20"/>
          <w:szCs w:val="20"/>
        </w:rPr>
        <w:fldChar w:fldCharType="begin"/>
      </w:r>
      <w:r w:rsidRPr="00276DCE">
        <w:rPr>
          <w:color w:val="000000" w:themeColor="text1"/>
          <w:sz w:val="20"/>
          <w:szCs w:val="20"/>
        </w:rPr>
        <w:instrText xml:space="preserve"> ADDIN ZOTERO_ITEM CSL_CITATION {"citationID":"pWXIJwpH","properties":{"formattedCitation":"[3]","plainCitation":"[3]","noteIndex":0},"citationItems":[{"id":292,"uris":["http://zotero.org/users/9663344/items/Z8FGKHK2"],"itemData":{"id":292,"type":"article-journal","container-title":"The Lancet Microbe","DOI":"10.1016/j.lanmic.2025.101222","ISSN":"2666-5247","issue":"0","journalAbbreviation":"The Lancet Microbe","language":"English","note":"publisher: Elsevier\nPMID: 40854317","source":"www.thelancet.com","title":"Promise and peril: doxycycline prophylaxis and the spread of resistance among diverse populations","title-short":"Promise and peril","URL":"https://www.thelancet.com/journals/lanmic/article/PIIS2666-5247(25)00150-8/fulltext","volume":"0","author":[{"family":"DeWitt","given":"Michael E."},{"family":"Wenner","given":"Jennifer J."},{"family":"Bellotti","given":"Brinkley R."},{"family":"Manuel","given":"Joshua A."},{"family":"Toler","given":"Cindy"},{"family":"Palavecino","given":"Elizabeth"},{"family":"McNeil","given":"Candice J."}],"accessed":{"date-parts":[["2025",9,9]]},"issued":{"date-parts":[["2025",8,22]]}}}],"schema":"https://github.com/citation-style-language/schema/raw/master/csl-citation.json"} </w:instrText>
      </w:r>
      <w:r w:rsidRPr="00276DCE">
        <w:rPr>
          <w:color w:val="000000" w:themeColor="text1"/>
          <w:sz w:val="20"/>
          <w:szCs w:val="20"/>
        </w:rPr>
        <w:fldChar w:fldCharType="separate"/>
      </w:r>
      <w:r w:rsidRPr="00276DCE">
        <w:rPr>
          <w:noProof/>
          <w:color w:val="000000" w:themeColor="text1"/>
          <w:sz w:val="20"/>
          <w:szCs w:val="20"/>
        </w:rPr>
        <w:t>[3]</w:t>
      </w:r>
      <w:r w:rsidRPr="00276DCE">
        <w:rPr>
          <w:color w:val="000000" w:themeColor="text1"/>
          <w:sz w:val="20"/>
          <w:szCs w:val="20"/>
        </w:rPr>
        <w:fldChar w:fldCharType="end"/>
      </w:r>
      <w:r w:rsidRPr="00276DCE">
        <w:rPr>
          <w:sz w:val="20"/>
          <w:szCs w:val="20"/>
        </w:rPr>
        <w:t xml:space="preserve">. This enlarged pool increases the likelihood that cefR mutations will arise within the tetR background or that dual-resistant (tetR + cefR) strains will be co-selected. Consequently, while doxy-PEP may not directly drive ceftriaxone resistance, it could indirectly increase its emergence probability through expansion of the resistant strain population, given that there is decreased susceptibility to ceftriaxone </w:t>
      </w:r>
      <w:r w:rsidRPr="00276DCE">
        <w:rPr>
          <w:sz w:val="20"/>
          <w:szCs w:val="20"/>
        </w:rPr>
        <w:fldChar w:fldCharType="begin"/>
      </w:r>
      <w:r w:rsidRPr="00276DCE">
        <w:rPr>
          <w:sz w:val="20"/>
          <w:szCs w:val="20"/>
        </w:rPr>
        <w:instrText xml:space="preserve"> ADDIN ZOTERO_ITEM CSL_CITATION {"citationID":"4ZNUhmhJ","properties":{"formattedCitation":"[2]","plainCitation":"[2]","noteIndex":0},"citationItems":[{"id":287,"uris":["http://zotero.org/users/9663344/items/UD4GZWU4"],"itemData":{"id":287,"type":"article-journal","container-title":"The Lancet Infectious Diseases","DOI":"10.1016/S1473-3099(23)00359-6","ISSN":"1473-3099, 1474-4457","issue":"8","journalAbbreviation":"The Lancet Infectious Diseases","language":"English","note":"publisher: Elsevier\nPMID: 37321241","page":"e268-e269","source":"www.thelancet.com","title":"Selection of Neisseria gonorrhoeae ceftriaxone resistance using doxycycline post-exposure prophylaxis","volume":"23","author":[{"family":"Whiley","given":"David M."},{"family":"Tickner","given":"Jacob A."},{"family":"Kundu","given":"Ratan L."},{"family":"Hogan","given":"Tiffany R."},{"family":"Hal","given":"Sebastiaan J.","dropping-particle":"van"},{"family":"Lahra","given":"Monica M."}],"issued":{"date-parts":[["2023",8,1]]}}}],"schema":"https://github.com/citation-style-language/schema/raw/master/csl-citation.json"} </w:instrText>
      </w:r>
      <w:r w:rsidRPr="00276DCE">
        <w:rPr>
          <w:sz w:val="20"/>
          <w:szCs w:val="20"/>
        </w:rPr>
        <w:fldChar w:fldCharType="separate"/>
      </w:r>
      <w:r w:rsidRPr="00276DCE">
        <w:rPr>
          <w:noProof/>
          <w:sz w:val="20"/>
          <w:szCs w:val="20"/>
        </w:rPr>
        <w:t>[2]</w:t>
      </w:r>
      <w:r w:rsidRPr="00276DCE">
        <w:rPr>
          <w:sz w:val="20"/>
          <w:szCs w:val="20"/>
        </w:rPr>
        <w:fldChar w:fldCharType="end"/>
      </w:r>
      <w:r w:rsidRPr="00276DCE">
        <w:rPr>
          <w:sz w:val="20"/>
          <w:szCs w:val="20"/>
        </w:rPr>
        <w:t>.</w:t>
      </w:r>
    </w:p>
    <w:p w14:paraId="2AFFBDF7" w14:textId="3FD0CE40" w:rsidR="00276DCE" w:rsidRPr="00276DCE" w:rsidRDefault="00276DCE" w:rsidP="00276DCE">
      <w:pPr>
        <w:pStyle w:val="NormalWeb"/>
        <w:spacing w:line="276" w:lineRule="auto"/>
        <w:jc w:val="both"/>
        <w:rPr>
          <w:sz w:val="20"/>
          <w:szCs w:val="20"/>
        </w:rPr>
      </w:pPr>
      <w:r w:rsidRPr="00276DCE">
        <w:rPr>
          <w:sz w:val="20"/>
          <w:szCs w:val="20"/>
        </w:rPr>
        <w:t xml:space="preserve">At the same time, the Four-Component Serogroup B Meningococcal (4CMenB) vaccine, originally developed against </w:t>
      </w:r>
      <w:r w:rsidRPr="00276DCE">
        <w:rPr>
          <w:rStyle w:val="Emphasis"/>
          <w:rFonts w:eastAsiaTheme="majorEastAsia"/>
          <w:sz w:val="20"/>
          <w:szCs w:val="20"/>
        </w:rPr>
        <w:t>Neisseria meningitidis</w:t>
      </w:r>
      <w:r w:rsidRPr="00276DCE">
        <w:rPr>
          <w:sz w:val="20"/>
          <w:szCs w:val="20"/>
        </w:rPr>
        <w:t xml:space="preserve">, has demonstrated partial cross-protection against </w:t>
      </w:r>
      <w:r w:rsidRPr="00276DCE">
        <w:rPr>
          <w:rStyle w:val="Emphasis"/>
          <w:rFonts w:eastAsiaTheme="majorEastAsia"/>
          <w:sz w:val="20"/>
          <w:szCs w:val="20"/>
        </w:rPr>
        <w:t>N. gonorrhoeae</w:t>
      </w:r>
      <w:r w:rsidRPr="00276DCE">
        <w:rPr>
          <w:sz w:val="20"/>
          <w:szCs w:val="20"/>
        </w:rPr>
        <w:t xml:space="preserve">, likely due to shared surface antigens </w:t>
      </w:r>
      <w:r w:rsidRPr="00276DCE">
        <w:rPr>
          <w:sz w:val="20"/>
          <w:szCs w:val="20"/>
        </w:rPr>
        <w:fldChar w:fldCharType="begin"/>
      </w:r>
      <w:r w:rsidR="009D5228">
        <w:rPr>
          <w:sz w:val="20"/>
          <w:szCs w:val="20"/>
        </w:rPr>
        <w:instrText xml:space="preserve"> ADDIN ZOTERO_ITEM CSL_CITATION {"citationID":"qvdfD3iE","properties":{"formattedCitation":"[7], [8]","plainCitation":"[7], [8]","noteIndex":0},"citationItems":[{"id":152,"uris":["http://zotero.org/users/9663344/items/WHKA7ZDX"],"itemData":{"id":152,"type":"article-journal","abstract":"BACKGROUND: Gonorrhea is the second most common sexually transmitted disease notified in Singapore in 2023. Evidence suggests that the 4CMenB vaccine designed to protect against Neisseria meningitidis infection may offer partial cross-protection against gonorrhea. This generated interest in using 4CMenB for the purpose of staving gonorrhea transmission. We explored the efficacy of potential gonorrhea vaccination strategies in the context of historically declining gonorrhea incidence.\nMETHODS AND FINDINGS: We employed an integrated transmission-dynamic model, calibrated using Bayesian methods to local surveillance data to understand the potential public health impact of 4CMenB in reducing gonorrhea acquisition and transmission in men who have sex with men (MSM) in Singapore. We explored the efficacy of implementing six vaccination programmes: (1) offering vaccination to all male adolescents in schools (vaccination before entry [VbE]), (2) offering vaccination to individuals attending sexual health clinics for testing (vaccination on attendance [VoA]), (3) offering vaccination to individuals attending sexual health clinics and who were diagnosed with gonorrhea (vaccination on diagnosis [VoD]), or (4) vaccination according to risk (VaR), by offering vaccination to patients who were diagnosed with gonorrhea plus individuals who tested negative, but report having more than five sexual partners per year. We further examined how altering (5) VoA and (6) VoD strategies changed if the strategies only targeted high risk groups (VoA(H),VoD(H)). We assessed efficacy by examining vaccination impact relative to no vaccination and when behavioral parameters were held constant. We further ascertained the effects of varying vaccine uptake (10%, 33%, 100%), vaccine efficacy (22%, 31%, 47%), and duration of protection (1.5, 4, 7.5 years) on the effectiveness of each vaccination strategy. For a hypothetical 10-year vaccination programme, VbE had 14.18% of MSM gonorrhea cases averted over the time the programme was implemented. VoA had the highest protective impact on the MSM population with 40.26% averted cases (95% credible interval (CrI): 18.32%-52.57%), but required more vaccine doses than any other strategy. VoD had a smaller impact (12.04% averted cases (95% CrI: 7.12%-15.00%)), but was three times more efficient than VoA in terms of averted cases per dose. VoA(H) and VoD(H) improved the efficiency of VoA and VoD strategies by increasing averted cases per dose to 0.22 and 0.24 respectively, but conferred similar protective effects as VoA (VoA(H): 40.10% averted cases (95% CrI: 18.14%-52.55%)) and VoD (VoD(H): 12.04% averted cases (95% CrI: 7.12%-15.00%)), respectively. VaR (40.10% averted cases (95% CrI: 18.14%-52.55%)) had almost the same impact as VoA, but was more efficient by requiring administration of fewer doses than VoA, with 0.21 (95% CrI: 0.12-0.27) averted cases per dose. Sensitivity analyses indicated that VaR had the greatest public health impact with the highest number of averted cases per dose for vaccines of any efficacy or duration of protection (or both), although VoD and VoD(H) saved more vaccine resource and had the highest number averted MSM cases per dose for highly protective vaccines of long protection.\nCONCLUSIONS: Vaccination of MSM against gonorrhea, according to risk in sexual health clinics in Singapore, can be considered to reduce gonorrhea acquisition and transmission. Development of gonorrhea-specific vaccines which focuses on protective efficacy and the implementation of efficient vaccination programmes can maximize public health impact.","container-title":"PLoS medicine","DOI":"10.1371/journal.pmed.1004521","ISSN":"1549-1676","issue":"2","journalAbbreviation":"PLoS Med","language":"eng","note":"PMID: 39919143\nPMCID: PMC11805383","page":"e1004521","source":"PubMed","title":"Potential public health impacts of gonorrhea vaccination programmes under declining incidences: A modeling study","title-short":"Potential public health impacts of gonorrhea vaccination programmes under declining incidences","volume":"22","author":[{"family":"Geng","given":"Lin"},{"family":"Whittles","given":"Lilith K."},{"family":"Dickens","given":"Borame L."},{"family":"Chio","given":"Martin T. W."},{"family":"Chen","given":"Yihao"},{"family":"Tan","given":"Rayner Kay Jin"},{"family":"Ghani","given":"Azra"},{"family":"Lim","given":"Jue Tao"}],"issued":{"date-parts":[["2025",2]]}}},{"id":56,"uris":["http://zotero.org/users/9663344/items/5RLZEHF8","http://zotero.org/users/9663344/items/KT468CMT"],"itemData":{"id":56,"type":"article-journal","abstract":"Background Gonorrhoea is a rapidly growing public health threat, with rising incidence and increasing drug resistance. Evidence that the MeNZB and four-component serogroup B meningococcal (4CMenB) vaccines, designed against Neisseria meningitidis, can also offer protection against gonorrhoea has created interest in using 4CMenB for this purpose and for developing gonorrhoea-specific vaccines. However, cost-effectiveness, and how the efficacy and duration of protection affect a gonorrhoea vaccine’s value, have not been assessed.","container-title":"The Lancet Infectious Diseases","DOI":"10.1016/S1473-3099(21)00744-1","ISSN":"14733099","issue":"7","journalAbbreviation":"The Lancet Infectious Diseases","language":"en","page":"1030-1041","source":"DOI.org (Crossref)","title":"Public health impact and cost-effectiveness of gonorrhoea vaccination: an integrated transmission-dynamic health-economic modelling analysis","title-short":"Public health impact and cost-effectiveness of gonorrhoea vaccination","volume":"22","author":[{"family":"Whittles","given":"Lilith K"},{"family":"Didelot","given":"Xavier"},{"family":"White","given":"Peter J"}],"issued":{"date-parts":[["2022",7]]}}}],"schema":"https://github.com/citation-style-language/schema/raw/master/csl-citation.json"} </w:instrText>
      </w:r>
      <w:r w:rsidRPr="00276DCE">
        <w:rPr>
          <w:sz w:val="20"/>
          <w:szCs w:val="20"/>
        </w:rPr>
        <w:fldChar w:fldCharType="separate"/>
      </w:r>
      <w:r w:rsidR="009D5228">
        <w:rPr>
          <w:noProof/>
          <w:sz w:val="20"/>
          <w:szCs w:val="20"/>
        </w:rPr>
        <w:t>[7], [8]</w:t>
      </w:r>
      <w:r w:rsidRPr="00276DCE">
        <w:rPr>
          <w:sz w:val="20"/>
          <w:szCs w:val="20"/>
        </w:rPr>
        <w:fldChar w:fldCharType="end"/>
      </w:r>
      <w:r w:rsidRPr="00276DCE">
        <w:rPr>
          <w:sz w:val="20"/>
          <w:szCs w:val="20"/>
        </w:rPr>
        <w:t xml:space="preserve">. Real-world data indicate that 4CMenB vaccination reduces gonorrhoea incidence by approximately 30-40% </w:t>
      </w:r>
      <w:r w:rsidRPr="00276DCE">
        <w:rPr>
          <w:sz w:val="20"/>
          <w:szCs w:val="20"/>
        </w:rPr>
        <w:fldChar w:fldCharType="begin"/>
      </w:r>
      <w:r w:rsidR="009D5228">
        <w:rPr>
          <w:sz w:val="20"/>
          <w:szCs w:val="20"/>
        </w:rPr>
        <w:instrText xml:space="preserve"> ADDIN ZOTERO_ITEM CSL_CITATION {"citationID":"HPOzFcKr","properties":{"formattedCitation":"[9]","plainCitation":"[9]","noteIndex":0},"citationItems":[{"id":409,"uris":["http://zotero.org/users/9663344/items/S8TLUVMP"],"itemData":{"id":409,"type":"article-journal","container-title":"The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sidRPr="00276DCE">
        <w:rPr>
          <w:sz w:val="20"/>
          <w:szCs w:val="20"/>
        </w:rPr>
        <w:fldChar w:fldCharType="separate"/>
      </w:r>
      <w:r w:rsidR="009D5228">
        <w:rPr>
          <w:noProof/>
          <w:sz w:val="20"/>
          <w:szCs w:val="20"/>
        </w:rPr>
        <w:t>[9]</w:t>
      </w:r>
      <w:r w:rsidRPr="00276DCE">
        <w:rPr>
          <w:sz w:val="20"/>
          <w:szCs w:val="20"/>
        </w:rPr>
        <w:fldChar w:fldCharType="end"/>
      </w:r>
      <w:r w:rsidRPr="00276DCE">
        <w:rPr>
          <w:sz w:val="20"/>
          <w:szCs w:val="20"/>
        </w:rPr>
        <w:t>. Incorporating 4CMenB into gonorrhoea prevention strategies is therefore critical, as its moderate protective effect could reduce both the incidence and transmission of antibiotic-resistant strains. Fewer infections overall would slow the spread of resistance, while reduced antibiotic treatment demand would lessen selection pressure for AMR development.</w:t>
      </w:r>
    </w:p>
    <w:p w14:paraId="30277E41" w14:textId="51B061BD" w:rsidR="00276DCE" w:rsidRPr="00276DCE" w:rsidRDefault="00276DCE" w:rsidP="00276DCE">
      <w:pPr>
        <w:pStyle w:val="NormalWeb"/>
        <w:spacing w:line="276" w:lineRule="auto"/>
        <w:jc w:val="both"/>
        <w:rPr>
          <w:sz w:val="20"/>
          <w:szCs w:val="20"/>
        </w:rPr>
      </w:pPr>
      <w:r w:rsidRPr="00276DCE">
        <w:rPr>
          <w:sz w:val="20"/>
          <w:szCs w:val="20"/>
        </w:rPr>
        <w:t xml:space="preserve">Although previous modelling studies have shown that antibiotic exposure can accelerate AMR </w:t>
      </w:r>
      <w:r w:rsidRPr="00276DCE">
        <w:rPr>
          <w:color w:val="000000" w:themeColor="text1"/>
          <w:sz w:val="20"/>
          <w:szCs w:val="20"/>
          <w:shd w:val="clear" w:color="auto" w:fill="FFFFFF"/>
        </w:rPr>
        <w:fldChar w:fldCharType="begin"/>
      </w:r>
      <w:r w:rsidR="009D5228">
        <w:rPr>
          <w:color w:val="000000" w:themeColor="text1"/>
          <w:sz w:val="20"/>
          <w:szCs w:val="20"/>
          <w:shd w:val="clear" w:color="auto" w:fill="FFFFFF"/>
        </w:rPr>
        <w:instrText xml:space="preserve"> ADDIN ZOTERO_ITEM CSL_CITATION {"citationID":"izu2g4UO","properties":{"formattedCitation":"[10], [11], [12]","plainCitation":"[10], [11], [12]","noteIndex":0},"citationItems":[{"id":174,"uris":["http://zotero.org/users/9663344/items/9QGBX5LM"],"itemData":{"id":174,"type":"article-journal","abstract":"Mathematical modeling suggests that rapid diagnostics that report antibiotic susceptibility have the potential to extend the usefulness of existing antibiotics for treatment of gonorrhea compared with the current guidelines for empiric 2-drug treatment.","container-title":"The Journal of Infectious Diseases","DOI":"10.1093/infdis/jix450","ISSN":"0022-1899","issue":"9","journalAbbreviation":"J Infect Dis","note":"PMID: 28968710\nPMCID: PMC5853443","page":"1141-1149","source":"PubMed Central","title":"Impact of Rapid Susceptibility Testing and Antibiotic Selection Strategy on the Emergence and Spread of Antibiotic Resistance in Gonorrhea","volume":"216","author":[{"family":"Tuite","given":"Ashleigh R"},{"family":"Gift","given":"Thomas L"},{"family":"Chesson","given":"Harrell W"},{"family":"Hsu","given":"Katherine"},{"family":"Salomon","given":"Joshua A"},{"family":"Grad","given":"Yonatan H"}],"issued":{"date-parts":[["2017",11,1]]}}},{"id":284,"uris":["http://zotero.org/users/9663344/items/ZFKAH64V"],"itemData":{"id":284,"type":"article-journal","abstract":"Background—Gonorrhoea is a highly prevalent sexually transmitted infection and an urgent public health concern because of increasing antibiotic resistance in Neisseriagonorrhoeae. Only ceftriaxone remains as the recommended treatment in the USA. With the prospect of new antigonococcal antibiotics being approved, we aimed to evaluate how to deploy a new drug to maximise its clinically useful lifespan.","container-title":"The Lancet Microbe","DOI":"10.1016/S2666-5247(23)00145-3","ISSN":"26665247","issue":"10","journalAbbreviation":"The Lancet Microbe","language":"en","page":"e781-e789","source":"DOI.org (Crossref)","title":"Resistance-minimising strategies for introducing a novel antibiotic for gonorrhoea treatment: a mathematical modelling study","title-short":"Resistance-minimising strategies for introducing a novel antibiotic for gonorrhoea treatment","volume":"4","author":[{"family":"Reichert","given":"Emily"},{"family":"Yaesoubi","given":"Reza"},{"family":"Rönn","given":"Minttu M"},{"family":"Gift","given":"Thomas L"},{"family":"Salomon","given":"Joshua A"},{"family":"Grad","given":"Yonatan H"}],"issued":{"date-parts":[["2023",10]]}}},{"id":187,"uris":["http://zotero.org/users/9663344/items/HYSVKZR9"],"itemData":{"id":187,"type":"article-journal","abstract":"Background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sidRPr="00276DCE">
        <w:rPr>
          <w:color w:val="000000" w:themeColor="text1"/>
          <w:sz w:val="20"/>
          <w:szCs w:val="20"/>
          <w:shd w:val="clear" w:color="auto" w:fill="FFFFFF"/>
        </w:rPr>
        <w:fldChar w:fldCharType="separate"/>
      </w:r>
      <w:r w:rsidR="009D5228">
        <w:rPr>
          <w:noProof/>
          <w:color w:val="000000" w:themeColor="text1"/>
          <w:sz w:val="20"/>
          <w:szCs w:val="20"/>
          <w:shd w:val="clear" w:color="auto" w:fill="FFFFFF"/>
        </w:rPr>
        <w:t>[10], [11], [12]</w:t>
      </w:r>
      <w:r w:rsidRPr="00276DCE">
        <w:rPr>
          <w:color w:val="000000" w:themeColor="text1"/>
          <w:sz w:val="20"/>
          <w:szCs w:val="20"/>
          <w:shd w:val="clear" w:color="auto" w:fill="FFFFFF"/>
        </w:rPr>
        <w:fldChar w:fldCharType="end"/>
      </w:r>
      <w:r w:rsidRPr="00276DCE">
        <w:rPr>
          <w:color w:val="000000" w:themeColor="text1"/>
          <w:sz w:val="20"/>
          <w:szCs w:val="20"/>
          <w:shd w:val="clear" w:color="auto" w:fill="FFFFFF"/>
        </w:rPr>
        <w:t xml:space="preserve"> while vaccination can ameliorate AMR </w:t>
      </w:r>
      <w:r w:rsidRPr="00276DCE">
        <w:rPr>
          <w:sz w:val="20"/>
          <w:szCs w:val="20"/>
        </w:rPr>
        <w:t xml:space="preserve">in </w:t>
      </w:r>
      <w:r w:rsidRPr="00276DCE">
        <w:rPr>
          <w:rStyle w:val="Emphasis"/>
          <w:rFonts w:eastAsiaTheme="majorEastAsia"/>
          <w:sz w:val="20"/>
          <w:szCs w:val="20"/>
        </w:rPr>
        <w:t>N. gonorrhoeae</w:t>
      </w:r>
      <w:r w:rsidRPr="00276DCE">
        <w:rPr>
          <w:sz w:val="20"/>
          <w:szCs w:val="20"/>
        </w:rPr>
        <w:t xml:space="preserve"> </w:t>
      </w:r>
      <w:r w:rsidRPr="00276DCE">
        <w:rPr>
          <w:sz w:val="20"/>
          <w:szCs w:val="20"/>
        </w:rPr>
        <w:fldChar w:fldCharType="begin"/>
      </w:r>
      <w:r w:rsidR="009D5228">
        <w:rPr>
          <w:sz w:val="20"/>
          <w:szCs w:val="20"/>
        </w:rPr>
        <w:instrText xml:space="preserve"> ADDIN ZOTERO_ITEM CSL_CITATION {"citationID":"Jf1aabV3","properties":{"formattedCitation":"[13], [14]","plainCitation":"[13], [14]","noteIndex":0},"citationItems":[{"id":297,"uris":["http://zotero.org/users/9663344/items/KC9H5ARD"],"itemData":{"id":297,"type":"article-journal","abstract":"Gonorrhea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 52% protection for ≥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J"},{"family":"Didelot","given":"Xavier"}],"issued":{"date-parts":[["2020",11,5]]}}},{"id":406,"uris":["http://zotero.org/users/9663344/items/NEWELCWA"],"itemData":{"id":406,"type":"article-journal","abstract":"Background Gonorrhoea is one of the most common bacterial sexually transmitted infections in England. Over 41,000 cases were recorded in 2015, more than half of which occurred in men who have sex with men (MSM). As the bacterium has developed resistance to each first-line antibiotic in turn, we need an improved understanding of fitness benefits and costs of antibiotic resistance to inform control policy and planning. Cefixime was recommended as a singledose treatment for gonorrhoea from 2005 to 2010, during which time resistance increased, and subsequently declined.","container-title":"PLOS Medicine","DOI":"10.1371/journal.pmed.1002416","ISSN":"1549-1676","issue":"10","journalAbbreviation":"PLoS Med","language":"en","page":"e1002416","source":"DOI.org (Crossref)","title":"Estimating the fitness cost and benefit of cefixime resistance in Neisseria gonorrhoeae to inform prescription policy: A modelling study","title-short":"Estimating the fitness cost and benefit of cefixime resistance in Neisseria gonorrhoeae to inform prescription policy","volume":"14","author":[{"family":"Whittles","given":"Lilith K."},{"family":"White","given":"Peter J."},{"family":"Didelot","given":"Xavier"}],"editor":[{"family":"Low","given":"Nicola"}],"issued":{"date-parts":[["2017",10,31]]}}}],"schema":"https://github.com/citation-style-language/schema/raw/master/csl-citation.json"} </w:instrText>
      </w:r>
      <w:r w:rsidRPr="00276DCE">
        <w:rPr>
          <w:sz w:val="20"/>
          <w:szCs w:val="20"/>
        </w:rPr>
        <w:fldChar w:fldCharType="separate"/>
      </w:r>
      <w:r w:rsidR="009D5228">
        <w:rPr>
          <w:noProof/>
          <w:sz w:val="20"/>
          <w:szCs w:val="20"/>
        </w:rPr>
        <w:t>[13], [14]</w:t>
      </w:r>
      <w:r w:rsidRPr="00276DCE">
        <w:rPr>
          <w:sz w:val="20"/>
          <w:szCs w:val="20"/>
        </w:rPr>
        <w:fldChar w:fldCharType="end"/>
      </w:r>
      <w:r w:rsidRPr="00276DCE">
        <w:rPr>
          <w:color w:val="000000" w:themeColor="text1"/>
          <w:sz w:val="20"/>
          <w:szCs w:val="20"/>
          <w:shd w:val="clear" w:color="auto" w:fill="FFFFFF"/>
        </w:rPr>
        <w:t xml:space="preserve">, </w:t>
      </w:r>
      <w:r w:rsidRPr="00276DCE">
        <w:rPr>
          <w:sz w:val="20"/>
          <w:szCs w:val="20"/>
        </w:rPr>
        <w:t>important uncertainties remain. These include the rate at which dual-resistant strains may emerge, the extent to which doxy-PEP for syphilis use among high-risk populations alters strain dynamics, and whether increased doxycycline use is counterbalanced by reduced gonorrhoea treatment demand. Furthermore, it remains unclear whether population-level doxy-PEP rollout will cause a sustained rise in tetracycline-resistant gonorrhoea and whether concurrent vaccination could mitigate this risk.</w:t>
      </w:r>
    </w:p>
    <w:p w14:paraId="76234F10" w14:textId="506795D7" w:rsidR="00276DCE" w:rsidRPr="00276DCE" w:rsidRDefault="00276DCE" w:rsidP="00276DCE">
      <w:pPr>
        <w:pStyle w:val="NormalWeb"/>
        <w:spacing w:line="276" w:lineRule="auto"/>
        <w:jc w:val="both"/>
        <w:rPr>
          <w:sz w:val="20"/>
          <w:szCs w:val="20"/>
        </w:rPr>
      </w:pPr>
      <w:r w:rsidRPr="00276DCE">
        <w:rPr>
          <w:sz w:val="20"/>
          <w:szCs w:val="20"/>
        </w:rPr>
        <w:t xml:space="preserve">Given these uncertainties, this chapter aims to investigate how doxy-PEP for syphilis prevention may exacerbate the spread of doxycycline-resistant and dual-resistant </w:t>
      </w:r>
      <w:r w:rsidRPr="00276DCE">
        <w:rPr>
          <w:rStyle w:val="Emphasis"/>
          <w:rFonts w:eastAsiaTheme="majorEastAsia"/>
          <w:sz w:val="20"/>
          <w:szCs w:val="20"/>
        </w:rPr>
        <w:t>N. gonorrhoeae</w:t>
      </w:r>
      <w:r w:rsidRPr="00276DCE">
        <w:rPr>
          <w:sz w:val="20"/>
          <w:szCs w:val="20"/>
        </w:rPr>
        <w:t xml:space="preserve"> strains, particularly in the context of the already high prevalence of tetracycline resistance </w:t>
      </w:r>
      <w:r w:rsidRPr="00276DCE">
        <w:rPr>
          <w:sz w:val="20"/>
          <w:szCs w:val="20"/>
        </w:rPr>
        <w:fldChar w:fldCharType="begin"/>
      </w:r>
      <w:r w:rsidR="009D5228">
        <w:rPr>
          <w:sz w:val="20"/>
          <w:szCs w:val="20"/>
        </w:rPr>
        <w:instrText xml:space="preserve"> ADDIN ZOTERO_ITEM CSL_CITATION {"citationID":"bWgM7jis","properties":{"formattedCitation":"[15]","plainCitation":"[15]","noteIndex":0},"citationItems":[{"id":408,"uris":["http://zotero.org/users/9663344/items/PRBSX5RW"],"itemData":{"id":408,"type":"article-journal","container-title":"International Journal of STD &amp; AIDS","DOI":"10.1177/0956462419886775","ISSN":"0956-4624, 1758-1052","issue":"1","journalAbbreviation":"Int J STD AIDS","language":"en","page":"4-15","source":"DOI.org (Crossref)","title":"2018 UK national guideline for the management of infection with Neisseria gonorrhoeae","volume":"31","author":[{"family":"Fifer","given":"Helen"},{"family":"Saunders","given":"John"},{"family":"Soni","given":"Suneeta"},{"family":"Sadiq","given":"S Tariq"},{"family":"FitzGerald","given":"Mark"}],"issued":{"date-parts":[["2020",1]]}}}],"schema":"https://github.com/citation-style-language/schema/raw/master/csl-citation.json"} </w:instrText>
      </w:r>
      <w:r w:rsidRPr="00276DCE">
        <w:rPr>
          <w:sz w:val="20"/>
          <w:szCs w:val="20"/>
        </w:rPr>
        <w:fldChar w:fldCharType="separate"/>
      </w:r>
      <w:r w:rsidR="009D5228">
        <w:rPr>
          <w:noProof/>
          <w:sz w:val="20"/>
          <w:szCs w:val="20"/>
        </w:rPr>
        <w:t>[15]</w:t>
      </w:r>
      <w:r w:rsidRPr="00276DCE">
        <w:rPr>
          <w:sz w:val="20"/>
          <w:szCs w:val="20"/>
        </w:rPr>
        <w:fldChar w:fldCharType="end"/>
      </w:r>
      <w:r w:rsidRPr="00276DCE">
        <w:rPr>
          <w:sz w:val="20"/>
          <w:szCs w:val="20"/>
        </w:rPr>
        <w:t xml:space="preserve">, among men who have sex with men (MSM). We also evaluate how widespread implementation of 4CMenB vaccination could mitigate AMR emergence and offset the evolutionary risks introduced by doxy-PEP use for syphilis. To this end, we develop a strain-specific mathematical model to project the long-term AMR dynamics of </w:t>
      </w:r>
      <w:r w:rsidRPr="00276DCE">
        <w:rPr>
          <w:rStyle w:val="Emphasis"/>
          <w:rFonts w:eastAsiaTheme="majorEastAsia"/>
          <w:sz w:val="20"/>
          <w:szCs w:val="20"/>
        </w:rPr>
        <w:t>N. gonorrhoeae</w:t>
      </w:r>
      <w:r w:rsidRPr="00276DCE">
        <w:rPr>
          <w:sz w:val="20"/>
          <w:szCs w:val="20"/>
        </w:rPr>
        <w:t xml:space="preserve"> under varying levels of doxy-PEP uptake and 4CMenB coverage. We hypothesize that while widespread doxy-PEP use for syphilis prevention will accelerate the emergence of tetracycline resistance, co-implementation of 4CMenB could substantially reduce both gonorrhoea incidence and AMR spread, thereby providing a potential strategy to balance the prophylactic benefits of doxy-PEP against its evolutionary risks.</w:t>
      </w:r>
    </w:p>
    <w:p w14:paraId="482AFC20" w14:textId="77777777" w:rsidR="00276DCE" w:rsidRPr="00276DCE" w:rsidRDefault="00276DCE" w:rsidP="00276DCE">
      <w:pPr>
        <w:pStyle w:val="NormalWeb"/>
        <w:spacing w:line="276" w:lineRule="auto"/>
        <w:jc w:val="both"/>
        <w:rPr>
          <w:sz w:val="20"/>
          <w:szCs w:val="20"/>
        </w:rPr>
        <w:sectPr w:rsidR="00276DCE" w:rsidRPr="00276DCE" w:rsidSect="00276DCE">
          <w:pgSz w:w="11910" w:h="16840"/>
          <w:pgMar w:top="1582" w:right="1418" w:bottom="958" w:left="1418" w:header="0" w:footer="760" w:gutter="170"/>
          <w:cols w:space="720"/>
          <w:docGrid w:linePitch="360"/>
        </w:sectPr>
      </w:pPr>
    </w:p>
    <w:p w14:paraId="2281CD9D" w14:textId="40BD9292" w:rsidR="006B751E" w:rsidRDefault="00B71524" w:rsidP="006B751E">
      <w:pPr>
        <w:pStyle w:val="NormalWeb"/>
        <w:spacing w:line="276" w:lineRule="auto"/>
        <w:jc w:val="center"/>
        <w:rPr>
          <w:sz w:val="20"/>
          <w:szCs w:val="20"/>
        </w:rPr>
      </w:pPr>
      <w:r>
        <w:rPr>
          <w:noProof/>
          <w:sz w:val="20"/>
          <w:szCs w:val="20"/>
          <w14:ligatures w14:val="standardContextual"/>
        </w:rPr>
        <w:lastRenderedPageBreak/>
        <w:drawing>
          <wp:inline distT="0" distB="0" distL="0" distR="0" wp14:anchorId="43ACC314" wp14:editId="292FE322">
            <wp:extent cx="3438371" cy="4572000"/>
            <wp:effectExtent l="0" t="0" r="3810" b="0"/>
            <wp:docPr id="183068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2738" name="Picture 1830682738"/>
                    <pic:cNvPicPr/>
                  </pic:nvPicPr>
                  <pic:blipFill>
                    <a:blip r:embed="rId8"/>
                    <a:stretch>
                      <a:fillRect/>
                    </a:stretch>
                  </pic:blipFill>
                  <pic:spPr>
                    <a:xfrm>
                      <a:off x="0" y="0"/>
                      <a:ext cx="3438371" cy="4572000"/>
                    </a:xfrm>
                    <a:prstGeom prst="rect">
                      <a:avLst/>
                    </a:prstGeom>
                  </pic:spPr>
                </pic:pic>
              </a:graphicData>
            </a:graphic>
          </wp:inline>
        </w:drawing>
      </w:r>
    </w:p>
    <w:p w14:paraId="42CE73F8" w14:textId="77777777" w:rsidR="001725A7" w:rsidRDefault="009701A4" w:rsidP="009701A4">
      <w:pPr>
        <w:pStyle w:val="NormalWeb"/>
        <w:spacing w:line="276" w:lineRule="auto"/>
        <w:jc w:val="both"/>
        <w:rPr>
          <w:sz w:val="20"/>
          <w:szCs w:val="20"/>
        </w:rPr>
        <w:sectPr w:rsidR="001725A7" w:rsidSect="00276DCE">
          <w:pgSz w:w="16838" w:h="11906" w:orient="landscape"/>
          <w:pgMar w:top="1440" w:right="1440" w:bottom="1440" w:left="1440" w:header="708" w:footer="708" w:gutter="0"/>
          <w:cols w:space="708"/>
          <w:docGrid w:linePitch="360"/>
        </w:sectPr>
      </w:pPr>
      <w:r>
        <w:rPr>
          <w:sz w:val="20"/>
          <w:szCs w:val="20"/>
        </w:rPr>
        <w:t>Fig. 1: Gonorrhoea transmission model.</w:t>
      </w:r>
    </w:p>
    <w:p w14:paraId="516BC5A3" w14:textId="77777777" w:rsidR="001725A7" w:rsidRPr="0053170E" w:rsidRDefault="001725A7" w:rsidP="001725A7">
      <w:pPr>
        <w:spacing w:line="276" w:lineRule="auto"/>
        <w:jc w:val="both"/>
        <w:rPr>
          <w:rFonts w:ascii="Times New Roman" w:hAnsi="Times New Roman" w:cs="Times New Roman"/>
          <w:sz w:val="20"/>
          <w:szCs w:val="20"/>
        </w:rPr>
      </w:pPr>
      <w:r w:rsidRPr="0053170E">
        <w:rPr>
          <w:rFonts w:ascii="Times New Roman" w:hAnsi="Times New Roman" w:cs="Times New Roman"/>
          <w:sz w:val="20"/>
          <w:szCs w:val="20"/>
        </w:rPr>
        <w:lastRenderedPageBreak/>
        <w:t>In August 2025, England launched the 4CMenB (Bexsero) vaccination programme aimed at reducing gonorrhoea transmission</w:t>
      </w:r>
      <w:r>
        <w:rPr>
          <w:rFonts w:ascii="Times New Roman" w:hAnsi="Times New Roman" w:cs="Times New Roman"/>
          <w:sz w:val="20"/>
          <w:szCs w:val="20"/>
        </w:rPr>
        <w:t xml:space="preserve"> </w:t>
      </w: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ZOTERO_ITEM CSL_CITATION {"citationID":"YQ6AUtSF","properties":{"formattedCitation":"[16]","plainCitation":"[16]","noteIndex":0},"citationItems":[{"id":437,"uris":["http://zotero.org/users/9663344/items/6QKYAFY5"],"itemData":{"id":437,"type":"webpage","container-title":"UK Health Security Agency","language":"en","title":"GRASP report: data to September 2025","title-short":"GRASP report","URL":"https://www.gov.uk/government/publications/gonococcal-resistance-to-antimicrobials-surveillance-programme-grasp-report/grasp-report-data-to-september-2025","accessed":{"date-parts":[["2025",11,20]]}}}],"schema":"https://github.com/citation-style-language/schema/raw/master/csl-citation.json"} </w:instrText>
      </w:r>
      <w:r>
        <w:rPr>
          <w:rFonts w:ascii="Times New Roman" w:hAnsi="Times New Roman" w:cs="Times New Roman"/>
          <w:sz w:val="20"/>
          <w:szCs w:val="20"/>
        </w:rPr>
        <w:fldChar w:fldCharType="separate"/>
      </w:r>
      <w:r>
        <w:rPr>
          <w:rFonts w:ascii="Times New Roman" w:hAnsi="Times New Roman" w:cs="Times New Roman"/>
          <w:noProof/>
          <w:sz w:val="20"/>
          <w:szCs w:val="20"/>
        </w:rPr>
        <w:t>[16]</w:t>
      </w:r>
      <w:r>
        <w:rPr>
          <w:rFonts w:ascii="Times New Roman" w:hAnsi="Times New Roman" w:cs="Times New Roman"/>
          <w:sz w:val="20"/>
          <w:szCs w:val="20"/>
        </w:rPr>
        <w:fldChar w:fldCharType="end"/>
      </w:r>
      <w:r w:rsidRPr="0053170E">
        <w:rPr>
          <w:rFonts w:ascii="Times New Roman" w:hAnsi="Times New Roman" w:cs="Times New Roman"/>
          <w:sz w:val="20"/>
          <w:szCs w:val="20"/>
        </w:rPr>
        <w:t>. The vaccine is recommended primarily for gay, bisexual, and other men who have sex with men (GBMSM) who are at elevated risk</w:t>
      </w:r>
      <w:r>
        <w:rPr>
          <w:rFonts w:ascii="Times New Roman" w:hAnsi="Times New Roman" w:cs="Times New Roman"/>
          <w:sz w:val="20"/>
          <w:szCs w:val="20"/>
        </w:rPr>
        <w:t xml:space="preserve"> - </w:t>
      </w:r>
      <w:r w:rsidRPr="0053170E">
        <w:rPr>
          <w:rFonts w:ascii="Times New Roman" w:hAnsi="Times New Roman" w:cs="Times New Roman"/>
          <w:sz w:val="20"/>
          <w:szCs w:val="20"/>
        </w:rPr>
        <w:t>specifically, individuals with a bacterial STI in the past year or those reporting five or more sexual partners within the previous three months.</w:t>
      </w:r>
    </w:p>
    <w:p w14:paraId="3CF9654F" w14:textId="3BA5D178" w:rsidR="00373D9B" w:rsidRPr="002D7CDC" w:rsidRDefault="00373D9B" w:rsidP="00373D9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gonorrhoea tests and </w:t>
      </w:r>
      <w:r w:rsidRPr="002D7CDC">
        <w:rPr>
          <w:rFonts w:ascii="Times New Roman" w:hAnsi="Times New Roman" w:cs="Times New Roman"/>
          <w:color w:val="000000"/>
          <w:sz w:val="20"/>
          <w:szCs w:val="20"/>
          <w:lang w:val="en-GB"/>
        </w:rPr>
        <w:t>diagnoses</w:t>
      </w:r>
      <w:r w:rsidR="00BF327B">
        <w:rPr>
          <w:rFonts w:ascii="Times New Roman" w:hAnsi="Times New Roman" w:cs="Times New Roman"/>
          <w:color w:val="000000"/>
          <w:sz w:val="20"/>
          <w:szCs w:val="20"/>
          <w:lang w:val="en-GB"/>
        </w:rPr>
        <w:t xml:space="preserve"> in the GUMCAD sample</w:t>
      </w:r>
      <w:r>
        <w:rPr>
          <w:rFonts w:ascii="Times New Roman" w:hAnsi="Times New Roman" w:cs="Times New Roman"/>
          <w:color w:val="000000"/>
          <w:sz w:val="20"/>
          <w:szCs w:val="20"/>
          <w:lang w:val="en-GB"/>
        </w:rPr>
        <w:t>,</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w:t>
      </w:r>
      <w:r w:rsidRPr="002D7CDC">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2D7CDC">
        <w:rPr>
          <w:rFonts w:ascii="Times New Roman" w:hAnsi="Times New Roman" w:cs="Times New Roman"/>
          <w:color w:val="000000"/>
          <w:sz w:val="20"/>
          <w:szCs w:val="20"/>
          <w:lang w:val="en-GB"/>
        </w:rPr>
        <w:t xml:space="preserve"> using Negative-Binomial likelihoods to allow for over-dispersion in the observation process relative to a Poisson distribution.</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NegBinom(</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mean </w:t>
      </w:r>
      <m:oMath>
        <m:r>
          <w:rPr>
            <w:rFonts w:ascii="Cambria Math" w:hAnsi="Cambria Math" w:cs="Times New Roman"/>
            <w:color w:val="0D0D0D"/>
            <w:sz w:val="20"/>
            <w:szCs w:val="20"/>
            <w:shd w:val="clear" w:color="auto" w:fill="FFFFFF"/>
            <w:lang w:val="en-US"/>
          </w:rPr>
          <m:t>m</m:t>
        </m:r>
      </m:oMath>
      <w:r w:rsidRPr="002D7CDC">
        <w:rPr>
          <w:rFonts w:ascii="Times New Roman" w:hAnsi="Times New Roman" w:cs="Times New Roman"/>
          <w:sz w:val="20"/>
          <w:szCs w:val="20"/>
        </w:rPr>
        <w:t xml:space="preserve"> and shape parameter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6B06941" w14:textId="708657CA" w:rsidR="00373D9B" w:rsidRPr="002D7CDC" w:rsidRDefault="00373D9B" w:rsidP="00373D9B">
      <w:pPr>
        <w:pStyle w:val="ListParagraph"/>
        <w:spacing w:line="276" w:lineRule="auto"/>
        <w:jc w:val="both"/>
        <w:rPr>
          <w:rFonts w:ascii="Times New Roman" w:hAnsi="Times New Roman" w:cs="Times New Roman"/>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f</m:t>
                  </m:r>
                </m:e>
                <m:sub>
                  <m:r>
                    <w:rPr>
                      <w:rFonts w:ascii="Cambria Math" w:hAnsi="Cambria Math" w:cs="Times New Roman"/>
                      <w:color w:val="0D0D0D"/>
                      <w:sz w:val="20"/>
                      <w:szCs w:val="20"/>
                      <w:shd w:val="clear" w:color="auto" w:fill="FFFFFF"/>
                      <w:lang w:val="en-US"/>
                    </w:rPr>
                    <m:t>X</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x</m:t>
                  </m:r>
                </m:e>
                <m:e>
                  <m:r>
                    <w:rPr>
                      <w:rFonts w:ascii="Cambria Math" w:hAnsi="Cambria Math" w:cs="Times New Roman"/>
                      <w:color w:val="0D0D0D"/>
                      <w:sz w:val="20"/>
                      <w:szCs w:val="20"/>
                      <w:shd w:val="clear" w:color="auto" w:fill="FFFFFF"/>
                      <w:lang w:val="en-US"/>
                    </w:rPr>
                    <m:t>m,κ</m:t>
                  </m:r>
                </m:e>
              </m:d>
              <m:r>
                <w:rPr>
                  <w:rFonts w:ascii="Cambria Math" w:hAnsi="Cambria Math" w:cs="Times New Roman"/>
                  <w:color w:val="0D0D0D"/>
                  <w:sz w:val="20"/>
                  <w:szCs w:val="20"/>
                  <w:shd w:val="clear" w:color="auto" w:fill="FFFFFF"/>
                  <w:lang w:val="en-US"/>
                </w:rPr>
                <m:t>=</m:t>
              </m:r>
              <m:f>
                <m:fPr>
                  <m:ctrlPr>
                    <w:rPr>
                      <w:rFonts w:ascii="Cambria Math" w:hAnsi="Cambria Math" w:cs="Times New Roman"/>
                      <w:i/>
                      <w:color w:val="0D0D0D"/>
                      <w:sz w:val="20"/>
                      <w:szCs w:val="20"/>
                      <w:shd w:val="clear" w:color="auto" w:fill="FFFFFF"/>
                      <w:lang w:val="en-US"/>
                    </w:rPr>
                  </m:ctrlPr>
                </m:fPr>
                <m:num>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κ+x</m:t>
                      </m:r>
                    </m:e>
                  </m:d>
                </m:num>
                <m:den>
                  <m:r>
                    <w:rPr>
                      <w:rFonts w:ascii="Cambria Math" w:hAnsi="Cambria Math" w:cs="Times New Roman"/>
                      <w:color w:val="0D0D0D"/>
                      <w:sz w:val="20"/>
                      <w:szCs w:val="20"/>
                      <w:shd w:val="clear" w:color="auto" w:fill="FFFFFF"/>
                      <w:lang w:val="en-US"/>
                    </w:rPr>
                    <m:t>x!</m:t>
                  </m:r>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κ</m:t>
                      </m:r>
                    </m:e>
                  </m:d>
                </m:den>
              </m:f>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κ</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κ</m:t>
                  </m:r>
                </m:sup>
              </m:sSup>
              <m:sSup>
                <m:sSupPr>
                  <m:ctrlPr>
                    <w:rPr>
                      <w:rFonts w:ascii="Cambria Math" w:hAnsi="Cambria Math" w:cs="Times New Roman"/>
                      <w:i/>
                      <w:color w:val="0D0D0D"/>
                      <w:sz w:val="20"/>
                      <w:szCs w:val="20"/>
                      <w:shd w:val="clear" w:color="auto" w:fill="FFFFFF"/>
                      <w:lang w:val="en-US"/>
                    </w:rPr>
                  </m:ctrlPr>
                </m:sSupPr>
                <m:e>
                  <m:d>
                    <m:dPr>
                      <m:ctrlPr>
                        <w:rPr>
                          <w:rFonts w:ascii="Cambria Math" w:hAnsi="Cambria Math" w:cs="Times New Roman"/>
                          <w:i/>
                          <w:color w:val="0D0D0D"/>
                          <w:sz w:val="20"/>
                          <w:szCs w:val="20"/>
                          <w:shd w:val="clear" w:color="auto" w:fill="FFFFFF"/>
                          <w:lang w:val="en-US"/>
                        </w:rPr>
                      </m:ctrlPr>
                    </m:dPr>
                    <m:e>
                      <m:f>
                        <m:fPr>
                          <m:ctrlPr>
                            <w:rPr>
                              <w:rFonts w:ascii="Cambria Math" w:hAnsi="Cambria Math" w:cs="Times New Roman"/>
                              <w:i/>
                              <w:color w:val="0D0D0D"/>
                              <w:sz w:val="20"/>
                              <w:szCs w:val="20"/>
                              <w:shd w:val="clear" w:color="auto" w:fill="FFFFFF"/>
                              <w:lang w:val="en-US"/>
                            </w:rPr>
                          </m:ctrlPr>
                        </m:fPr>
                        <m:num>
                          <m:r>
                            <w:rPr>
                              <w:rFonts w:ascii="Cambria Math" w:hAnsi="Cambria Math" w:cs="Times New Roman"/>
                              <w:color w:val="0D0D0D"/>
                              <w:sz w:val="20"/>
                              <w:szCs w:val="20"/>
                              <w:shd w:val="clear" w:color="auto" w:fill="FFFFFF"/>
                              <w:lang w:val="en-US"/>
                            </w:rPr>
                            <m:t>m</m:t>
                          </m:r>
                        </m:num>
                        <m:den>
                          <m:r>
                            <w:rPr>
                              <w:rFonts w:ascii="Cambria Math" w:hAnsi="Cambria Math" w:cs="Times New Roman"/>
                              <w:color w:val="0D0D0D"/>
                              <w:sz w:val="20"/>
                              <w:szCs w:val="20"/>
                              <w:shd w:val="clear" w:color="auto" w:fill="FFFFFF"/>
                              <w:lang w:val="en-US"/>
                            </w:rPr>
                            <m:t>κ+m</m:t>
                          </m:r>
                        </m:den>
                      </m:f>
                    </m:e>
                  </m:d>
                </m:e>
                <m:sup>
                  <m:r>
                    <w:rPr>
                      <w:rFonts w:ascii="Cambria Math" w:hAnsi="Cambria Math" w:cs="Times New Roman"/>
                      <w:color w:val="0D0D0D"/>
                      <w:sz w:val="20"/>
                      <w:szCs w:val="20"/>
                      <w:shd w:val="clear" w:color="auto" w:fill="FFFFFF"/>
                      <w:lang w:val="en-US"/>
                    </w:rPr>
                    <m:t>x</m:t>
                  </m:r>
                </m:sup>
              </m:sSup>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m:t>
                  </m:r>
                </m:e>
              </m:d>
            </m:e>
          </m:eqArr>
        </m:oMath>
      </m:oMathPara>
    </w:p>
    <w:p w14:paraId="78C2CF7B" w14:textId="42CCFCEF"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where the shape parameter characterises the level of clustering or heterogeneity in the observation process, and </w:t>
      </w:r>
      <m:oMath>
        <m:r>
          <m:rPr>
            <m:sty m:val="p"/>
          </m:rPr>
          <w:rPr>
            <w:rFonts w:ascii="Cambria Math" w:hAnsi="Cambria Math" w:cs="Times New Roman"/>
            <w:color w:val="0D0D0D"/>
            <w:sz w:val="20"/>
            <w:szCs w:val="20"/>
            <w:shd w:val="clear" w:color="auto" w:fill="FFFFFF"/>
            <w:lang w:val="en-US"/>
          </w:rPr>
          <m:t>Γ</m:t>
        </m:r>
        <m:d>
          <m:dPr>
            <m:ctrlPr>
              <w:rPr>
                <w:rFonts w:ascii="Cambria Math" w:hAnsi="Cambria Math" w:cs="Times New Roman"/>
                <w:color w:val="0D0D0D"/>
                <w:sz w:val="20"/>
                <w:szCs w:val="20"/>
                <w:shd w:val="clear" w:color="auto" w:fill="FFFFFF"/>
                <w:lang w:val="en-US"/>
              </w:rPr>
            </m:ctrlPr>
          </m:dPr>
          <m:e>
            <m:r>
              <m:rPr>
                <m:sty m:val="p"/>
              </m:rPr>
              <w:rPr>
                <w:rFonts w:ascii="Cambria Math" w:hAnsi="Cambria Math" w:cs="Times New Roman"/>
                <w:color w:val="0D0D0D"/>
                <w:sz w:val="20"/>
                <w:szCs w:val="20"/>
                <w:shd w:val="clear" w:color="auto" w:fill="FFFFFF"/>
                <w:lang w:val="en-US"/>
              </w:rPr>
              <m:t>∙</m:t>
            </m:r>
          </m:e>
        </m:d>
      </m:oMath>
      <w:r w:rsidRPr="002D7CDC">
        <w:rPr>
          <w:rFonts w:ascii="Times New Roman" w:hAnsi="Times New Roman" w:cs="Times New Roman"/>
          <w:sz w:val="20"/>
          <w:szCs w:val="20"/>
        </w:rPr>
        <w:t xml:space="preserve"> is the Gamma function. Under the </w:t>
      </w:r>
      <w:r w:rsidR="000B2196">
        <w:rPr>
          <w:rFonts w:ascii="Times New Roman" w:hAnsi="Times New Roman" w:cs="Times New Roman"/>
          <w:sz w:val="20"/>
          <w:szCs w:val="20"/>
        </w:rPr>
        <w:t>N</w:t>
      </w:r>
      <w:r w:rsidRPr="002D7CDC">
        <w:rPr>
          <w:rFonts w:ascii="Times New Roman" w:hAnsi="Times New Roman" w:cs="Times New Roman"/>
          <w:sz w:val="20"/>
          <w:szCs w:val="20"/>
        </w:rPr>
        <w:t>egative</w:t>
      </w:r>
      <w:r w:rsidR="000B2196">
        <w:rPr>
          <w:rFonts w:ascii="Times New Roman" w:hAnsi="Times New Roman" w:cs="Times New Roman"/>
          <w:sz w:val="20"/>
          <w:szCs w:val="20"/>
        </w:rPr>
        <w:t>-B</w:t>
      </w:r>
      <w:r w:rsidRPr="002D7CDC">
        <w:rPr>
          <w:rFonts w:ascii="Times New Roman" w:hAnsi="Times New Roman" w:cs="Times New Roman"/>
          <w:sz w:val="20"/>
          <w:szCs w:val="20"/>
        </w:rPr>
        <w:t>inomial distribution</w:t>
      </w:r>
      <w:r w:rsidR="000B2196">
        <w:rPr>
          <w:rFonts w:ascii="Times New Roman" w:hAnsi="Times New Roman" w:cs="Times New Roman"/>
          <w:sz w:val="20"/>
          <w:szCs w:val="20"/>
        </w:rPr>
        <w:t>,</w:t>
      </w:r>
      <w:r w:rsidRPr="002D7CDC">
        <w:rPr>
          <w:rFonts w:ascii="Times New Roman" w:hAnsi="Times New Roman" w:cs="Times New Roman"/>
          <w:sz w:val="20"/>
          <w:szCs w:val="20"/>
        </w:rPr>
        <w:t xml:space="preserve"> </w:t>
      </w:r>
      <w:r w:rsidR="000B2196">
        <w:rPr>
          <w:rFonts w:ascii="Times New Roman" w:hAnsi="Times New Roman" w:cs="Times New Roman"/>
          <w:color w:val="0D0D0D"/>
          <w:sz w:val="20"/>
          <w:szCs w:val="20"/>
          <w:shd w:val="clear" w:color="auto" w:fill="FFFFFF"/>
        </w:rPr>
        <w:t xml:space="preserve">the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w:t>
      </w:r>
      <w:r w:rsidR="000B2196">
        <w:rPr>
          <w:rFonts w:ascii="Times New Roman" w:hAnsi="Times New Roman" w:cs="Times New Roman"/>
          <w:color w:val="0D0D0D"/>
          <w:sz w:val="20"/>
          <w:szCs w:val="20"/>
          <w:shd w:val="clear" w:color="auto" w:fill="FFFFFF"/>
        </w:rPr>
        <w:t xml:space="preserve">is </w:t>
      </w:r>
      <m:oMath>
        <m:r>
          <w:rPr>
            <w:rFonts w:ascii="Cambria Math" w:hAnsi="Cambria Math" w:cs="Times New Roman"/>
            <w:sz w:val="20"/>
            <w:szCs w:val="20"/>
          </w:rPr>
          <m:t>Var</m:t>
        </m:r>
        <m:d>
          <m:dPr>
            <m:begChr m:val="["/>
            <m:endChr m:val="]"/>
            <m:ctrlPr>
              <w:rPr>
                <w:rFonts w:ascii="Cambria Math" w:hAnsi="Cambria Math" w:cs="Times New Roman"/>
                <w:i/>
                <w:sz w:val="20"/>
                <w:szCs w:val="20"/>
              </w:rPr>
            </m:ctrlPr>
          </m:dPr>
          <m:e>
            <m:r>
              <w:rPr>
                <w:rFonts w:ascii="Cambria Math" w:hAnsi="Cambria Math" w:cs="Times New Roman"/>
                <w:sz w:val="20"/>
                <w:szCs w:val="20"/>
              </w:rPr>
              <m:t>X</m:t>
            </m:r>
          </m:e>
        </m:d>
        <m:r>
          <w:rPr>
            <w:rFonts w:ascii="Cambria Math" w:hAnsi="Cambria Math" w:cs="Times New Roman"/>
            <w:sz w:val="20"/>
            <w:szCs w:val="20"/>
          </w:rPr>
          <m:t>=m+</m:t>
        </m:r>
        <m:sSup>
          <m:sSupPr>
            <m:ctrlPr>
              <w:rPr>
                <w:rFonts w:ascii="Cambria Math" w:hAnsi="Cambria Math" w:cs="Times New Roman"/>
                <w:i/>
                <w:sz w:val="20"/>
                <w:szCs w:val="20"/>
              </w:rPr>
            </m:ctrlPr>
          </m:sSupPr>
          <m:e>
            <m:r>
              <w:rPr>
                <w:rFonts w:ascii="Cambria Math" w:hAnsi="Cambria Math" w:cs="Times New Roman"/>
                <w:sz w:val="20"/>
                <w:szCs w:val="20"/>
              </w:rPr>
              <m:t>m</m:t>
            </m:r>
          </m:e>
          <m:sup>
            <m:r>
              <w:rPr>
                <w:rFonts w:ascii="Cambria Math" w:hAnsi="Cambria Math" w:cs="Times New Roman"/>
                <w:sz w:val="20"/>
                <w:szCs w:val="20"/>
              </w:rPr>
              <m:t>2</m:t>
            </m:r>
          </m:sup>
        </m:sSup>
        <m:r>
          <m:rPr>
            <m:lit/>
          </m:rPr>
          <w:rPr>
            <w:rFonts w:ascii="Cambria Math" w:hAnsi="Cambria Math" w:cs="Times New Roman"/>
            <w:sz w:val="20"/>
            <w:szCs w:val="20"/>
          </w:rPr>
          <m:t>/</m:t>
        </m:r>
        <m:r>
          <w:rPr>
            <w:rFonts w:ascii="Cambria Math" w:hAnsi="Cambria Math" w:cs="Times New Roman"/>
            <w:sz w:val="20"/>
            <w:szCs w:val="20"/>
          </w:rPr>
          <m:t>k</m:t>
        </m:r>
      </m:oMath>
      <w:r w:rsidRPr="002D7CDC">
        <w:rPr>
          <w:rFonts w:ascii="Times New Roman" w:hAnsi="Times New Roman" w:cs="Times New Roman"/>
          <w:sz w:val="20"/>
          <w:szCs w:val="20"/>
        </w:rPr>
        <w:t>.</w:t>
      </w:r>
    </w:p>
    <w:p w14:paraId="649E9EF6" w14:textId="7FD9DC5E" w:rsidR="00373D9B" w:rsidRPr="002D7CDC" w:rsidRDefault="00373D9B" w:rsidP="00373D9B">
      <w:pPr>
        <w:spacing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likelihoods of </w:t>
      </w:r>
      <m:oMath>
        <m:sSub>
          <m:sSubPr>
            <m:ctrlPr>
              <w:rPr>
                <w:rFonts w:ascii="Cambria Math" w:hAnsi="Cambria Math" w:cs="Times New Roman"/>
                <w:i/>
                <w:sz w:val="20"/>
                <w:szCs w:val="20"/>
              </w:rPr>
            </m:ctrlPr>
          </m:sSubPr>
          <m:e>
            <m:r>
              <w:rPr>
                <w:rFonts w:ascii="Cambria Math" w:hAnsi="Cambria Math" w:cs="Times New Roman"/>
                <w:sz w:val="20"/>
                <w:szCs w:val="20"/>
              </w:rPr>
              <m:t>Z</m:t>
            </m:r>
          </m:e>
          <m:sub>
            <m:r>
              <w:rPr>
                <w:rFonts w:ascii="Cambria Math" w:hAnsi="Cambria Math" w:cs="Times New Roman"/>
                <w:sz w:val="20"/>
                <w:szCs w:val="20"/>
              </w:rPr>
              <m:t>T</m:t>
            </m:r>
          </m:sub>
        </m:sSub>
        <m:d>
          <m:dPr>
            <m:ctrlPr>
              <w:rPr>
                <w:rFonts w:ascii="Cambria Math" w:hAnsi="Cambria Math" w:cs="Times New Roman"/>
                <w:i/>
                <w:sz w:val="20"/>
                <w:szCs w:val="20"/>
              </w:rPr>
            </m:ctrlPr>
          </m:dPr>
          <m:e>
            <m:r>
              <w:rPr>
                <w:rFonts w:ascii="Cambria Math" w:hAnsi="Cambria Math" w:cs="Times New Roman"/>
                <w:sz w:val="20"/>
                <w:szCs w:val="20"/>
              </w:rPr>
              <m:t>t</m:t>
            </m:r>
          </m:e>
        </m:d>
      </m:oMath>
      <w:r w:rsidR="00A26C1F">
        <w:rPr>
          <w:rFonts w:ascii="Times New Roman" w:hAnsi="Times New Roman" w:cs="Times New Roman"/>
          <w:sz w:val="20"/>
          <w:szCs w:val="20"/>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for each strain (i.e.,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m:oMath>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A26C1F">
        <w:rPr>
          <w:rFonts w:ascii="Times New Roman" w:hAnsi="Times New Roman" w:cs="Times New Roman"/>
          <w:color w:val="0D0D0D"/>
          <w:sz w:val="20"/>
          <w:szCs w:val="20"/>
          <w:shd w:val="clear" w:color="auto" w:fill="FFFFFF"/>
          <w:lang w:val="en-US"/>
        </w:rPr>
        <w:t xml:space="preserve">), </w:t>
      </w:r>
      <w:r w:rsidR="00A26C1F">
        <w:rPr>
          <w:rFonts w:ascii="Times New Roman" w:hAnsi="Times New Roman" w:cs="Times New Roman"/>
          <w:sz w:val="20"/>
          <w:szCs w:val="20"/>
        </w:rPr>
        <w:t>are</w:t>
      </w:r>
      <w:r w:rsidRPr="002D7CDC">
        <w:rPr>
          <w:rFonts w:ascii="Times New Roman" w:hAnsi="Times New Roman" w:cs="Times New Roman"/>
          <w:sz w:val="20"/>
          <w:szCs w:val="20"/>
        </w:rPr>
        <w:t>:</w:t>
      </w:r>
    </w:p>
    <w:p w14:paraId="3445382E" w14:textId="5C3845F4" w:rsidR="00373D9B" w:rsidRPr="003C1DA1" w:rsidRDefault="00373D9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#(2)</m:t>
                  </m:r>
                </m:e>
              </m:eqArr>
              <m:r>
                <w:rPr>
                  <w:rFonts w:ascii="Cambria Math" w:hAnsi="Cambria Math" w:cs="Times New Roman"/>
                  <w:color w:val="0D0D0D"/>
                  <w:sz w:val="20"/>
                  <w:szCs w:val="20"/>
                  <w:shd w:val="clear" w:color="auto" w:fill="FFFFFF"/>
                  <w:lang w:val="en-US"/>
                </w:rPr>
                <m:t>#</m:t>
              </m:r>
            </m:e>
          </m:eqArr>
        </m:oMath>
      </m:oMathPara>
    </w:p>
    <w:p w14:paraId="7B8989CA" w14:textId="38648286"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3</m:t>
                  </m:r>
                </m:e>
              </m:d>
            </m:e>
          </m:eqArr>
        </m:oMath>
      </m:oMathPara>
    </w:p>
    <w:p w14:paraId="5B283957" w14:textId="5FD70B4D"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4</m:t>
                  </m:r>
                </m:e>
              </m:d>
            </m:e>
          </m:eqArr>
        </m:oMath>
      </m:oMathPara>
    </w:p>
    <w:p w14:paraId="23FC7EDA" w14:textId="235981E0"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5</m:t>
                  </m:r>
                </m:e>
              </m:d>
            </m:e>
          </m:eqArr>
        </m:oMath>
      </m:oMathPara>
    </w:p>
    <w:p w14:paraId="0FADA385" w14:textId="3117E3B9" w:rsidR="00BF327B" w:rsidRPr="003C1DA1" w:rsidRDefault="00BF327B" w:rsidP="00373D9B">
      <w:pPr>
        <w:pStyle w:val="ListParagraph"/>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~NegBinom</m:t>
              </m:r>
              <m:d>
                <m:dPr>
                  <m:ctrlPr>
                    <w:rPr>
                      <w:rFonts w:ascii="Cambria Math" w:hAnsi="Cambria Math" w:cs="Times New Roman"/>
                      <w:i/>
                      <w:color w:val="0D0D0D"/>
                      <w:sz w:val="20"/>
                      <w:szCs w:val="20"/>
                      <w:shd w:val="clear" w:color="auto" w:fill="FFFFFF"/>
                      <w:lang w:val="en-US"/>
                    </w:rPr>
                  </m:ctrlPr>
                </m:d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6</m:t>
                  </m:r>
                </m:e>
              </m:d>
            </m:e>
          </m:eqArr>
        </m:oMath>
      </m:oMathPara>
    </w:p>
    <w:p w14:paraId="17BE8868" w14:textId="38B220DE" w:rsidR="00666618" w:rsidRPr="002D7CDC"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where</w:t>
      </w:r>
      <w:r w:rsidRPr="002D7CDC">
        <w:rPr>
          <w:rFonts w:ascii="Times New Roman" w:hAnsi="Times New Roman" w:cs="Times New Roman"/>
          <w:color w:val="0D0D0D"/>
          <w:sz w:val="20"/>
          <w:szCs w:val="20"/>
          <w:shd w:val="clear" w:color="auto" w:fill="FFFFFF"/>
          <w:lang w:val="en-US"/>
        </w:rPr>
        <w:br/>
      </w: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T</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eqArr>
                            <m:eqArrPr>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U</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e>
                            <m:e>
                              <m:r>
                                <w:rPr>
                                  <w:rFonts w:ascii="Cambria Math" w:hAnsi="Cambria Math" w:cs="Times New Roman"/>
                                  <w:color w:val="0D0D0D"/>
                                  <w:sz w:val="20"/>
                                  <w:szCs w:val="20"/>
                                  <w:shd w:val="clear" w:color="auto" w:fill="FFFFFF"/>
                                  <w:lang w:val="en-US"/>
                                </w:rPr>
                                <m:t>+</m:t>
                              </m:r>
                              <m:r>
                                <w:rPr>
                                  <w:rFonts w:ascii="Cambria Math" w:hAnsi="Cambria Math" w:cs="Times New Roman"/>
                                  <w:color w:val="0D0D0D"/>
                                  <w:sz w:val="20"/>
                                  <w:szCs w:val="20"/>
                                  <w:shd w:val="clear" w:color="auto" w:fill="FFFFFF"/>
                                  <w:lang w:val="en-US"/>
                                </w:rPr>
                                <m:t xml:space="preserve"> </m:t>
                              </m:r>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eqAr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7</m:t>
                  </m:r>
                </m:e>
              </m:d>
            </m:e>
          </m:eqArr>
          <m:r>
            <w:rPr>
              <w:rFonts w:ascii="Times New Roman" w:hAnsi="Times New Roman" w:cs="Times New Roman"/>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0</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8</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c</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9</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t</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10</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D</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ρ</m:t>
                          </m:r>
                          <m:sSup>
                            <m:sSupPr>
                              <m:ctrlPr>
                                <w:rPr>
                                  <w:rFonts w:ascii="Cambria Math" w:hAnsi="Cambria Math" w:cs="Times New Roman"/>
                                  <w:i/>
                                  <w:color w:val="0D0D0D"/>
                                  <w:sz w:val="20"/>
                                  <w:szCs w:val="20"/>
                                  <w:shd w:val="clear" w:color="auto" w:fill="FFFFFF"/>
                                  <w:lang w:val="en-US"/>
                                </w:rPr>
                              </m:ctrlPr>
                            </m:sSup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j</m:t>
                                  </m:r>
                                </m:sub>
                              </m:sSub>
                            </m:e>
                            <m:sup>
                              <m:r>
                                <w:rPr>
                                  <w:rFonts w:ascii="Cambria Math" w:hAnsi="Cambria Math" w:cs="Times New Roman"/>
                                  <w:color w:val="0D0D0D"/>
                                  <w:sz w:val="20"/>
                                  <w:szCs w:val="20"/>
                                  <w:shd w:val="clear" w:color="auto" w:fill="FFFFFF"/>
                                  <w:lang w:val="en-US"/>
                                </w:rPr>
                                <m:t>d2</m:t>
                              </m:r>
                            </m:sup>
                          </m:s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11</m:t>
                  </m:r>
                </m:e>
              </m:d>
            </m:e>
          </m:eqArr>
        </m:oMath>
      </m:oMathPara>
    </w:p>
    <w:p w14:paraId="4D388520" w14:textId="4510C1B9" w:rsidR="00373D9B" w:rsidRDefault="00373D9B" w:rsidP="00373D9B">
      <w:pPr>
        <w:spacing w:line="276" w:lineRule="auto"/>
        <w:jc w:val="both"/>
        <w:rPr>
          <w:rFonts w:ascii="Times New Roman" w:hAnsi="Times New Roman" w:cs="Times New Roman"/>
          <w:color w:val="0D0D0D"/>
          <w:sz w:val="20"/>
          <w:szCs w:val="20"/>
          <w:shd w:val="clear" w:color="auto" w:fill="FFFFFF"/>
          <w:lang w:val="en-US"/>
        </w:rPr>
      </w:pPr>
      <w:r w:rsidRPr="002D7CDC">
        <w:rPr>
          <w:rFonts w:ascii="Times New Roman" w:hAnsi="Times New Roman" w:cs="Times New Roman"/>
          <w:color w:val="0D0D0D"/>
          <w:sz w:val="20"/>
          <w:szCs w:val="20"/>
          <w:shd w:val="clear" w:color="auto" w:fill="FFFFFF"/>
          <w:lang w:val="en-US"/>
        </w:rPr>
        <w:t xml:space="preserve">with </w:t>
      </w:r>
      <m:oMath>
        <m:r>
          <w:rPr>
            <w:rFonts w:ascii="Cambria Math" w:hAnsi="Cambria Math" w:cs="Times New Roman"/>
            <w:color w:val="0D0D0D"/>
            <w:sz w:val="20"/>
            <w:szCs w:val="20"/>
            <w:shd w:val="clear" w:color="auto" w:fill="FFFFFF"/>
            <w:lang w:val="en-US"/>
          </w:rPr>
          <m:t>τ</m:t>
        </m:r>
      </m:oMath>
      <w:r w:rsidRPr="002D7CDC">
        <w:rPr>
          <w:rFonts w:ascii="Times New Roman" w:hAnsi="Times New Roman" w:cs="Times New Roman"/>
          <w:color w:val="0D0D0D"/>
          <w:sz w:val="20"/>
          <w:szCs w:val="20"/>
          <w:shd w:val="clear" w:color="auto" w:fill="FFFFFF"/>
          <w:lang w:val="en-US"/>
        </w:rPr>
        <w:t xml:space="preserve"> denotes the time variable of integration</w:t>
      </w:r>
      <w:r>
        <w:rPr>
          <w:rFonts w:ascii="Times New Roman" w:hAnsi="Times New Roman" w:cs="Times New Roman"/>
          <w:color w:val="0D0D0D"/>
          <w:sz w:val="20"/>
          <w:szCs w:val="20"/>
          <w:shd w:val="clear" w:color="auto" w:fill="FFFFFF"/>
          <w:lang w:val="en-US"/>
        </w:rPr>
        <w:t xml:space="preserve"> and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T</m:t>
            </m:r>
          </m:sub>
        </m:sSub>
      </m:oMath>
      <w:r>
        <w:rPr>
          <w:rFonts w:ascii="Times New Roman" w:hAnsi="Times New Roman" w:cs="Times New Roman"/>
          <w:color w:val="0D0D0D"/>
          <w:sz w:val="20"/>
          <w:szCs w:val="20"/>
          <w:shd w:val="clear" w:color="auto" w:fill="FFFFFF"/>
          <w:lang w:val="en-US"/>
        </w:rPr>
        <w:t xml:space="preserve"> denotes the </w:t>
      </w:r>
      <w:r w:rsidR="00BF327B">
        <w:rPr>
          <w:rFonts w:ascii="Times New Roman" w:hAnsi="Times New Roman" w:cs="Times New Roman"/>
          <w:color w:val="0D0D0D"/>
          <w:sz w:val="20"/>
          <w:szCs w:val="20"/>
          <w:shd w:val="clear" w:color="auto" w:fill="FFFFFF"/>
          <w:lang w:val="en-US"/>
        </w:rPr>
        <w:t xml:space="preserve">shared </w:t>
      </w:r>
      <w:r>
        <w:rPr>
          <w:rFonts w:ascii="Times New Roman" w:hAnsi="Times New Roman" w:cs="Times New Roman"/>
          <w:color w:val="0D0D0D"/>
          <w:sz w:val="20"/>
          <w:szCs w:val="20"/>
          <w:shd w:val="clear" w:color="auto" w:fill="FFFFFF"/>
          <w:lang w:val="en-US"/>
        </w:rPr>
        <w:t>shape parameter</w:t>
      </w:r>
      <w:r w:rsidR="00BF327B">
        <w:rPr>
          <w:rFonts w:ascii="Times New Roman" w:hAnsi="Times New Roman" w:cs="Times New Roman"/>
          <w:color w:val="0D0D0D"/>
          <w:sz w:val="20"/>
          <w:szCs w:val="20"/>
          <w:shd w:val="clear" w:color="auto" w:fill="FFFFFF"/>
          <w:lang w:val="en-US"/>
        </w:rPr>
        <w:t xml:space="preserve"> for GUMCAD data streams</w:t>
      </w:r>
      <w:r w:rsidRPr="002D7CDC">
        <w:rPr>
          <w:rFonts w:ascii="Times New Roman" w:hAnsi="Times New Roman" w:cs="Times New Roman"/>
          <w:color w:val="0D0D0D"/>
          <w:sz w:val="20"/>
          <w:szCs w:val="20"/>
          <w:shd w:val="clear" w:color="auto" w:fill="FFFFFF"/>
          <w:lang w:val="en-US"/>
        </w:rPr>
        <w:t>.</w:t>
      </w:r>
    </w:p>
    <w:p w14:paraId="51FC9C33" w14:textId="79DB654E" w:rsidR="003C1F45" w:rsidRPr="002D7CDC" w:rsidRDefault="003C1F45" w:rsidP="003C1F4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t xml:space="preserve">We compared the observed annual number of </w:t>
      </w:r>
      <w:r>
        <w:rPr>
          <w:rFonts w:ascii="Times New Roman" w:hAnsi="Times New Roman" w:cs="Times New Roman"/>
          <w:color w:val="000000"/>
          <w:sz w:val="20"/>
          <w:szCs w:val="20"/>
          <w:lang w:val="en-GB"/>
        </w:rPr>
        <w:t xml:space="preserve">symptomatic </w:t>
      </w:r>
      <w:r>
        <w:rPr>
          <w:rFonts w:ascii="Times New Roman" w:hAnsi="Times New Roman" w:cs="Times New Roman"/>
          <w:color w:val="000000"/>
          <w:sz w:val="20"/>
          <w:szCs w:val="20"/>
          <w:lang w:val="en-GB"/>
        </w:rPr>
        <w:t xml:space="preserve">gonorrhoea </w:t>
      </w:r>
      <w:r w:rsidRPr="002D7CDC">
        <w:rPr>
          <w:rFonts w:ascii="Times New Roman" w:hAnsi="Times New Roman" w:cs="Times New Roman"/>
          <w:color w:val="000000"/>
          <w:sz w:val="20"/>
          <w:szCs w:val="20"/>
          <w:lang w:val="en-GB"/>
        </w:rPr>
        <w:t>diagnoses</w:t>
      </w:r>
      <w:r>
        <w:rPr>
          <w:rFonts w:ascii="Times New Roman" w:hAnsi="Times New Roman" w:cs="Times New Roman"/>
          <w:color w:val="000000"/>
          <w:sz w:val="20"/>
          <w:szCs w:val="20"/>
          <w:lang w:val="en-GB"/>
        </w:rPr>
        <w:t xml:space="preserve"> in the </w:t>
      </w:r>
      <w:r>
        <w:rPr>
          <w:rFonts w:ascii="Times New Roman" w:hAnsi="Times New Roman" w:cs="Times New Roman"/>
          <w:color w:val="000000"/>
          <w:sz w:val="20"/>
          <w:szCs w:val="20"/>
          <w:lang w:val="en-GB"/>
        </w:rPr>
        <w:t>GRASP</w:t>
      </w:r>
      <w:r>
        <w:rPr>
          <w:rFonts w:ascii="Times New Roman" w:hAnsi="Times New Roman" w:cs="Times New Roman"/>
          <w:color w:val="000000"/>
          <w:sz w:val="20"/>
          <w:szCs w:val="20"/>
          <w:lang w:val="en-GB"/>
        </w:rPr>
        <w:t xml:space="preserve"> sample,</w:t>
      </w:r>
      <w:r w:rsidRPr="00373D9B">
        <w:rPr>
          <w:rFonts w:ascii="Cambria Math" w:hAnsi="Cambria Math" w:cs="Times New Roman"/>
          <w:i/>
          <w:color w:val="0D0D0D"/>
          <w:sz w:val="20"/>
          <w:szCs w:val="20"/>
          <w:shd w:val="clear" w:color="auto" w:fill="FFFFFF"/>
          <w:lang w:val="en-US"/>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Pr="00373D9B">
        <w:rPr>
          <w:rFonts w:ascii="Times New Roman" w:hAnsi="Times New Roman" w:cs="Times New Roman"/>
          <w:iCs/>
          <w:color w:val="0D0D0D"/>
          <w:sz w:val="20"/>
          <w:szCs w:val="20"/>
          <w:shd w:val="clear" w:color="auto" w:fill="FFFFFF"/>
          <w:lang w:val="en-US"/>
        </w:rPr>
        <w:t>,</w:t>
      </w:r>
      <w:r>
        <w:rPr>
          <w:rFonts w:ascii="Times New Roman" w:hAnsi="Times New Roman" w:cs="Times New Roman"/>
          <w:color w:val="000000"/>
          <w:sz w:val="20"/>
          <w:szCs w:val="20"/>
          <w:lang w:val="en-GB"/>
        </w:rPr>
        <w:t xml:space="preserve"> </w:t>
      </w:r>
      <w:r w:rsidRPr="002D7CDC">
        <w:rPr>
          <w:rFonts w:ascii="Times New Roman" w:hAnsi="Times New Roman" w:cs="Times New Roman"/>
          <w:color w:val="000000"/>
          <w:sz w:val="20"/>
          <w:szCs w:val="20"/>
          <w:lang w:val="en-GB"/>
        </w:rPr>
        <w:t>with those predicted by our model</w:t>
      </w:r>
      <w:r>
        <w:rPr>
          <w:rFonts w:ascii="Times New Roman" w:hAnsi="Times New Roman" w:cs="Times New Roman"/>
          <w:color w:val="000000"/>
          <w:sz w:val="20"/>
          <w:szCs w:val="20"/>
          <w:lang w:val="en-GB"/>
        </w:rPr>
        <w:t xml:space="preserv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Pr>
          <w:rFonts w:ascii="Times New Roman" w:hAnsi="Times New Roman" w:cs="Times New Roman"/>
          <w:color w:val="0D0D0D"/>
          <w:sz w:val="20"/>
          <w:szCs w:val="20"/>
          <w:shd w:val="clear" w:color="auto" w:fill="FFFFFF"/>
          <w:lang w:val="en-US"/>
        </w:rPr>
        <w:t xml:space="preserve"> </w:t>
      </w:r>
      <w:r w:rsidRPr="002D7CDC">
        <w:rPr>
          <w:rFonts w:ascii="Times New Roman" w:hAnsi="Times New Roman" w:cs="Times New Roman"/>
          <w:color w:val="000000"/>
          <w:sz w:val="20"/>
          <w:szCs w:val="20"/>
          <w:lang w:val="en-GB"/>
        </w:rPr>
        <w:t xml:space="preserve">using </w:t>
      </w:r>
      <w:r w:rsidR="0079342B">
        <w:rPr>
          <w:rFonts w:ascii="Times New Roman" w:hAnsi="Times New Roman" w:cs="Times New Roman"/>
          <w:color w:val="000000"/>
          <w:sz w:val="20"/>
          <w:szCs w:val="20"/>
          <w:lang w:val="en-GB"/>
        </w:rPr>
        <w:t>a Beta</w:t>
      </w:r>
      <w:r w:rsidRPr="002D7CDC">
        <w:rPr>
          <w:rFonts w:ascii="Times New Roman" w:hAnsi="Times New Roman" w:cs="Times New Roman"/>
          <w:color w:val="000000"/>
          <w:sz w:val="20"/>
          <w:szCs w:val="20"/>
          <w:lang w:val="en-GB"/>
        </w:rPr>
        <w:t xml:space="preserve">-Binomial </w:t>
      </w:r>
      <w:r w:rsidR="0079342B">
        <w:rPr>
          <w:rFonts w:ascii="Times New Roman" w:hAnsi="Times New Roman" w:cs="Times New Roman"/>
          <w:color w:val="000000"/>
          <w:sz w:val="20"/>
          <w:szCs w:val="20"/>
          <w:lang w:val="en-GB"/>
        </w:rPr>
        <w:t>likelihood</w:t>
      </w:r>
      <w:r w:rsidRPr="002D7CDC">
        <w:rPr>
          <w:rFonts w:ascii="Times New Roman" w:hAnsi="Times New Roman" w:cs="Times New Roman"/>
          <w:color w:val="000000"/>
          <w:sz w:val="20"/>
          <w:szCs w:val="20"/>
          <w:lang w:val="en-GB"/>
        </w:rPr>
        <w:t>.</w:t>
      </w:r>
      <w:r w:rsidRPr="002D7CDC">
        <w:rPr>
          <w:rFonts w:ascii="Times New Roman" w:hAnsi="Times New Roman" w:cs="Times New Roman"/>
          <w:sz w:val="20"/>
          <w:szCs w:val="20"/>
        </w:rPr>
        <w:t xml:space="preserve"> If </w:t>
      </w:r>
      <m:oMath>
        <m:r>
          <w:rPr>
            <w:rFonts w:ascii="Cambria Math" w:hAnsi="Cambria Math" w:cs="Times New Roman"/>
            <w:sz w:val="20"/>
            <w:szCs w:val="20"/>
          </w:rPr>
          <m:t>X</m:t>
        </m:r>
      </m:oMath>
      <w:r w:rsidRPr="002D7CDC">
        <w:rPr>
          <w:rFonts w:ascii="Times New Roman" w:hAnsi="Times New Roman" w:cs="Times New Roman"/>
          <w:sz w:val="20"/>
          <w:szCs w:val="20"/>
        </w:rPr>
        <w:t xml:space="preserve"> </w:t>
      </w:r>
      <w:r w:rsidRPr="002D7CDC">
        <w:rPr>
          <w:rFonts w:ascii="Cambria Math" w:hAnsi="Cambria Math" w:cs="Cambria Math"/>
          <w:sz w:val="20"/>
          <w:szCs w:val="20"/>
        </w:rPr>
        <w:t>∼</w:t>
      </w:r>
      <w:r w:rsidRPr="002D7CDC">
        <w:rPr>
          <w:rFonts w:ascii="Times New Roman" w:hAnsi="Times New Roman" w:cs="Times New Roman"/>
          <w:sz w:val="20"/>
          <w:szCs w:val="20"/>
        </w:rPr>
        <w:t xml:space="preserve"> </w:t>
      </w:r>
      <w:r w:rsidR="0079342B">
        <w:rPr>
          <w:rFonts w:ascii="Times New Roman" w:hAnsi="Times New Roman" w:cs="Times New Roman"/>
          <w:sz w:val="20"/>
          <w:szCs w:val="20"/>
        </w:rPr>
        <w:t>Beta</w:t>
      </w:r>
      <w:r w:rsidRPr="002D7CDC">
        <w:rPr>
          <w:rFonts w:ascii="Times New Roman" w:hAnsi="Times New Roman" w:cs="Times New Roman"/>
          <w:sz w:val="20"/>
          <w:szCs w:val="20"/>
        </w:rPr>
        <w:t>Binom(</w:t>
      </w:r>
      <m:oMath>
        <m:r>
          <w:rPr>
            <w:rFonts w:ascii="Cambria Math" w:hAnsi="Cambria Math" w:cs="Times New Roman"/>
            <w:sz w:val="20"/>
            <w:szCs w:val="20"/>
          </w:rPr>
          <m:t>n</m:t>
        </m:r>
      </m:oMath>
      <w:r w:rsidRPr="002D7CDC">
        <w:rPr>
          <w:rFonts w:ascii="Times New Roman" w:hAnsi="Times New Roman" w:cs="Times New Roman"/>
          <w:sz w:val="20"/>
          <w:szCs w:val="20"/>
        </w:rPr>
        <w:t>,</w:t>
      </w:r>
      <w:r w:rsidR="0079342B" w:rsidRPr="0079342B">
        <w:rPr>
          <w:rFonts w:ascii="Cambria Math" w:hAnsi="Cambria Math" w:cs="Times New Roman"/>
          <w:i/>
          <w:sz w:val="20"/>
          <w:szCs w:val="20"/>
        </w:rPr>
        <w:t xml:space="preserve"> </w:t>
      </w:r>
      <m:oMath>
        <m:r>
          <w:rPr>
            <w:rFonts w:ascii="Cambria Math" w:hAnsi="Cambria Math" w:cs="Times New Roman"/>
            <w:sz w:val="20"/>
            <w:szCs w:val="20"/>
          </w:rPr>
          <m:t>p</m:t>
        </m:r>
      </m:oMath>
      <w:r w:rsidR="0079342B">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xml:space="preserve">), with </w:t>
      </w:r>
      <w:r w:rsidR="0079342B">
        <w:rPr>
          <w:rFonts w:ascii="Times New Roman" w:hAnsi="Times New Roman" w:cs="Times New Roman"/>
          <w:sz w:val="20"/>
          <w:szCs w:val="20"/>
        </w:rPr>
        <w:t xml:space="preserve">size </w:t>
      </w:r>
      <m:oMath>
        <m:r>
          <w:rPr>
            <w:rFonts w:ascii="Cambria Math" w:hAnsi="Cambria Math" w:cs="Times New Roman"/>
            <w:sz w:val="20"/>
            <w:szCs w:val="20"/>
          </w:rPr>
          <m:t>n</m:t>
        </m:r>
      </m:oMath>
      <w:r w:rsidR="0079342B">
        <w:rPr>
          <w:rFonts w:ascii="Times New Roman" w:hAnsi="Times New Roman" w:cs="Times New Roman"/>
          <w:sz w:val="20"/>
          <w:szCs w:val="20"/>
        </w:rPr>
        <w:t xml:space="preserve">, probability </w:t>
      </w:r>
      <m:oMath>
        <m:r>
          <w:rPr>
            <w:rFonts w:ascii="Cambria Math" w:hAnsi="Cambria Math" w:cs="Times New Roman"/>
            <w:sz w:val="20"/>
            <w:szCs w:val="20"/>
          </w:rPr>
          <m:t>p</m:t>
        </m:r>
      </m:oMath>
      <w:r w:rsidR="0079342B" w:rsidRPr="002D7CDC">
        <w:rPr>
          <w:rFonts w:ascii="Times New Roman" w:hAnsi="Times New Roman" w:cs="Times New Roman"/>
          <w:sz w:val="20"/>
          <w:szCs w:val="20"/>
        </w:rPr>
        <w:t xml:space="preserve"> </w:t>
      </w:r>
      <w:r w:rsidRPr="002D7CDC">
        <w:rPr>
          <w:rFonts w:ascii="Times New Roman" w:hAnsi="Times New Roman" w:cs="Times New Roman"/>
          <w:sz w:val="20"/>
          <w:szCs w:val="20"/>
        </w:rPr>
        <w:t xml:space="preserve">and </w:t>
      </w:r>
      <w:r w:rsidR="0079342B">
        <w:rPr>
          <w:rFonts w:ascii="Times New Roman" w:hAnsi="Times New Roman" w:cs="Times New Roman"/>
          <w:sz w:val="20"/>
          <w:szCs w:val="20"/>
        </w:rPr>
        <w:t>over-dispersion</w:t>
      </w:r>
      <w:r w:rsidRPr="002D7CDC">
        <w:rPr>
          <w:rFonts w:ascii="Times New Roman" w:hAnsi="Times New Roman" w:cs="Times New Roman"/>
          <w:sz w:val="20"/>
          <w:szCs w:val="20"/>
        </w:rPr>
        <w:t xml:space="preserve"> </w:t>
      </w:r>
      <m:oMath>
        <m:r>
          <w:rPr>
            <w:rFonts w:ascii="Cambria Math" w:hAnsi="Cambria Math" w:cs="Times New Roman"/>
            <w:color w:val="0D0D0D"/>
            <w:sz w:val="20"/>
            <w:szCs w:val="20"/>
            <w:shd w:val="clear" w:color="auto" w:fill="FFFFFF"/>
            <w:lang w:val="en-US"/>
          </w:rPr>
          <m:t>κ</m:t>
        </m:r>
      </m:oMath>
      <w:r w:rsidRPr="002D7CDC">
        <w:rPr>
          <w:rFonts w:ascii="Times New Roman" w:hAnsi="Times New Roman" w:cs="Times New Roman"/>
          <w:sz w:val="20"/>
          <w:szCs w:val="20"/>
        </w:rPr>
        <w:t>, then:</w:t>
      </w:r>
    </w:p>
    <w:p w14:paraId="49884553" w14:textId="468B5D64" w:rsidR="003C1F45" w:rsidRPr="000B2196" w:rsidRDefault="00F63B65"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f</m:t>
                  </m:r>
                </m:e>
                <m:sub>
                  <m:r>
                    <w:rPr>
                      <w:rFonts w:ascii="Cambria Math" w:hAnsi="Cambria Math" w:cs="Times New Roman"/>
                      <w:color w:val="0D0D0D"/>
                      <w:sz w:val="20"/>
                      <w:szCs w:val="20"/>
                      <w:shd w:val="clear" w:color="auto" w:fill="FFFFFF"/>
                    </w:rPr>
                    <m:t>x</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e>
                  <m:r>
                    <w:rPr>
                      <w:rFonts w:ascii="Cambria Math" w:hAnsi="Cambria Math" w:cs="Times New Roman"/>
                      <w:color w:val="0D0D0D"/>
                      <w:sz w:val="20"/>
                      <w:szCs w:val="20"/>
                      <w:shd w:val="clear" w:color="auto" w:fill="FFFFFF"/>
                    </w:rPr>
                    <m:t>n,p,</m:t>
                  </m:r>
                  <m:r>
                    <m:rPr>
                      <m:sty m:val="p"/>
                    </m:rPr>
                    <w:rPr>
                      <w:rFonts w:ascii="Cambria Math" w:hAnsi="Cambria Math" w:cs="Times New Roman"/>
                      <w:color w:val="0D0D0D"/>
                      <w:sz w:val="20"/>
                      <w:szCs w:val="20"/>
                      <w:shd w:val="clear" w:color="auto" w:fill="FFFFFF"/>
                    </w:rPr>
                    <m:t>κ</m:t>
                  </m:r>
                </m:e>
              </m:d>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f>
                    <m:fPr>
                      <m:type m:val="noBar"/>
                      <m:ctrlPr>
                        <w:rPr>
                          <w:rFonts w:ascii="Cambria Math" w:hAnsi="Cambria Math" w:cs="Times New Roman"/>
                          <w:i/>
                          <w:color w:val="0D0D0D"/>
                          <w:sz w:val="20"/>
                          <w:szCs w:val="20"/>
                          <w:shd w:val="clear" w:color="auto" w:fill="FFFFFF"/>
                        </w:rPr>
                      </m:ctrlPr>
                    </m:fPr>
                    <m:num>
                      <m:r>
                        <w:rPr>
                          <w:rFonts w:ascii="Cambria Math" w:hAnsi="Cambria Math" w:cs="Times New Roman"/>
                          <w:color w:val="0D0D0D"/>
                          <w:sz w:val="20"/>
                          <w:szCs w:val="20"/>
                          <w:shd w:val="clear" w:color="auto" w:fill="FFFFFF"/>
                        </w:rPr>
                        <m:t>n</m:t>
                      </m:r>
                    </m:num>
                    <m:den>
                      <m:r>
                        <w:rPr>
                          <w:rFonts w:ascii="Cambria Math" w:hAnsi="Cambria Math" w:cs="Times New Roman"/>
                          <w:color w:val="0D0D0D"/>
                          <w:sz w:val="20"/>
                          <w:szCs w:val="20"/>
                          <w:shd w:val="clear" w:color="auto" w:fill="FFFFFF"/>
                        </w:rPr>
                        <m:t>x</m:t>
                      </m:r>
                    </m:den>
                  </m:f>
                </m:e>
              </m:d>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x+a,n-x+b</m:t>
                      </m:r>
                    </m:e>
                  </m:d>
                  <m:ctrlPr>
                    <w:rPr>
                      <w:rFonts w:ascii="Cambria Math" w:hAnsi="Cambria Math" w:cs="Times New Roman"/>
                      <w:i/>
                      <w:color w:val="0D0D0D"/>
                      <w:sz w:val="20"/>
                      <w:szCs w:val="20"/>
                      <w:shd w:val="clear" w:color="auto" w:fill="FFFFFF"/>
                    </w:rPr>
                  </m:ctrlPr>
                </m:num>
                <m:den>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a,b</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12</m:t>
                  </m:r>
                </m:e>
              </m:d>
            </m:e>
          </m:eqArr>
        </m:oMath>
      </m:oMathPara>
    </w:p>
    <w:p w14:paraId="31083E4B" w14:textId="0851C929" w:rsidR="000B2196" w:rsidRDefault="00877A9C"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where</w:t>
      </w:r>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m:t>
            </m:r>
          </m:e>
        </m:d>
      </m:oMath>
      <w:r w:rsidR="000B2196">
        <w:rPr>
          <w:rFonts w:ascii="Times New Roman" w:hAnsi="Times New Roman" w:cs="Times New Roman"/>
          <w:color w:val="0D0D0D"/>
          <w:sz w:val="20"/>
          <w:szCs w:val="20"/>
          <w:shd w:val="clear" w:color="auto" w:fill="FFFFFF"/>
        </w:rPr>
        <w:t xml:space="preserve"> is the Beta function and </w:t>
      </w:r>
      <m:oMath>
        <m:r>
          <w:rPr>
            <w:rFonts w:ascii="Cambria Math" w:hAnsi="Cambria Math" w:cs="Times New Roman"/>
            <w:color w:val="0D0D0D"/>
            <w:sz w:val="20"/>
            <w:szCs w:val="20"/>
            <w:shd w:val="clear" w:color="auto" w:fill="FFFFFF"/>
          </w:rPr>
          <m:t>a=p</m:t>
        </m:r>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w:t>
      </w:r>
      <m:oMath>
        <m:r>
          <w:rPr>
            <w:rFonts w:ascii="Cambria Math" w:hAnsi="Cambria Math" w:cs="Times New Roman"/>
            <w:color w:val="0D0D0D"/>
            <w:sz w:val="20"/>
            <w:szCs w:val="20"/>
            <w:shd w:val="clear" w:color="auto" w:fill="FFFFFF"/>
          </w:rPr>
          <m:t>b=</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f>
              <m:fPr>
                <m:ctrlPr>
                  <w:rPr>
                    <w:rFonts w:ascii="Cambria Math" w:hAnsi="Cambria Math" w:cs="Times New Roman"/>
                    <w:color w:val="0D0D0D"/>
                    <w:sz w:val="20"/>
                    <w:szCs w:val="20"/>
                    <w:shd w:val="clear" w:color="auto" w:fill="FFFFFF"/>
                  </w:rPr>
                </m:ctrlPr>
              </m:fPr>
              <m:num>
                <m:r>
                  <w:rPr>
                    <w:rFonts w:ascii="Cambria Math" w:hAnsi="Cambria Math" w:cs="Times New Roman"/>
                    <w:color w:val="0D0D0D"/>
                    <w:sz w:val="20"/>
                    <w:szCs w:val="20"/>
                    <w:shd w:val="clear" w:color="auto" w:fill="FFFFFF"/>
                  </w:rPr>
                  <m:t>1-</m:t>
                </m:r>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num>
              <m:den>
                <m:r>
                  <m:rPr>
                    <m:sty m:val="p"/>
                  </m:rPr>
                  <w:rPr>
                    <w:rFonts w:ascii="Cambria Math" w:hAnsi="Cambria Math" w:cs="Times New Roman"/>
                    <w:color w:val="0D0D0D"/>
                    <w:sz w:val="20"/>
                    <w:szCs w:val="20"/>
                    <w:shd w:val="clear" w:color="auto" w:fill="FFFFFF"/>
                  </w:rPr>
                  <m:t>κ</m:t>
                </m:r>
                <m:ctrlPr>
                  <w:rPr>
                    <w:rFonts w:ascii="Cambria Math" w:hAnsi="Cambria Math" w:cs="Times New Roman"/>
                    <w:i/>
                    <w:color w:val="0D0D0D"/>
                    <w:sz w:val="20"/>
                    <w:szCs w:val="20"/>
                    <w:shd w:val="clear" w:color="auto" w:fill="FFFFFF"/>
                  </w:rPr>
                </m:ctrlPr>
              </m:den>
            </m:f>
          </m:e>
        </m:d>
      </m:oMath>
      <w:r w:rsidR="000B2196">
        <w:rPr>
          <w:rFonts w:ascii="Times New Roman" w:hAnsi="Times New Roman" w:cs="Times New Roman"/>
          <w:color w:val="0D0D0D"/>
          <w:sz w:val="20"/>
          <w:szCs w:val="20"/>
          <w:shd w:val="clear" w:color="auto" w:fill="FFFFFF"/>
        </w:rPr>
        <w:t xml:space="preserve">. Under the Beta-Binomial distribution, the mean and variance of </w:t>
      </w:r>
      <m:oMath>
        <m:r>
          <w:rPr>
            <w:rFonts w:ascii="Cambria Math" w:hAnsi="Cambria Math" w:cs="Times New Roman"/>
            <w:color w:val="0D0D0D"/>
            <w:sz w:val="20"/>
            <w:szCs w:val="20"/>
            <w:shd w:val="clear" w:color="auto" w:fill="FFFFFF"/>
          </w:rPr>
          <m:t>X</m:t>
        </m:r>
      </m:oMath>
      <w:r w:rsidR="000B2196">
        <w:rPr>
          <w:rFonts w:ascii="Times New Roman" w:hAnsi="Times New Roman" w:cs="Times New Roman"/>
          <w:color w:val="0D0D0D"/>
          <w:sz w:val="20"/>
          <w:szCs w:val="20"/>
          <w:shd w:val="clear" w:color="auto" w:fill="FFFFFF"/>
        </w:rPr>
        <w:t xml:space="preserve"> are </w:t>
      </w:r>
      <m:oMath>
        <m:r>
          <w:rPr>
            <w:rFonts w:ascii="Cambria Math" w:hAnsi="Cambria Math" w:cs="Times New Roman"/>
            <w:color w:val="0D0D0D"/>
            <w:sz w:val="20"/>
            <w:szCs w:val="20"/>
            <w:shd w:val="clear" w:color="auto" w:fill="FFFFFF"/>
          </w:rPr>
          <m:t>E</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oMath>
      <w:r w:rsidR="000B2196">
        <w:rPr>
          <w:rFonts w:ascii="Times New Roman" w:hAnsi="Times New Roman" w:cs="Times New Roman"/>
          <w:color w:val="0D0D0D"/>
          <w:sz w:val="20"/>
          <w:szCs w:val="20"/>
          <w:shd w:val="clear" w:color="auto" w:fill="FFFFFF"/>
        </w:rPr>
        <w:t xml:space="preserve"> and </w:t>
      </w:r>
      <m:oMath>
        <m:r>
          <w:rPr>
            <w:rFonts w:ascii="Cambria Math" w:hAnsi="Cambria Math" w:cs="Times New Roman"/>
            <w:color w:val="0D0D0D"/>
            <w:sz w:val="20"/>
            <w:szCs w:val="20"/>
            <w:shd w:val="clear" w:color="auto" w:fill="FFFFFF"/>
          </w:rPr>
          <m:t>Var</m:t>
        </m:r>
        <m:d>
          <m:dPr>
            <m:begChr m:val="["/>
            <m:endChr m:val="]"/>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X</m:t>
            </m:r>
          </m:e>
        </m:d>
        <m:r>
          <w:rPr>
            <w:rFonts w:ascii="Cambria Math" w:hAnsi="Cambria Math" w:cs="Times New Roman"/>
            <w:color w:val="0D0D0D"/>
            <w:sz w:val="20"/>
            <w:szCs w:val="20"/>
            <w:shd w:val="clear" w:color="auto" w:fill="FFFFFF"/>
          </w:rPr>
          <m:t>=np</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1-p</m:t>
            </m:r>
          </m:e>
        </m:d>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n-1</m:t>
                </m:r>
              </m:e>
            </m:d>
            <m:r>
              <m:rPr>
                <m:sty m:val="p"/>
              </m:rPr>
              <w:rPr>
                <w:rFonts w:ascii="Cambria Math" w:hAnsi="Cambria Math" w:cs="Times New Roman"/>
                <w:color w:val="0D0D0D"/>
                <w:sz w:val="20"/>
                <w:szCs w:val="20"/>
                <w:shd w:val="clear" w:color="auto" w:fill="FFFFFF"/>
              </w:rPr>
              <m:t>κ</m:t>
            </m:r>
          </m:e>
        </m:d>
      </m:oMath>
      <w:r w:rsidR="00EE4B38">
        <w:rPr>
          <w:rFonts w:ascii="Times New Roman" w:hAnsi="Times New Roman" w:cs="Times New Roman"/>
          <w:color w:val="0D0D0D"/>
          <w:sz w:val="20"/>
          <w:szCs w:val="20"/>
          <w:shd w:val="clear" w:color="auto" w:fill="FFFFFF"/>
        </w:rPr>
        <w:t xml:space="preserve"> respectively.</w:t>
      </w:r>
    </w:p>
    <w:p w14:paraId="1EA6A0DE" w14:textId="77777777"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t xml:space="preserve">The model-predicted probability that a diagnosis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xml:space="preserve"> was symptomatic is </w:t>
      </w:r>
    </w:p>
    <w:p w14:paraId="72655DE5" w14:textId="6DFDB8DA" w:rsidR="00EE4B38" w:rsidRDefault="00EE4B38" w:rsidP="00373D9B">
      <w:pPr>
        <w:spacing w:line="276" w:lineRule="auto"/>
        <w:jc w:val="both"/>
        <w:rPr>
          <w:rFonts w:ascii="Times New Roman" w:hAnsi="Times New Roman" w:cs="Times New Roman"/>
          <w:color w:val="0D0D0D"/>
          <w:sz w:val="20"/>
          <w:szCs w:val="20"/>
          <w:shd w:val="clear" w:color="auto" w:fill="FFFFFF"/>
        </w:rPr>
      </w:pPr>
      <m:oMathPara>
        <m:oMath>
          <m:eqArr>
            <m:eqArrPr>
              <m:maxDist m:val="1"/>
              <m:ctrlPr>
                <w:rPr>
                  <w:rFonts w:ascii="Cambria Math" w:hAnsi="Cambria Math" w:cs="Times New Roman"/>
                  <w:i/>
                  <w:color w:val="0D0D0D"/>
                  <w:sz w:val="20"/>
                  <w:szCs w:val="20"/>
                  <w:shd w:val="clear" w:color="auto" w:fill="FFFFFF"/>
                </w:rPr>
              </m:ctrlPr>
            </m:eqArrPr>
            <m:e>
              <m:f>
                <m:fPr>
                  <m:ctrlPr>
                    <w:rPr>
                      <w:rFonts w:ascii="Cambria Math" w:hAnsi="Cambria Math" w:cs="Times New Roman"/>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ctrlPr>
                    <w:rPr>
                      <w:rFonts w:ascii="Cambria Math" w:hAnsi="Cambria Math" w:cs="Times New Roman"/>
                      <w:i/>
                      <w:color w:val="0D0D0D"/>
                      <w:sz w:val="20"/>
                      <w:szCs w:val="20"/>
                      <w:shd w:val="clear" w:color="auto" w:fill="FFFFFF"/>
                    </w:rPr>
                  </m:ctrlPr>
                </m:den>
              </m:f>
              <m:r>
                <w:rPr>
                  <w:rFonts w:ascii="Cambria Math" w:hAnsi="Cambria Math" w:cs="Times New Roman"/>
                  <w:color w:val="0D0D0D"/>
                  <w:sz w:val="20"/>
                  <w:szCs w:val="20"/>
                  <w:shd w:val="clear" w:color="auto" w:fill="FFFFFF"/>
                </w:rPr>
                <m:t>,#</m:t>
              </m:r>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13</m:t>
                  </m:r>
                </m:e>
              </m:d>
            </m:e>
          </m:eqArr>
        </m:oMath>
      </m:oMathPara>
    </w:p>
    <w:p w14:paraId="78599312" w14:textId="01B55053" w:rsidR="00EE4B38" w:rsidRDefault="00EE4B38" w:rsidP="00373D9B">
      <w:pPr>
        <w:spacing w:line="276" w:lineRule="auto"/>
        <w:jc w:val="both"/>
        <w:rPr>
          <w:rFonts w:ascii="Times New Roman" w:hAnsi="Times New Roman" w:cs="Times New Roman"/>
          <w:color w:val="0D0D0D"/>
          <w:sz w:val="20"/>
          <w:szCs w:val="20"/>
          <w:shd w:val="clear" w:color="auto" w:fill="FFFFFF"/>
        </w:rPr>
      </w:pPr>
      <w:r>
        <w:rPr>
          <w:rFonts w:ascii="Times New Roman" w:hAnsi="Times New Roman" w:cs="Times New Roman"/>
          <w:color w:val="0D0D0D"/>
          <w:sz w:val="20"/>
          <w:szCs w:val="20"/>
          <w:shd w:val="clear" w:color="auto" w:fill="FFFFFF"/>
        </w:rPr>
        <w:lastRenderedPageBreak/>
        <w:t xml:space="preserve">where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w:t>
      </w:r>
      <m:oMath>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oMath>
      <w:r>
        <w:rPr>
          <w:rFonts w:ascii="Times New Roman" w:hAnsi="Times New Roman" w:cs="Times New Roman"/>
          <w:color w:val="0D0D0D"/>
          <w:sz w:val="20"/>
          <w:szCs w:val="20"/>
          <w:shd w:val="clear" w:color="auto" w:fill="FFFFFF"/>
        </w:rPr>
        <w:t xml:space="preserve"> and the number of symptomatic and asymptomatic diagnoses in year </w:t>
      </w:r>
      <m:oMath>
        <m:r>
          <w:rPr>
            <w:rFonts w:ascii="Cambria Math" w:hAnsi="Cambria Math" w:cs="Times New Roman"/>
            <w:color w:val="0D0D0D"/>
            <w:sz w:val="20"/>
            <w:szCs w:val="20"/>
            <w:shd w:val="clear" w:color="auto" w:fill="FFFFFF"/>
          </w:rPr>
          <m:t>t</m:t>
        </m:r>
      </m:oMath>
      <w:r>
        <w:rPr>
          <w:rFonts w:ascii="Times New Roman" w:hAnsi="Times New Roman" w:cs="Times New Roman"/>
          <w:color w:val="0D0D0D"/>
          <w:sz w:val="20"/>
          <w:szCs w:val="20"/>
          <w:shd w:val="clear" w:color="auto" w:fill="FFFFFF"/>
        </w:rPr>
        <w:t>, respectively, as follows:</w:t>
      </w:r>
    </w:p>
    <w:p w14:paraId="1ACB1A93" w14:textId="48BB77FE" w:rsidR="00877A9C" w:rsidRPr="00877A9C" w:rsidRDefault="00877A9C"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r>
                            <w:rPr>
                              <w:rFonts w:ascii="Cambria Math" w:hAnsi="Cambria Math" w:cs="Times New Roman"/>
                              <w:color w:val="0D0D0D"/>
                              <w:sz w:val="20"/>
                              <w:szCs w:val="20"/>
                              <w:shd w:val="clear" w:color="auto" w:fill="FFFFFF"/>
                              <w:lang w:val="en-US"/>
                            </w:rPr>
                            <m:t>μ</m:t>
                          </m:r>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S</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14</m:t>
                  </m:r>
                </m:e>
              </m:d>
            </m:e>
          </m:eqArr>
          <m:r>
            <w:rPr>
              <w:rFonts w:ascii="Times New Roman" w:hAnsi="Times New Roman" w:cs="Times New Roman"/>
              <w:i/>
              <w:color w:val="0D0D0D"/>
              <w:sz w:val="20"/>
              <w:szCs w:val="20"/>
              <w:shd w:val="clear" w:color="auto" w:fill="FFFFFF"/>
              <w:lang w:val="en-US"/>
            </w:rPr>
            <w:br/>
          </m:r>
        </m:oMath>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Y</m:t>
                  </m:r>
                </m:e>
                <m:sub>
                  <m:r>
                    <w:rPr>
                      <w:rFonts w:ascii="Cambria Math" w:hAnsi="Cambria Math" w:cs="Times New Roman"/>
                      <w:color w:val="0D0D0D"/>
                      <w:sz w:val="20"/>
                      <w:szCs w:val="20"/>
                      <w:shd w:val="clear" w:color="auto" w:fill="FFFFFF"/>
                      <w:lang w:val="en-US"/>
                    </w:rPr>
                    <m:t>A</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nary>
                <m:naryPr>
                  <m:chr m:val="∑"/>
                  <m:limLoc m:val="undOvr"/>
                  <m:supHide m:val="1"/>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j∈</m:t>
                  </m:r>
                  <m:d>
                    <m:dPr>
                      <m:begChr m:val="{"/>
                      <m:endChr m:val="}"/>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L,H</m:t>
                      </m:r>
                    </m:e>
                  </m:d>
                </m:sub>
                <m:sup/>
                <m:e>
                  <m:d>
                    <m:dPr>
                      <m:ctrlPr>
                        <w:rPr>
                          <w:rFonts w:ascii="Cambria Math" w:hAnsi="Cambria Math" w:cs="Times New Roman"/>
                          <w:i/>
                          <w:color w:val="0D0D0D"/>
                          <w:sz w:val="20"/>
                          <w:szCs w:val="20"/>
                          <w:shd w:val="clear" w:color="auto" w:fill="FFFFFF"/>
                          <w:lang w:val="en-US"/>
                        </w:rPr>
                      </m:ctrlPr>
                    </m:dPr>
                    <m:e>
                      <m:nary>
                        <m:naryPr>
                          <m:limLoc m:val="subSup"/>
                          <m:ctrlPr>
                            <w:rPr>
                              <w:rFonts w:ascii="Cambria Math" w:hAnsi="Cambria Math" w:cs="Times New Roman"/>
                              <w:i/>
                              <w:color w:val="0D0D0D"/>
                              <w:sz w:val="20"/>
                              <w:szCs w:val="20"/>
                              <w:shd w:val="clear" w:color="auto" w:fill="FFFFFF"/>
                              <w:lang w:val="en-US"/>
                            </w:rPr>
                          </m:ctrlPr>
                        </m:naryPr>
                        <m:sub>
                          <m:r>
                            <w:rPr>
                              <w:rFonts w:ascii="Cambria Math" w:hAnsi="Cambria Math" w:cs="Times New Roman"/>
                              <w:color w:val="0D0D0D"/>
                              <w:sz w:val="20"/>
                              <w:szCs w:val="20"/>
                              <w:shd w:val="clear" w:color="auto" w:fill="FFFFFF"/>
                              <w:lang w:val="en-US"/>
                            </w:rPr>
                            <m:t>t</m:t>
                          </m:r>
                        </m:sub>
                        <m:sup>
                          <m:r>
                            <w:rPr>
                              <w:rFonts w:ascii="Cambria Math" w:hAnsi="Cambria Math" w:cs="Times New Roman"/>
                              <w:color w:val="0D0D0D"/>
                              <w:sz w:val="20"/>
                              <w:szCs w:val="20"/>
                              <w:shd w:val="clear" w:color="auto" w:fill="FFFFFF"/>
                              <w:lang w:val="en-US"/>
                            </w:rPr>
                            <m:t>t+1</m:t>
                          </m:r>
                        </m:sup>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η</m:t>
                              </m:r>
                            </m:e>
                            <m:sub>
                              <m:r>
                                <w:rPr>
                                  <w:rFonts w:ascii="Cambria Math" w:hAnsi="Cambria Math" w:cs="Times New Roman"/>
                                  <w:color w:val="0D0D0D"/>
                                  <w:sz w:val="20"/>
                                  <w:szCs w:val="20"/>
                                  <w:shd w:val="clear" w:color="auto" w:fill="FFFFFF"/>
                                  <w:lang w:val="en-US"/>
                                </w:rPr>
                                <m:t>j</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d>
                            <m:dPr>
                              <m:ctrlPr>
                                <w:rPr>
                                  <w:rFonts w:ascii="Cambria Math" w:hAnsi="Cambria Math" w:cs="Times New Roman"/>
                                  <w:i/>
                                  <w:color w:val="0D0D0D"/>
                                  <w:sz w:val="20"/>
                                  <w:szCs w:val="20"/>
                                  <w:shd w:val="clear" w:color="auto" w:fill="FFFFFF"/>
                                  <w:lang w:val="en-US"/>
                                </w:rPr>
                              </m:ctrlPr>
                            </m:dPr>
                            <m:e>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0</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c</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t</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r>
                                <w:rPr>
                                  <w:rFonts w:ascii="Cambria Math" w:hAnsi="Cambria Math" w:cs="Times New Roman"/>
                                  <w:color w:val="0D0D0D"/>
                                  <w:sz w:val="20"/>
                                  <w:szCs w:val="20"/>
                                  <w:shd w:val="clear" w:color="auto" w:fill="FFFFFF"/>
                                  <w:lang w:val="en-US"/>
                                </w:rPr>
                                <m:t>+</m:t>
                              </m:r>
                              <m:sSubSup>
                                <m:sSubSupPr>
                                  <m:ctrlPr>
                                    <w:rPr>
                                      <w:rFonts w:ascii="Cambria Math" w:hAnsi="Cambria Math" w:cs="Times New Roman"/>
                                      <w:i/>
                                      <w:color w:val="0D0D0D"/>
                                      <w:sz w:val="20"/>
                                      <w:szCs w:val="20"/>
                                      <w:shd w:val="clear" w:color="auto" w:fill="FFFFFF"/>
                                      <w:lang w:val="en-US"/>
                                    </w:rPr>
                                  </m:ctrlPr>
                                </m:sSubSupPr>
                                <m:e>
                                  <m:r>
                                    <w:rPr>
                                      <w:rFonts w:ascii="Cambria Math" w:hAnsi="Cambria Math" w:cs="Times New Roman"/>
                                      <w:color w:val="0D0D0D"/>
                                      <w:sz w:val="20"/>
                                      <w:szCs w:val="20"/>
                                      <w:shd w:val="clear" w:color="auto" w:fill="FFFFFF"/>
                                      <w:lang w:val="en-US"/>
                                    </w:rPr>
                                    <m:t>A</m:t>
                                  </m:r>
                                </m:e>
                                <m:sub>
                                  <m:r>
                                    <w:rPr>
                                      <w:rFonts w:ascii="Cambria Math" w:hAnsi="Cambria Math" w:cs="Times New Roman"/>
                                      <w:color w:val="0D0D0D"/>
                                      <w:sz w:val="20"/>
                                      <w:szCs w:val="20"/>
                                      <w:shd w:val="clear" w:color="auto" w:fill="FFFFFF"/>
                                      <w:lang w:val="en-US"/>
                                    </w:rPr>
                                    <m:t>j</m:t>
                                  </m:r>
                                </m:sub>
                                <m:sup>
                                  <m:r>
                                    <w:rPr>
                                      <w:rFonts w:ascii="Cambria Math" w:hAnsi="Cambria Math" w:cs="Times New Roman"/>
                                      <w:color w:val="0D0D0D"/>
                                      <w:sz w:val="20"/>
                                      <w:szCs w:val="20"/>
                                      <w:shd w:val="clear" w:color="auto" w:fill="FFFFFF"/>
                                      <w:lang w:val="en-US"/>
                                    </w:rPr>
                                    <m:t>d2</m:t>
                                  </m:r>
                                </m:sup>
                              </m:sSubSup>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τ</m:t>
                                  </m:r>
                                </m:e>
                              </m:d>
                            </m:e>
                          </m:d>
                          <m:r>
                            <w:rPr>
                              <w:rFonts w:ascii="Cambria Math" w:hAnsi="Cambria Math" w:cs="Times New Roman"/>
                              <w:color w:val="0D0D0D"/>
                              <w:sz w:val="20"/>
                              <w:szCs w:val="20"/>
                              <w:shd w:val="clear" w:color="auto" w:fill="FFFFFF"/>
                              <w:lang w:val="en-US"/>
                            </w:rPr>
                            <m:t>dτ</m:t>
                          </m:r>
                        </m:e>
                      </m:nary>
                    </m:e>
                  </m:d>
                </m:e>
              </m:nary>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15</m:t>
                  </m:r>
                </m:e>
              </m:d>
            </m:e>
          </m:eqArr>
        </m:oMath>
      </m:oMathPara>
    </w:p>
    <w:p w14:paraId="55CAC18B" w14:textId="75561A94" w:rsidR="00877A9C" w:rsidRDefault="00877A9C" w:rsidP="00373D9B">
      <w:pPr>
        <w:spacing w:line="276" w:lineRule="auto"/>
        <w:jc w:val="both"/>
        <w:rPr>
          <w:rFonts w:ascii="Times New Roman" w:hAnsi="Times New Roman" w:cs="Times New Roman"/>
          <w:color w:val="0D0D0D"/>
          <w:sz w:val="20"/>
          <w:szCs w:val="20"/>
          <w:shd w:val="clear" w:color="auto" w:fill="FFFFFF"/>
          <w:lang w:val="en-US"/>
        </w:rPr>
      </w:pPr>
      <w:r>
        <w:rPr>
          <w:rFonts w:ascii="Times New Roman" w:hAnsi="Times New Roman" w:cs="Times New Roman"/>
          <w:iCs/>
          <w:color w:val="0D0D0D"/>
          <w:sz w:val="20"/>
          <w:szCs w:val="20"/>
          <w:shd w:val="clear" w:color="auto" w:fill="FFFFFF"/>
          <w:lang w:val="en-US"/>
        </w:rPr>
        <w:t>We model</w:t>
      </w:r>
      <w:r w:rsidR="00F5221A">
        <w:rPr>
          <w:rFonts w:ascii="Times New Roman" w:hAnsi="Times New Roman" w:cs="Times New Roman"/>
          <w:iCs/>
          <w:color w:val="0D0D0D"/>
          <w:sz w:val="20"/>
          <w:szCs w:val="20"/>
          <w:shd w:val="clear" w:color="auto" w:fill="FFFFFF"/>
          <w:lang w:val="en-US"/>
        </w:rPr>
        <w:t>l</w:t>
      </w:r>
      <w:r>
        <w:rPr>
          <w:rFonts w:ascii="Times New Roman" w:hAnsi="Times New Roman" w:cs="Times New Roman"/>
          <w:iCs/>
          <w:color w:val="0D0D0D"/>
          <w:sz w:val="20"/>
          <w:szCs w:val="20"/>
          <w:shd w:val="clear" w:color="auto" w:fill="FFFFFF"/>
          <w:lang w:val="en-US"/>
        </w:rPr>
        <w:t xml:space="preserve">ed </w:t>
      </w:r>
      <w:r w:rsidR="00F5221A">
        <w:rPr>
          <w:rFonts w:ascii="Times New Roman" w:hAnsi="Times New Roman" w:cs="Times New Roman"/>
          <w:iCs/>
          <w:color w:val="0D0D0D"/>
          <w:sz w:val="20"/>
          <w:szCs w:val="20"/>
          <w:shd w:val="clear" w:color="auto" w:fill="FFFFFF"/>
          <w:lang w:val="en-US"/>
        </w:rPr>
        <w:t xml:space="preserve">the number of symptomatic diagnoses in GRASP, accounting for the size of the GRASP sample,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oMath>
      <w:r w:rsidR="00F5221A">
        <w:rPr>
          <w:rFonts w:ascii="Times New Roman" w:hAnsi="Times New Roman" w:cs="Times New Roman"/>
          <w:iCs/>
          <w:color w:val="0D0D0D"/>
          <w:sz w:val="20"/>
          <w:szCs w:val="20"/>
          <w:shd w:val="clear" w:color="auto" w:fill="FFFFFF"/>
          <w:lang w:val="en-US"/>
        </w:rPr>
        <w:t xml:space="preserve">, and fitted the shape parameter for the GRASP dataset,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oMath>
      <w:r w:rsidR="00F5221A">
        <w:rPr>
          <w:rFonts w:ascii="Times New Roman" w:hAnsi="Times New Roman" w:cs="Times New Roman"/>
          <w:color w:val="0D0D0D"/>
          <w:sz w:val="20"/>
          <w:szCs w:val="20"/>
          <w:shd w:val="clear" w:color="auto" w:fill="FFFFFF"/>
          <w:lang w:val="en-US"/>
        </w:rPr>
        <w:t>, within the Bayesian framework:</w:t>
      </w:r>
    </w:p>
    <w:p w14:paraId="12E230CF" w14:textId="2161DA68" w:rsidR="00F5221A" w:rsidRPr="00F5221A" w:rsidRDefault="00F5221A" w:rsidP="00373D9B">
      <w:pPr>
        <w:spacing w:line="276" w:lineRule="auto"/>
        <w:jc w:val="both"/>
        <w:rPr>
          <w:rFonts w:ascii="Times New Roman" w:hAnsi="Times New Roman" w:cs="Times New Roman"/>
          <w:i/>
          <w:color w:val="0D0D0D"/>
          <w:sz w:val="20"/>
          <w:szCs w:val="20"/>
          <w:shd w:val="clear" w:color="auto" w:fill="FFFFFF"/>
          <w:lang w:val="en-US"/>
        </w:rPr>
      </w:pPr>
      <m:oMathPara>
        <m:oMath>
          <m:eqArr>
            <m:eqArrPr>
              <m:maxDist m:val="1"/>
              <m:ctrlPr>
                <w:rPr>
                  <w:rFonts w:ascii="Cambria Math" w:hAnsi="Cambria Math" w:cs="Times New Roman"/>
                  <w:i/>
                  <w:color w:val="0D0D0D"/>
                  <w:sz w:val="20"/>
                  <w:szCs w:val="20"/>
                  <w:shd w:val="clear" w:color="auto" w:fill="FFFFFF"/>
                  <w:lang w:val="en-US"/>
                </w:rPr>
              </m:ctrlPr>
            </m:eqArr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S</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~BetaBinom</m:t>
              </m:r>
              <m:d>
                <m:dPr>
                  <m:ctrlPr>
                    <w:rPr>
                      <w:rFonts w:ascii="Cambria Math" w:hAnsi="Cambria Math" w:cs="Times New Roman"/>
                      <w:i/>
                      <w:color w:val="0D0D0D"/>
                      <w:sz w:val="20"/>
                      <w:szCs w:val="20"/>
                      <w:shd w:val="clear" w:color="auto" w:fill="FFFFFF"/>
                      <w:lang w:val="en-US"/>
                    </w:rPr>
                  </m:ctrlPr>
                </m:dPr>
                <m:e>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Z</m:t>
                      </m:r>
                    </m:e>
                    <m:sub>
                      <m:r>
                        <w:rPr>
                          <w:rFonts w:ascii="Cambria Math" w:hAnsi="Cambria Math" w:cs="Times New Roman"/>
                          <w:color w:val="0D0D0D"/>
                          <w:sz w:val="20"/>
                          <w:szCs w:val="20"/>
                          <w:shd w:val="clear" w:color="auto" w:fill="FFFFFF"/>
                          <w:lang w:val="en-US"/>
                        </w:rPr>
                        <m:t>R</m:t>
                      </m:r>
                    </m:sub>
                  </m:sSub>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t</m:t>
                      </m:r>
                    </m:e>
                  </m:d>
                  <m:r>
                    <w:rPr>
                      <w:rFonts w:ascii="Cambria Math" w:hAnsi="Cambria Math" w:cs="Times New Roman"/>
                      <w:color w:val="0D0D0D"/>
                      <w:sz w:val="20"/>
                      <w:szCs w:val="20"/>
                      <w:shd w:val="clear" w:color="auto" w:fill="FFFFFF"/>
                      <w:lang w:val="en-US"/>
                    </w:rPr>
                    <m:t>,</m:t>
                  </m:r>
                  <m:sSub>
                    <m:sSubPr>
                      <m:ctrlPr>
                        <w:rPr>
                          <w:rFonts w:ascii="Cambria Math" w:hAnsi="Cambria Math" w:cs="Times New Roman"/>
                          <w:i/>
                          <w:color w:val="0D0D0D"/>
                          <w:sz w:val="20"/>
                          <w:szCs w:val="20"/>
                          <w:shd w:val="clear" w:color="auto" w:fill="FFFFFF"/>
                          <w:lang w:val="en-US"/>
                        </w:rPr>
                      </m:ctrlPr>
                    </m:sSubPr>
                    <m:e>
                      <m:f>
                        <m:fPr>
                          <m:ctrlPr>
                            <w:rPr>
                              <w:rFonts w:ascii="Cambria Math" w:hAnsi="Cambria Math" w:cs="Times New Roman"/>
                              <w:i/>
                              <w:color w:val="0D0D0D"/>
                              <w:sz w:val="20"/>
                              <w:szCs w:val="20"/>
                              <w:shd w:val="clear" w:color="auto" w:fill="FFFFFF"/>
                            </w:rPr>
                          </m:ctrlPr>
                        </m:fPr>
                        <m:num>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num>
                        <m:den>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S</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r>
                            <w:rPr>
                              <w:rFonts w:ascii="Cambria Math" w:hAnsi="Cambria Math" w:cs="Times New Roman"/>
                              <w:color w:val="0D0D0D"/>
                              <w:sz w:val="20"/>
                              <w:szCs w:val="20"/>
                              <w:shd w:val="clear" w:color="auto" w:fill="FFFFFF"/>
                            </w:rPr>
                            <m:t>+</m:t>
                          </m:r>
                          <m:sSub>
                            <m:sSubPr>
                              <m:ctrlPr>
                                <w:rPr>
                                  <w:rFonts w:ascii="Cambria Math" w:hAnsi="Cambria Math" w:cs="Times New Roman"/>
                                  <w:i/>
                                  <w:color w:val="0D0D0D"/>
                                  <w:sz w:val="20"/>
                                  <w:szCs w:val="20"/>
                                  <w:shd w:val="clear" w:color="auto" w:fill="FFFFFF"/>
                                </w:rPr>
                              </m:ctrlPr>
                            </m:sSubPr>
                            <m:e>
                              <m:r>
                                <w:rPr>
                                  <w:rFonts w:ascii="Cambria Math" w:hAnsi="Cambria Math" w:cs="Times New Roman"/>
                                  <w:color w:val="0D0D0D"/>
                                  <w:sz w:val="20"/>
                                  <w:szCs w:val="20"/>
                                  <w:shd w:val="clear" w:color="auto" w:fill="FFFFFF"/>
                                </w:rPr>
                                <m:t>Y</m:t>
                              </m:r>
                            </m:e>
                            <m:sub>
                              <m:r>
                                <w:rPr>
                                  <w:rFonts w:ascii="Cambria Math" w:hAnsi="Cambria Math" w:cs="Times New Roman"/>
                                  <w:color w:val="0D0D0D"/>
                                  <w:sz w:val="20"/>
                                  <w:szCs w:val="20"/>
                                  <w:shd w:val="clear" w:color="auto" w:fill="FFFFFF"/>
                                </w:rPr>
                                <m:t>A</m:t>
                              </m:r>
                            </m:sub>
                          </m:sSub>
                          <m:d>
                            <m:dPr>
                              <m:ctrlPr>
                                <w:rPr>
                                  <w:rFonts w:ascii="Cambria Math" w:hAnsi="Cambria Math" w:cs="Times New Roman"/>
                                  <w:i/>
                                  <w:color w:val="0D0D0D"/>
                                  <w:sz w:val="20"/>
                                  <w:szCs w:val="20"/>
                                  <w:shd w:val="clear" w:color="auto" w:fill="FFFFFF"/>
                                </w:rPr>
                              </m:ctrlPr>
                            </m:dPr>
                            <m:e>
                              <m:r>
                                <w:rPr>
                                  <w:rFonts w:ascii="Cambria Math" w:hAnsi="Cambria Math" w:cs="Times New Roman"/>
                                  <w:color w:val="0D0D0D"/>
                                  <w:sz w:val="20"/>
                                  <w:szCs w:val="20"/>
                                  <w:shd w:val="clear" w:color="auto" w:fill="FFFFFF"/>
                                </w:rPr>
                                <m:t>t</m:t>
                              </m:r>
                            </m:e>
                          </m:d>
                        </m:den>
                      </m:f>
                      <m:r>
                        <w:rPr>
                          <w:rFonts w:ascii="Cambria Math" w:hAnsi="Cambria Math" w:cs="Times New Roman"/>
                          <w:color w:val="0D0D0D"/>
                          <w:sz w:val="20"/>
                          <w:szCs w:val="20"/>
                          <w:shd w:val="clear" w:color="auto" w:fill="FFFFFF"/>
                          <w:lang w:val="en-US"/>
                        </w:rPr>
                        <m:t>,κ</m:t>
                      </m:r>
                    </m:e>
                    <m:sub>
                      <m:r>
                        <w:rPr>
                          <w:rFonts w:ascii="Cambria Math" w:hAnsi="Cambria Math" w:cs="Times New Roman"/>
                          <w:color w:val="0D0D0D"/>
                          <w:sz w:val="20"/>
                          <w:szCs w:val="20"/>
                          <w:shd w:val="clear" w:color="auto" w:fill="FFFFFF"/>
                          <w:lang w:val="en-US"/>
                        </w:rPr>
                        <m:t>S</m:t>
                      </m:r>
                    </m:sub>
                  </m:sSub>
                </m:e>
              </m:d>
              <m:r>
                <w:rPr>
                  <w:rFonts w:ascii="Cambria Math" w:hAnsi="Cambria Math" w:cs="Times New Roman"/>
                  <w:color w:val="0D0D0D"/>
                  <w:sz w:val="20"/>
                  <w:szCs w:val="20"/>
                  <w:shd w:val="clear" w:color="auto" w:fill="FFFFFF"/>
                  <w:lang w:val="en-US"/>
                </w:rPr>
                <m:t>#</m:t>
              </m:r>
              <m:d>
                <m:dPr>
                  <m:ctrlPr>
                    <w:rPr>
                      <w:rFonts w:ascii="Cambria Math" w:hAnsi="Cambria Math" w:cs="Times New Roman"/>
                      <w:i/>
                      <w:color w:val="0D0D0D"/>
                      <w:sz w:val="20"/>
                      <w:szCs w:val="20"/>
                      <w:shd w:val="clear" w:color="auto" w:fill="FFFFFF"/>
                      <w:lang w:val="en-US"/>
                    </w:rPr>
                  </m:ctrlPr>
                </m:dPr>
                <m:e>
                  <m:r>
                    <w:rPr>
                      <w:rFonts w:ascii="Cambria Math" w:hAnsi="Cambria Math" w:cs="Times New Roman"/>
                      <w:color w:val="0D0D0D"/>
                      <w:sz w:val="20"/>
                      <w:szCs w:val="20"/>
                      <w:shd w:val="clear" w:color="auto" w:fill="FFFFFF"/>
                      <w:lang w:val="en-US"/>
                    </w:rPr>
                    <m:t>16</m:t>
                  </m:r>
                </m:e>
              </m:d>
            </m:e>
          </m:eqArr>
        </m:oMath>
      </m:oMathPara>
    </w:p>
    <w:p w14:paraId="0C57FEA2" w14:textId="4F60EB91" w:rsidR="00373D9B" w:rsidRPr="000B2196" w:rsidRDefault="00373D9B" w:rsidP="00373D9B">
      <w:pPr>
        <w:spacing w:line="276" w:lineRule="auto"/>
        <w:jc w:val="both"/>
        <w:rPr>
          <w:rFonts w:ascii="Times New Roman" w:hAnsi="Times New Roman" w:cs="Times New Roman"/>
          <w:color w:val="0D0D0D"/>
          <w:sz w:val="20"/>
          <w:szCs w:val="20"/>
          <w:shd w:val="clear" w:color="auto" w:fill="FFFFFF"/>
        </w:rPr>
      </w:pPr>
      <w:r w:rsidRPr="002D7CDC">
        <w:rPr>
          <w:rFonts w:ascii="Times New Roman" w:hAnsi="Times New Roman" w:cs="Times New Roman"/>
          <w:color w:val="0D0D0D"/>
          <w:sz w:val="20"/>
          <w:szCs w:val="20"/>
          <w:shd w:val="clear" w:color="auto" w:fill="FFFFFF"/>
          <w:lang w:val="en-US"/>
        </w:rPr>
        <w:t xml:space="preserve">The </w:t>
      </w:r>
      <w:r>
        <w:rPr>
          <w:rFonts w:ascii="Times New Roman" w:hAnsi="Times New Roman" w:cs="Times New Roman"/>
          <w:color w:val="0D0D0D"/>
          <w:sz w:val="20"/>
          <w:szCs w:val="20"/>
          <w:shd w:val="clear" w:color="auto" w:fill="FFFFFF"/>
          <w:lang w:val="en-US"/>
        </w:rPr>
        <w:t xml:space="preserve">overall </w:t>
      </w:r>
      <w:r w:rsidRPr="002D7CDC">
        <w:rPr>
          <w:rFonts w:ascii="Times New Roman" w:hAnsi="Times New Roman" w:cs="Times New Roman"/>
          <w:color w:val="0D0D0D"/>
          <w:sz w:val="20"/>
          <w:szCs w:val="20"/>
          <w:shd w:val="clear" w:color="auto" w:fill="FFFFFF"/>
          <w:lang w:val="en-US"/>
        </w:rPr>
        <w:t xml:space="preserve">likelihood of the </w:t>
      </w:r>
      <w:r>
        <w:rPr>
          <w:rFonts w:ascii="Times New Roman" w:hAnsi="Times New Roman" w:cs="Times New Roman"/>
          <w:color w:val="0D0D0D"/>
          <w:sz w:val="20"/>
          <w:szCs w:val="20"/>
          <w:shd w:val="clear" w:color="auto" w:fill="FFFFFF"/>
          <w:lang w:val="en-US"/>
        </w:rPr>
        <w:t>data</w:t>
      </w:r>
      <w:r w:rsidRPr="002D7CDC">
        <w:rPr>
          <w:rFonts w:ascii="Times New Roman" w:hAnsi="Times New Roman" w:cs="Times New Roman"/>
          <w:color w:val="0D0D0D"/>
          <w:sz w:val="20"/>
          <w:szCs w:val="20"/>
          <w:shd w:val="clear" w:color="auto" w:fill="FFFFFF"/>
          <w:lang w:val="en-US"/>
        </w:rPr>
        <w:t xml:space="preserve"> given the modelled trajectories produced by parameter set </w:t>
      </w:r>
      <m:oMath>
        <m:r>
          <m:rPr>
            <m:sty m:val="p"/>
          </m:rPr>
          <w:rPr>
            <w:rFonts w:ascii="Cambria Math" w:hAnsi="Cambria Math" w:cs="Times New Roman"/>
            <w:color w:val="0D0D0D"/>
            <w:sz w:val="20"/>
            <w:szCs w:val="20"/>
            <w:shd w:val="clear" w:color="auto" w:fill="FFFFFF"/>
            <w:lang w:val="en-US"/>
          </w:rPr>
          <m:t>Θ</m:t>
        </m:r>
      </m:oMath>
      <w:r w:rsidRPr="002D7CDC">
        <w:rPr>
          <w:rFonts w:ascii="Times New Roman" w:hAnsi="Times New Roman" w:cs="Times New Roman"/>
          <w:color w:val="0D0D0D"/>
          <w:sz w:val="20"/>
          <w:szCs w:val="20"/>
          <w:shd w:val="clear" w:color="auto" w:fill="FFFFFF"/>
          <w:lang w:val="en-US"/>
        </w:rPr>
        <w:t xml:space="preserve"> was calculated as the product of the likelihoods of the </w:t>
      </w:r>
      <w:r w:rsidR="00506AFF">
        <w:rPr>
          <w:rFonts w:ascii="Times New Roman" w:hAnsi="Times New Roman" w:cs="Times New Roman"/>
          <w:color w:val="0D0D0D"/>
          <w:sz w:val="20"/>
          <w:szCs w:val="20"/>
          <w:shd w:val="clear" w:color="auto" w:fill="FFFFFF"/>
          <w:lang w:val="en-US"/>
        </w:rPr>
        <w:t xml:space="preserve">six </w:t>
      </w:r>
      <w:r w:rsidRPr="002D7CDC">
        <w:rPr>
          <w:rFonts w:ascii="Times New Roman" w:hAnsi="Times New Roman" w:cs="Times New Roman"/>
          <w:color w:val="0D0D0D"/>
          <w:sz w:val="20"/>
          <w:szCs w:val="20"/>
          <w:shd w:val="clear" w:color="auto" w:fill="FFFFFF"/>
          <w:lang w:val="en-US"/>
        </w:rPr>
        <w:t>data stream</w:t>
      </w:r>
      <w:r w:rsidR="00506AFF">
        <w:rPr>
          <w:rFonts w:ascii="Times New Roman" w:hAnsi="Times New Roman" w:cs="Times New Roman"/>
          <w:color w:val="0D0D0D"/>
          <w:sz w:val="20"/>
          <w:szCs w:val="20"/>
          <w:shd w:val="clear" w:color="auto" w:fill="FFFFFF"/>
          <w:lang w:val="en-US"/>
        </w:rPr>
        <w:t>s</w:t>
      </w:r>
      <w:r w:rsidRPr="002D7CDC">
        <w:rPr>
          <w:rFonts w:ascii="Times New Roman" w:hAnsi="Times New Roman" w:cs="Times New Roman"/>
          <w:color w:val="0D0D0D"/>
          <w:sz w:val="20"/>
          <w:szCs w:val="20"/>
          <w:shd w:val="clear" w:color="auto" w:fill="FFFFFF"/>
          <w:lang w:val="en-US"/>
        </w:rPr>
        <w:t xml:space="preserve"> in each year </w:t>
      </w:r>
      <m:oMath>
        <m:r>
          <w:rPr>
            <w:rFonts w:ascii="Cambria Math" w:hAnsi="Cambria Math" w:cs="Times New Roman"/>
            <w:color w:val="0D0D0D"/>
            <w:sz w:val="20"/>
            <w:szCs w:val="20"/>
            <w:shd w:val="clear" w:color="auto" w:fill="FFFFFF"/>
            <w:lang w:val="en-US"/>
          </w:rPr>
          <m:t>t</m:t>
        </m:r>
      </m:oMath>
      <w:r w:rsidRPr="002D7CDC">
        <w:rPr>
          <w:rFonts w:ascii="Times New Roman" w:hAnsi="Times New Roman" w:cs="Times New Roman"/>
          <w:color w:val="0D0D0D"/>
          <w:sz w:val="20"/>
          <w:szCs w:val="20"/>
          <w:shd w:val="clear" w:color="auto" w:fill="FFFFFF"/>
          <w:lang w:val="en-US"/>
        </w:rPr>
        <w:t xml:space="preserve"> = 2011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0</m:t>
            </m:r>
          </m:sub>
        </m:sSub>
      </m:oMath>
      <w:r w:rsidRPr="002D7CDC">
        <w:rPr>
          <w:rFonts w:ascii="Times New Roman" w:hAnsi="Times New Roman" w:cs="Times New Roman"/>
          <w:color w:val="0D0D0D"/>
          <w:sz w:val="20"/>
          <w:szCs w:val="20"/>
          <w:shd w:val="clear" w:color="auto" w:fill="FFFFFF"/>
          <w:lang w:val="en-US"/>
        </w:rPr>
        <w:t>), …, 2020, 2023, 2024 (</w:t>
      </w:r>
      <m:oMath>
        <m:sSub>
          <m:sSubPr>
            <m:ctrlPr>
              <w:rPr>
                <w:rFonts w:ascii="Cambria Math" w:hAnsi="Cambria Math" w:cs="Times New Roman"/>
                <w:i/>
                <w:color w:val="0D0D0D"/>
                <w:sz w:val="20"/>
                <w:szCs w:val="20"/>
                <w:shd w:val="clear" w:color="auto" w:fill="FFFFFF"/>
                <w:lang w:val="en-US"/>
              </w:rPr>
            </m:ctrlPr>
          </m:sSubPr>
          <m:e>
            <m:r>
              <w:rPr>
                <w:rFonts w:ascii="Cambria Math" w:hAnsi="Cambria Math" w:cs="Times New Roman"/>
                <w:color w:val="0D0D0D"/>
                <w:sz w:val="20"/>
                <w:szCs w:val="20"/>
                <w:shd w:val="clear" w:color="auto" w:fill="FFFFFF"/>
                <w:lang w:val="en-US"/>
              </w:rPr>
              <m:t>t</m:t>
            </m:r>
          </m:e>
          <m:sub>
            <m:r>
              <w:rPr>
                <w:rFonts w:ascii="Cambria Math" w:hAnsi="Cambria Math" w:cs="Times New Roman"/>
                <w:color w:val="0D0D0D"/>
                <w:sz w:val="20"/>
                <w:szCs w:val="20"/>
                <w:shd w:val="clear" w:color="auto" w:fill="FFFFFF"/>
                <w:lang w:val="en-US"/>
              </w:rPr>
              <m:t>max</m:t>
            </m:r>
          </m:sub>
        </m:sSub>
      </m:oMath>
      <w:r w:rsidRPr="002D7CDC">
        <w:rPr>
          <w:rFonts w:ascii="Times New Roman" w:hAnsi="Times New Roman" w:cs="Times New Roman"/>
          <w:color w:val="0D0D0D"/>
          <w:sz w:val="20"/>
          <w:szCs w:val="20"/>
          <w:shd w:val="clear" w:color="auto" w:fill="FFFFFF"/>
          <w:lang w:val="en-US"/>
        </w:rPr>
        <w:t>) for England</w:t>
      </w:r>
      <w:r w:rsidR="000D472A">
        <w:rPr>
          <w:rFonts w:ascii="Times New Roman" w:hAnsi="Times New Roman" w:cs="Times New Roman"/>
          <w:color w:val="0D0D0D"/>
          <w:sz w:val="20"/>
          <w:szCs w:val="20"/>
          <w:shd w:val="clear" w:color="auto" w:fill="FFFFFF"/>
          <w:lang w:val="en-US"/>
        </w:rPr>
        <w:t xml:space="preserve"> (</w:t>
      </w:r>
      <m:oMath>
        <m:r>
          <w:rPr>
            <w:rFonts w:ascii="Cambria Math" w:hAnsi="Cambria Math" w:cs="Times New Roman"/>
            <w:color w:val="0D0D0D"/>
            <w:sz w:val="20"/>
            <w:szCs w:val="20"/>
            <w:shd w:val="clear" w:color="auto" w:fill="FFFFFF"/>
            <w:lang w:val="en-US"/>
          </w:rPr>
          <m:t>t</m:t>
        </m:r>
        <m:r>
          <w:rPr>
            <w:rFonts w:ascii="Cambria Math" w:hAnsi="Cambria Math" w:cs="Times New Roman"/>
            <w:color w:val="0D0D0D"/>
            <w:sz w:val="20"/>
            <w:szCs w:val="20"/>
            <w:shd w:val="clear" w:color="auto" w:fill="FFFFFF"/>
            <w:lang w:val="en-US"/>
          </w:rPr>
          <m:t>=2020, 2021</m:t>
        </m:r>
      </m:oMath>
      <w:r w:rsidR="000D472A">
        <w:rPr>
          <w:rFonts w:ascii="Times New Roman" w:hAnsi="Times New Roman" w:cs="Times New Roman"/>
          <w:color w:val="0D0D0D"/>
          <w:sz w:val="20"/>
          <w:szCs w:val="20"/>
          <w:shd w:val="clear" w:color="auto" w:fill="FFFFFF"/>
          <w:lang w:val="en-US"/>
        </w:rPr>
        <w:t xml:space="preserve"> </w:t>
      </w:r>
      <w:r w:rsidR="0016426E">
        <w:rPr>
          <w:rFonts w:ascii="Times New Roman" w:hAnsi="Times New Roman" w:cs="Times New Roman"/>
          <w:color w:val="0D0D0D"/>
          <w:sz w:val="20"/>
          <w:szCs w:val="20"/>
          <w:shd w:val="clear" w:color="auto" w:fill="FFFFFF"/>
          <w:lang w:val="en-US"/>
        </w:rPr>
        <w:t>were excluded</w:t>
      </w:r>
      <w:r w:rsidR="000D472A">
        <w:rPr>
          <w:rFonts w:ascii="Times New Roman" w:hAnsi="Times New Roman" w:cs="Times New Roman"/>
          <w:color w:val="0D0D0D"/>
          <w:sz w:val="20"/>
          <w:szCs w:val="20"/>
          <w:shd w:val="clear" w:color="auto" w:fill="FFFFFF"/>
          <w:lang w:val="en-US"/>
        </w:rPr>
        <w:t xml:space="preserve"> for England for all six data streams)</w:t>
      </w:r>
      <w:r w:rsidR="00506AFF">
        <w:rPr>
          <w:rFonts w:ascii="Times New Roman" w:hAnsi="Times New Roman" w:cs="Times New Roman"/>
          <w:color w:val="0D0D0D"/>
          <w:sz w:val="20"/>
          <w:szCs w:val="20"/>
          <w:shd w:val="clear" w:color="auto" w:fill="FFFFFF"/>
          <w:lang w:val="en-US"/>
        </w:rPr>
        <w:t>, as follows:</w:t>
      </w:r>
    </w:p>
    <w:p w14:paraId="4E99A476" w14:textId="4BB48032" w:rsidR="001725A7" w:rsidRPr="005B07EA" w:rsidRDefault="00EA3640" w:rsidP="009701A4">
      <w:pPr>
        <w:pStyle w:val="NormalWeb"/>
        <w:spacing w:line="276" w:lineRule="auto"/>
        <w:jc w:val="both"/>
        <w:rPr>
          <w:i/>
          <w:sz w:val="20"/>
          <w:szCs w:val="20"/>
        </w:rPr>
      </w:pPr>
      <m:oMathPara>
        <m:oMath>
          <m:eqArr>
            <m:eqArrPr>
              <m:maxDist m:val="1"/>
              <m:ctrlPr>
                <w:rPr>
                  <w:rFonts w:ascii="Cambria Math" w:hAnsi="Cambria Math"/>
                  <w:i/>
                  <w:color w:val="0D0D0D"/>
                  <w:sz w:val="20"/>
                  <w:szCs w:val="20"/>
                  <w:shd w:val="clear" w:color="auto" w:fill="FFFFFF"/>
                  <w:lang w:val="en-US"/>
                </w:rPr>
              </m:ctrlPr>
            </m:eqArrPr>
            <m:e>
              <m:r>
                <w:rPr>
                  <w:rFonts w:ascii="Cambria Math" w:hAnsi="Cambria Math"/>
                  <w:color w:val="0D0D0D"/>
                  <w:sz w:val="20"/>
                  <w:szCs w:val="20"/>
                  <w:shd w:val="clear" w:color="auto" w:fill="FFFFFF"/>
                  <w:lang w:val="en-US"/>
                </w:rPr>
                <m:t>L</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Z</m:t>
                  </m:r>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m:t>
                  </m:r>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0</m:t>
                      </m:r>
                    </m:sub>
                  </m:sSub>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T</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c</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d2</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 xml:space="preserve"> </m:t>
                  </m:r>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t=2015</m:t>
                      </m:r>
                    </m:sub>
                    <m:sup>
                      <m:r>
                        <w:rPr>
                          <w:rFonts w:ascii="Cambria Math" w:hAnsi="Cambria Math"/>
                          <w:color w:val="0D0D0D"/>
                          <w:sz w:val="20"/>
                          <w:szCs w:val="20"/>
                          <w:shd w:val="clear" w:color="auto" w:fill="FFFFFF"/>
                          <w:lang w:val="en-US"/>
                        </w:rPr>
                        <m:t>2022</m:t>
                      </m:r>
                    </m:sup>
                    <m:e>
                      <m:sSub>
                        <m:sSubPr>
                          <m:ctrlPr>
                            <w:rPr>
                              <w:rFonts w:ascii="Cambria Math" w:hAnsi="Cambria Math"/>
                              <w:i/>
                              <w:color w:val="0D0D0D"/>
                              <w:sz w:val="20"/>
                              <w:szCs w:val="20"/>
                              <w:shd w:val="clear" w:color="auto" w:fill="FFFFFF"/>
                              <w:lang w:val="en-US"/>
                            </w:rPr>
                          </m:ctrlPr>
                        </m:sSub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eastAsiaTheme="minorEastAsia" w:hAnsi="Cambria Math"/>
                                      <w:color w:val="0D0D0D"/>
                                      <w:kern w:val="2"/>
                                      <w:sz w:val="20"/>
                                      <w:szCs w:val="20"/>
                                      <w:shd w:val="clear" w:color="auto" w:fill="FFFFFF"/>
                                      <w:lang w:val="en-US"/>
                                      <w14:ligatures w14:val="standardContextual"/>
                                    </w:rPr>
                                    <m:t>0</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0</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r>
                            <w:rPr>
                              <w:rFonts w:ascii="Cambria Math" w:hAnsi="Cambria Math"/>
                              <w:color w:val="0D0D0D"/>
                              <w:sz w:val="20"/>
                              <w:szCs w:val="20"/>
                              <w:shd w:val="clear" w:color="auto" w:fill="FFFFFF"/>
                              <w:lang w:val="en-US"/>
                            </w:rPr>
                            <m:t>f</m:t>
                          </m:r>
                        </m:e>
                        <m:sub>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sub>
                      </m:sSub>
                      <m:d>
                        <m:dPr>
                          <m:ctrlPr>
                            <w:rPr>
                              <w:rFonts w:ascii="Cambria Math" w:hAnsi="Cambria Math"/>
                              <w:i/>
                              <w:color w:val="0D0D0D"/>
                              <w:sz w:val="20"/>
                              <w:szCs w:val="20"/>
                              <w:shd w:val="clear" w:color="auto" w:fill="FFFFFF"/>
                              <w:lang w:val="en-US"/>
                            </w:rPr>
                          </m:ctrlPr>
                        </m:dPr>
                        <m:e>
                          <m:sSup>
                            <m:sSupPr>
                              <m:ctrlPr>
                                <w:rPr>
                                  <w:rFonts w:ascii="Cambria Math" w:eastAsiaTheme="minorEastAsia" w:hAnsi="Cambria Math"/>
                                  <w:i/>
                                  <w:color w:val="0D0D0D"/>
                                  <w:kern w:val="2"/>
                                  <w:sz w:val="20"/>
                                  <w:szCs w:val="20"/>
                                  <w:shd w:val="clear" w:color="auto" w:fill="FFFFFF"/>
                                  <w:lang w:val="en-US"/>
                                  <w14:ligatures w14:val="standardContextual"/>
                                </w:rPr>
                              </m:ctrlPr>
                            </m:sSup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D</m:t>
                                  </m:r>
                                </m:sub>
                              </m:sSub>
                            </m:e>
                            <m:sup>
                              <m:r>
                                <w:rPr>
                                  <w:rFonts w:ascii="Cambria Math" w:hAnsi="Cambria Math"/>
                                  <w:color w:val="0D0D0D"/>
                                  <w:sz w:val="20"/>
                                  <w:szCs w:val="20"/>
                                  <w:shd w:val="clear" w:color="auto" w:fill="FFFFFF"/>
                                  <w:lang w:val="en-US"/>
                                </w:rPr>
                                <m:t>t</m:t>
                              </m:r>
                            </m:sup>
                          </m:sSup>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r>
                            <w:rPr>
                              <w:rFonts w:ascii="Cambria Math" w:hAnsi="Cambria Math"/>
                              <w:color w:val="0D0D0D"/>
                              <w:sz w:val="20"/>
                              <w:szCs w:val="20"/>
                              <w:shd w:val="clear" w:color="auto" w:fill="FFFFFF"/>
                              <w:lang w:val="en-US"/>
                            </w:rPr>
                            <m:t>Θ</m:t>
                          </m:r>
                        </m:e>
                      </m:d>
                    </m:e>
                  </m:nary>
                </m:e>
              </m:nary>
              <m:ctrlPr>
                <w:rPr>
                  <w:rFonts w:ascii="Cambria Math" w:eastAsia="Cambria Math" w:hAnsi="Cambria Math" w:cs="Cambria Math"/>
                  <w:i/>
                  <w:color w:val="0D0D0D"/>
                  <w:sz w:val="20"/>
                  <w:szCs w:val="20"/>
                  <w:shd w:val="clear" w:color="auto" w:fill="FFFFFF"/>
                </w:rPr>
              </m:ctrlPr>
            </m:e>
            <m:e>
              <m:nary>
                <m:naryPr>
                  <m:chr m:val="∏"/>
                  <m:limLoc m:val="undOvr"/>
                  <m:ctrlPr>
                    <w:rPr>
                      <w:rFonts w:ascii="Cambria Math" w:hAnsi="Cambria Math"/>
                      <w:i/>
                      <w:color w:val="0D0D0D"/>
                      <w:sz w:val="20"/>
                      <w:szCs w:val="20"/>
                      <w:shd w:val="clear" w:color="auto" w:fill="FFFFFF"/>
                      <w:lang w:val="en-US"/>
                    </w:rPr>
                  </m:ctrlPr>
                </m:naryPr>
                <m:sub>
                  <m:r>
                    <w:rPr>
                      <w:rFonts w:ascii="Cambria Math" w:hAnsi="Cambria Math"/>
                      <w:color w:val="0D0D0D"/>
                      <w:sz w:val="20"/>
                      <w:szCs w:val="20"/>
                      <w:shd w:val="clear" w:color="auto" w:fill="FFFFFF"/>
                      <w:lang w:val="en-US"/>
                    </w:rPr>
                    <m:t>t=2013</m:t>
                  </m:r>
                </m:sub>
                <m:sup>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t</m:t>
                      </m:r>
                    </m:e>
                    <m:sub>
                      <m:r>
                        <w:rPr>
                          <w:rFonts w:ascii="Cambria Math" w:hAnsi="Cambria Math"/>
                          <w:color w:val="0D0D0D"/>
                          <w:sz w:val="20"/>
                          <w:szCs w:val="20"/>
                          <w:shd w:val="clear" w:color="auto" w:fill="FFFFFF"/>
                          <w:lang w:val="en-US"/>
                        </w:rPr>
                        <m:t>max</m:t>
                      </m:r>
                    </m:sub>
                  </m:sSub>
                </m:sup>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f</m:t>
                      </m:r>
                    </m:e>
                    <m:sub>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sub>
                  </m:sSub>
                  <m:d>
                    <m:dPr>
                      <m:ctrlPr>
                        <w:rPr>
                          <w:rFonts w:ascii="Cambria Math" w:hAnsi="Cambria Math"/>
                          <w:i/>
                          <w:color w:val="0D0D0D"/>
                          <w:sz w:val="20"/>
                          <w:szCs w:val="20"/>
                          <w:shd w:val="clear" w:color="auto" w:fill="FFFFFF"/>
                          <w:lang w:val="en-US"/>
                        </w:rPr>
                      </m:ctrlPr>
                    </m:dPr>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S</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e>
                    <m:e>
                      <m:sSub>
                        <m:sSubPr>
                          <m:ctrlPr>
                            <w:rPr>
                              <w:rFonts w:ascii="Cambria Math" w:hAnsi="Cambria Math"/>
                              <w:i/>
                              <w:color w:val="0D0D0D"/>
                              <w:sz w:val="20"/>
                              <w:szCs w:val="20"/>
                              <w:shd w:val="clear" w:color="auto" w:fill="FFFFFF"/>
                              <w:lang w:val="en-US"/>
                            </w:rPr>
                          </m:ctrlPr>
                        </m:sSubPr>
                        <m:e>
                          <m:r>
                            <w:rPr>
                              <w:rFonts w:ascii="Cambria Math" w:hAnsi="Cambria Math"/>
                              <w:color w:val="0D0D0D"/>
                              <w:sz w:val="20"/>
                              <w:szCs w:val="20"/>
                              <w:shd w:val="clear" w:color="auto" w:fill="FFFFFF"/>
                              <w:lang w:val="en-US"/>
                            </w:rPr>
                            <m:t>Z</m:t>
                          </m:r>
                        </m:e>
                        <m:sub>
                          <m:r>
                            <w:rPr>
                              <w:rFonts w:ascii="Cambria Math" w:hAnsi="Cambria Math"/>
                              <w:color w:val="0D0D0D"/>
                              <w:sz w:val="20"/>
                              <w:szCs w:val="20"/>
                              <w:shd w:val="clear" w:color="auto" w:fill="FFFFFF"/>
                              <w:lang w:val="en-US"/>
                            </w:rPr>
                            <m:t>R</m:t>
                          </m:r>
                        </m:sub>
                      </m:sSub>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t</m:t>
                          </m:r>
                        </m:e>
                      </m:d>
                      <m:r>
                        <w:rPr>
                          <w:rFonts w:ascii="Cambria Math" w:hAnsi="Cambria Math"/>
                          <w:color w:val="0D0D0D"/>
                          <w:sz w:val="20"/>
                          <w:szCs w:val="20"/>
                          <w:shd w:val="clear" w:color="auto" w:fill="FFFFFF"/>
                          <w:lang w:val="en-US"/>
                        </w:rPr>
                        <m:t>, Θ</m:t>
                      </m:r>
                    </m:e>
                  </m:d>
                </m:e>
              </m:nary>
              <m:r>
                <w:rPr>
                  <w:rFonts w:ascii="Cambria Math" w:hAnsi="Cambria Math"/>
                  <w:color w:val="0D0D0D"/>
                  <w:sz w:val="20"/>
                  <w:szCs w:val="20"/>
                  <w:shd w:val="clear" w:color="auto" w:fill="FFFFFF"/>
                  <w:lang w:val="en-US"/>
                </w:rPr>
                <m:t>#</m:t>
              </m:r>
              <m:d>
                <m:dPr>
                  <m:ctrlPr>
                    <w:rPr>
                      <w:rFonts w:ascii="Cambria Math" w:hAnsi="Cambria Math"/>
                      <w:i/>
                      <w:color w:val="0D0D0D"/>
                      <w:sz w:val="20"/>
                      <w:szCs w:val="20"/>
                      <w:shd w:val="clear" w:color="auto" w:fill="FFFFFF"/>
                      <w:lang w:val="en-US"/>
                    </w:rPr>
                  </m:ctrlPr>
                </m:dPr>
                <m:e>
                  <m:r>
                    <w:rPr>
                      <w:rFonts w:ascii="Cambria Math" w:hAnsi="Cambria Math"/>
                      <w:color w:val="0D0D0D"/>
                      <w:sz w:val="20"/>
                      <w:szCs w:val="20"/>
                      <w:shd w:val="clear" w:color="auto" w:fill="FFFFFF"/>
                      <w:lang w:val="en-US"/>
                    </w:rPr>
                    <m:t>17</m:t>
                  </m:r>
                </m:e>
              </m:d>
            </m:e>
          </m:eqArr>
        </m:oMath>
      </m:oMathPara>
    </w:p>
    <w:p w14:paraId="0C0E4E81" w14:textId="31DD353F" w:rsidR="001725A7" w:rsidRDefault="001725A7" w:rsidP="009701A4">
      <w:pPr>
        <w:pStyle w:val="NormalWeb"/>
        <w:spacing w:line="276" w:lineRule="auto"/>
        <w:jc w:val="both"/>
        <w:rPr>
          <w:sz w:val="20"/>
          <w:szCs w:val="20"/>
        </w:rPr>
        <w:sectPr w:rsidR="001725A7" w:rsidSect="001725A7">
          <w:pgSz w:w="11906" w:h="16838"/>
          <w:pgMar w:top="1440" w:right="1440" w:bottom="1440" w:left="1440" w:header="708" w:footer="708" w:gutter="0"/>
          <w:cols w:space="708"/>
          <w:docGrid w:linePitch="360"/>
        </w:sectPr>
      </w:pPr>
    </w:p>
    <w:p w14:paraId="0A66F148" w14:textId="5590B512" w:rsidR="006173E0" w:rsidRPr="001010DC" w:rsidRDefault="006173E0" w:rsidP="006173E0">
      <w:pPr>
        <w:spacing w:line="276" w:lineRule="auto"/>
        <w:jc w:val="both"/>
        <w:rPr>
          <w:rFonts w:ascii="Times New Roman" w:hAnsi="Times New Roman" w:cs="Times New Roman"/>
          <w:sz w:val="20"/>
          <w:szCs w:val="20"/>
        </w:rPr>
      </w:pPr>
      <w:r w:rsidRPr="002D7CDC">
        <w:rPr>
          <w:rFonts w:ascii="Times New Roman" w:hAnsi="Times New Roman" w:cs="Times New Roman"/>
          <w:color w:val="000000"/>
          <w:sz w:val="20"/>
          <w:szCs w:val="20"/>
          <w:lang w:val="en-GB"/>
        </w:rPr>
        <w:lastRenderedPageBreak/>
        <w:t xml:space="preserve">Table </w:t>
      </w:r>
      <w:r>
        <w:rPr>
          <w:rFonts w:ascii="Times New Roman" w:hAnsi="Times New Roman" w:cs="Times New Roman"/>
          <w:color w:val="000000"/>
          <w:sz w:val="20"/>
          <w:szCs w:val="20"/>
          <w:lang w:val="en-GB"/>
        </w:rPr>
        <w:t>1</w:t>
      </w:r>
      <w:r w:rsidRPr="002D7CDC">
        <w:rPr>
          <w:rFonts w:ascii="Times New Roman" w:hAnsi="Times New Roman" w:cs="Times New Roman"/>
          <w:color w:val="000000"/>
          <w:sz w:val="20"/>
          <w:szCs w:val="20"/>
          <w:lang w:val="en-GB"/>
        </w:rPr>
        <w:t xml:space="preserve">. </w:t>
      </w:r>
      <w:r w:rsidRPr="006108A8">
        <w:rPr>
          <w:rFonts w:ascii="Times New Roman" w:hAnsi="Times New Roman" w:cs="Times New Roman"/>
          <w:color w:val="0D0D0D"/>
          <w:sz w:val="20"/>
          <w:szCs w:val="20"/>
          <w:shd w:val="clear" w:color="auto" w:fill="FFFFFF"/>
          <w:lang w:val="en-US"/>
        </w:rPr>
        <w:t xml:space="preserve">Annual </w:t>
      </w:r>
      <w:r w:rsidRPr="006108A8">
        <w:rPr>
          <w:rFonts w:ascii="Times New Roman" w:hAnsi="Times New Roman" w:cs="Times New Roman"/>
          <w:color w:val="0D0D0D"/>
          <w:sz w:val="20"/>
          <w:szCs w:val="20"/>
          <w:shd w:val="clear" w:color="auto" w:fill="FFFFFF"/>
          <w:lang w:val="en-US"/>
        </w:rPr>
        <w:t>gonorrhea</w:t>
      </w:r>
      <w:r w:rsidRPr="006108A8">
        <w:rPr>
          <w:rFonts w:ascii="Times New Roman" w:hAnsi="Times New Roman" w:cs="Times New Roman"/>
          <w:color w:val="0D0D0D"/>
          <w:sz w:val="20"/>
          <w:szCs w:val="20"/>
          <w:shd w:val="clear" w:color="auto" w:fill="FFFFFF"/>
          <w:lang w:val="en-US"/>
        </w:rPr>
        <w:t xml:space="preserve"> diagnose</w:t>
      </w:r>
      <w:r w:rsidR="006108A8" w:rsidRPr="006108A8">
        <w:rPr>
          <w:rFonts w:ascii="Times New Roman" w:hAnsi="Times New Roman" w:cs="Times New Roman"/>
          <w:color w:val="0D0D0D"/>
          <w:sz w:val="20"/>
          <w:szCs w:val="20"/>
          <w:shd w:val="clear" w:color="auto" w:fill="FFFFFF"/>
          <w:lang w:val="en-US"/>
        </w:rPr>
        <w:t xml:space="preserve">s, tests, </w:t>
      </w:r>
      <w:r w:rsidR="006108A8" w:rsidRPr="006108A8">
        <w:rPr>
          <w:rFonts w:ascii="Times New Roman" w:hAnsi="Times New Roman" w:cs="Times New Roman"/>
          <w:color w:val="0D0D0D"/>
          <w:sz w:val="20"/>
          <w:szCs w:val="20"/>
          <w:shd w:val="clear" w:color="auto" w:fill="FFFFFF"/>
          <w:lang w:val="en-US"/>
        </w:rPr>
        <w:t>symptomatic diagnoses</w:t>
      </w:r>
      <w:r w:rsidR="006108A8" w:rsidRPr="006108A8">
        <w:rPr>
          <w:rFonts w:ascii="Times New Roman" w:hAnsi="Times New Roman" w:cs="Times New Roman"/>
          <w:color w:val="0D0D0D"/>
          <w:sz w:val="20"/>
          <w:szCs w:val="20"/>
          <w:shd w:val="clear" w:color="auto" w:fill="FFFFFF"/>
          <w:lang w:val="en-US"/>
        </w:rPr>
        <w:t xml:space="preserve">, </w:t>
      </w:r>
      <w:r w:rsidR="006108A8" w:rsidRPr="006108A8">
        <w:rPr>
          <w:rFonts w:ascii="Times New Roman" w:hAnsi="Times New Roman" w:cs="Times New Roman"/>
          <w:color w:val="0D0D0D"/>
          <w:sz w:val="20"/>
          <w:szCs w:val="20"/>
          <w:shd w:val="clear" w:color="auto" w:fill="FFFFFF"/>
          <w:lang w:val="en-US"/>
        </w:rPr>
        <w:t>asymptomatic diagnoses</w:t>
      </w:r>
      <w:r w:rsidR="006108A8" w:rsidRPr="006108A8">
        <w:rPr>
          <w:rFonts w:ascii="Times New Roman" w:hAnsi="Times New Roman" w:cs="Times New Roman"/>
          <w:color w:val="0D0D0D"/>
          <w:sz w:val="20"/>
          <w:szCs w:val="20"/>
          <w:shd w:val="clear" w:color="auto" w:fill="FFFFFF"/>
          <w:lang w:val="en-US"/>
        </w:rPr>
        <w:t>, p</w:t>
      </w:r>
      <w:r w:rsidR="006108A8" w:rsidRPr="006108A8">
        <w:rPr>
          <w:rFonts w:ascii="Times New Roman" w:hAnsi="Times New Roman" w:cs="Times New Roman"/>
          <w:color w:val="0D0D0D"/>
          <w:sz w:val="20"/>
          <w:szCs w:val="20"/>
          <w:shd w:val="clear" w:color="auto" w:fill="FFFFFF"/>
          <w:lang w:val="en-US"/>
        </w:rPr>
        <w:t>ercentage ceftriaxone-resistant</w:t>
      </w:r>
      <w:r w:rsidR="006108A8" w:rsidRPr="006108A8">
        <w:rPr>
          <w:rFonts w:ascii="Times New Roman" w:hAnsi="Times New Roman" w:cs="Times New Roman"/>
          <w:color w:val="0D0D0D"/>
          <w:sz w:val="20"/>
          <w:szCs w:val="20"/>
          <w:shd w:val="clear" w:color="auto" w:fill="FFFFFF"/>
          <w:lang w:val="en-US"/>
        </w:rPr>
        <w:t>, and p</w:t>
      </w:r>
      <w:r w:rsidR="006108A8" w:rsidRPr="006108A8">
        <w:rPr>
          <w:rFonts w:ascii="Times New Roman" w:hAnsi="Times New Roman" w:cs="Times New Roman"/>
          <w:color w:val="0D0D0D"/>
          <w:sz w:val="20"/>
          <w:szCs w:val="20"/>
          <w:shd w:val="clear" w:color="auto" w:fill="FFFFFF"/>
          <w:lang w:val="en-US"/>
        </w:rPr>
        <w:t xml:space="preserve">ercentage tetracycline-resistant </w:t>
      </w:r>
      <w:r w:rsidRPr="006108A8">
        <w:rPr>
          <w:rFonts w:ascii="Times New Roman" w:hAnsi="Times New Roman" w:cs="Times New Roman"/>
          <w:color w:val="0D0D0D"/>
          <w:sz w:val="20"/>
          <w:szCs w:val="20"/>
          <w:shd w:val="clear" w:color="auto" w:fill="FFFFFF"/>
          <w:lang w:val="en-US"/>
        </w:rPr>
        <w:t>among MSM in England.</w:t>
      </w:r>
      <w:r w:rsidR="001010DC" w:rsidRPr="006108A8">
        <w:rPr>
          <w:rFonts w:ascii="Times New Roman" w:hAnsi="Times New Roman" w:cs="Times New Roman"/>
          <w:color w:val="0D0D0D"/>
          <w:sz w:val="20"/>
          <w:szCs w:val="20"/>
          <w:shd w:val="clear" w:color="auto" w:fill="FFFFFF"/>
          <w:lang w:val="en-US"/>
        </w:rPr>
        <w:t xml:space="preserve"> </w:t>
      </w:r>
      <w:r w:rsidR="00630081" w:rsidRPr="006108A8">
        <w:rPr>
          <w:rFonts w:ascii="Times New Roman" w:hAnsi="Times New Roman" w:cs="Times New Roman"/>
          <w:sz w:val="20"/>
          <w:szCs w:val="20"/>
        </w:rPr>
        <w:t xml:space="preserve">Doxycycline susceptibility cannot be directly assessed because doxycycline MICs were not routinely available. Therefore, we used tetracycline MIC </w:t>
      </w:r>
      <m:oMath>
        <m:r>
          <w:rPr>
            <w:rFonts w:ascii="Cambria Math" w:hAnsi="Cambria Math" w:cs="Times New Roman"/>
            <w:sz w:val="20"/>
            <w:szCs w:val="20"/>
          </w:rPr>
          <m:t>&gt;</m:t>
        </m:r>
      </m:oMath>
      <w:r w:rsidR="00630081" w:rsidRPr="006108A8">
        <w:rPr>
          <w:rFonts w:ascii="Times New Roman" w:hAnsi="Times New Roman" w:cs="Times New Roman"/>
          <w:sz w:val="20"/>
          <w:szCs w:val="20"/>
        </w:rPr>
        <w:t xml:space="preserve"> 1 mg/L among MSM isolates as the primary proxy for doxycycline non-susceptibility, consistent with surveillance practice. High-level plasmid-mediated resistance (tetM), typically associated with tetracycline MIC </w:t>
      </w:r>
      <m:oMath>
        <m:r>
          <w:rPr>
            <w:rFonts w:ascii="Cambria Math" w:hAnsi="Cambria Math" w:cs="Times New Roman"/>
            <w:sz w:val="20"/>
            <w:szCs w:val="20"/>
          </w:rPr>
          <m:t>≥</m:t>
        </m:r>
      </m:oMath>
      <w:r w:rsidR="00630081" w:rsidRPr="006108A8">
        <w:rPr>
          <w:rFonts w:ascii="Times New Roman" w:hAnsi="Times New Roman" w:cs="Times New Roman"/>
          <w:sz w:val="20"/>
          <w:szCs w:val="20"/>
        </w:rPr>
        <w:t xml:space="preserve"> 8 mg/L, was available only for the general population; these data were used solely for sensitivity analyses to bound the prevalence of high-level doxycycline resistance in MSM.</w:t>
      </w:r>
    </w:p>
    <w:tbl>
      <w:tblPr>
        <w:tblStyle w:val="TableGrid"/>
        <w:tblW w:w="13958" w:type="dxa"/>
        <w:jc w:val="center"/>
        <w:tblBorders>
          <w:insideV w:val="single" w:sz="4" w:space="0" w:color="auto"/>
        </w:tblBorders>
        <w:tblLook w:val="04A0" w:firstRow="1" w:lastRow="0" w:firstColumn="1" w:lastColumn="0" w:noHBand="0" w:noVBand="1"/>
      </w:tblPr>
      <w:tblGrid>
        <w:gridCol w:w="746"/>
        <w:gridCol w:w="1773"/>
        <w:gridCol w:w="1529"/>
        <w:gridCol w:w="1856"/>
        <w:gridCol w:w="1527"/>
        <w:gridCol w:w="1389"/>
        <w:gridCol w:w="1890"/>
        <w:gridCol w:w="1710"/>
        <w:gridCol w:w="1538"/>
      </w:tblGrid>
      <w:tr w:rsidR="00D95BD9" w:rsidRPr="002D7CDC" w14:paraId="6EBD6B1A" w14:textId="3F6EA2B6" w:rsidTr="007D28FF">
        <w:trPr>
          <w:jc w:val="center"/>
        </w:trPr>
        <w:tc>
          <w:tcPr>
            <w:tcW w:w="746" w:type="dxa"/>
            <w:tcBorders>
              <w:top w:val="single" w:sz="4" w:space="0" w:color="auto"/>
              <w:bottom w:val="single" w:sz="4" w:space="0" w:color="auto"/>
              <w:right w:val="nil"/>
            </w:tcBorders>
          </w:tcPr>
          <w:p w14:paraId="2A4310C7"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Year</w:t>
            </w:r>
          </w:p>
        </w:tc>
        <w:tc>
          <w:tcPr>
            <w:tcW w:w="1773" w:type="dxa"/>
            <w:tcBorders>
              <w:top w:val="single" w:sz="4" w:space="0" w:color="auto"/>
              <w:left w:val="nil"/>
              <w:bottom w:val="single" w:sz="4" w:space="0" w:color="auto"/>
              <w:right w:val="nil"/>
            </w:tcBorders>
          </w:tcPr>
          <w:p w14:paraId="69E76FEB" w14:textId="523D3CC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diagnoses</w:t>
            </w:r>
          </w:p>
        </w:tc>
        <w:tc>
          <w:tcPr>
            <w:tcW w:w="1529" w:type="dxa"/>
            <w:tcBorders>
              <w:top w:val="single" w:sz="4" w:space="0" w:color="auto"/>
              <w:left w:val="nil"/>
              <w:bottom w:val="single" w:sz="4" w:space="0" w:color="auto"/>
              <w:right w:val="nil"/>
            </w:tcBorders>
          </w:tcPr>
          <w:p w14:paraId="34A265CB" w14:textId="338889D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tests</w:t>
            </w:r>
          </w:p>
        </w:tc>
        <w:tc>
          <w:tcPr>
            <w:tcW w:w="1856" w:type="dxa"/>
            <w:tcBorders>
              <w:top w:val="single" w:sz="4" w:space="0" w:color="auto"/>
              <w:left w:val="nil"/>
              <w:bottom w:val="single" w:sz="4" w:space="0" w:color="auto"/>
              <w:right w:val="nil"/>
            </w:tcBorders>
          </w:tcPr>
          <w:p w14:paraId="20F3F035" w14:textId="6603A37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MSM in GRASP report</w:t>
            </w:r>
          </w:p>
        </w:tc>
        <w:tc>
          <w:tcPr>
            <w:tcW w:w="1527" w:type="dxa"/>
            <w:tcBorders>
              <w:top w:val="single" w:sz="4" w:space="0" w:color="auto"/>
              <w:left w:val="nil"/>
              <w:bottom w:val="single" w:sz="4" w:space="0" w:color="auto"/>
              <w:right w:val="nil"/>
            </w:tcBorders>
          </w:tcPr>
          <w:p w14:paraId="69308E99" w14:textId="261A639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symptomatic diagnoses</w:t>
            </w:r>
            <w:r>
              <w:rPr>
                <w:rFonts w:cs="Times New Roman"/>
                <w:color w:val="0D0D0D"/>
                <w:szCs w:val="20"/>
                <w:shd w:val="clear" w:color="auto" w:fill="FFFFFF"/>
                <w:lang w:val="en-US"/>
              </w:rPr>
              <w:t xml:space="preserve"> in GRASP report</w:t>
            </w:r>
          </w:p>
        </w:tc>
        <w:tc>
          <w:tcPr>
            <w:tcW w:w="1389" w:type="dxa"/>
            <w:tcBorders>
              <w:top w:val="single" w:sz="4" w:space="0" w:color="auto"/>
              <w:left w:val="nil"/>
              <w:bottom w:val="single" w:sz="4" w:space="0" w:color="auto"/>
              <w:right w:val="nil"/>
            </w:tcBorders>
          </w:tcPr>
          <w:p w14:paraId="72FD1652" w14:textId="5D6B12A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Number of asymptomatic diagnoses</w:t>
            </w:r>
            <w:r>
              <w:rPr>
                <w:rFonts w:cs="Times New Roman"/>
                <w:color w:val="0D0D0D"/>
                <w:szCs w:val="20"/>
                <w:shd w:val="clear" w:color="auto" w:fill="FFFFFF"/>
                <w:lang w:val="en-US"/>
              </w:rPr>
              <w:t xml:space="preserve"> in GRASP report</w:t>
            </w:r>
          </w:p>
        </w:tc>
        <w:tc>
          <w:tcPr>
            <w:tcW w:w="1890" w:type="dxa"/>
            <w:tcBorders>
              <w:top w:val="single" w:sz="4" w:space="0" w:color="auto"/>
              <w:left w:val="nil"/>
              <w:bottom w:val="single" w:sz="4" w:space="0" w:color="auto"/>
              <w:right w:val="nil"/>
            </w:tcBorders>
          </w:tcPr>
          <w:p w14:paraId="5F1223B7" w14:textId="4DBC514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ceftriaxone-resistant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0.125mg/L)</w:t>
            </w:r>
          </w:p>
        </w:tc>
        <w:tc>
          <w:tcPr>
            <w:tcW w:w="1710" w:type="dxa"/>
            <w:tcBorders>
              <w:top w:val="single" w:sz="4" w:space="0" w:color="auto"/>
              <w:left w:val="nil"/>
              <w:bottom w:val="single" w:sz="4" w:space="0" w:color="auto"/>
            </w:tcBorders>
          </w:tcPr>
          <w:p w14:paraId="5B9ABA7C" w14:textId="1AA7528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in MSM </w:t>
            </w:r>
            <w:r>
              <w:rPr>
                <w:rFonts w:cs="Times New Roman"/>
                <w:color w:val="0D0D0D"/>
                <w:szCs w:val="20"/>
                <w:shd w:val="clear" w:color="auto" w:fill="FFFFFF"/>
                <w:lang w:val="en-US"/>
              </w:rPr>
              <w:t xml:space="preserve">(MIC </w:t>
            </w:r>
            <m:oMath>
              <m:r>
                <w:rPr>
                  <w:rFonts w:ascii="Cambria Math" w:hAnsi="Cambria Math" w:cs="Times New Roman"/>
                  <w:sz w:val="16"/>
                  <w:szCs w:val="16"/>
                </w:rPr>
                <m:t>&gt;</m:t>
              </m:r>
            </m:oMath>
            <w:r>
              <w:rPr>
                <w:rFonts w:cs="Times New Roman"/>
                <w:color w:val="0D0D0D"/>
                <w:szCs w:val="20"/>
                <w:shd w:val="clear" w:color="auto" w:fill="FFFFFF"/>
                <w:lang w:val="en-US"/>
              </w:rPr>
              <w:t xml:space="preserve"> 1mg/L)</w:t>
            </w:r>
          </w:p>
        </w:tc>
        <w:tc>
          <w:tcPr>
            <w:tcW w:w="1538" w:type="dxa"/>
            <w:tcBorders>
              <w:top w:val="single" w:sz="4" w:space="0" w:color="auto"/>
              <w:bottom w:val="single" w:sz="4" w:space="0" w:color="auto"/>
            </w:tcBorders>
          </w:tcPr>
          <w:p w14:paraId="1264EBDF" w14:textId="061962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 xml:space="preserve">Percentage tetracycline-resistant </w:t>
            </w:r>
            <w:r w:rsidR="007D28FF">
              <w:rPr>
                <w:rFonts w:cs="Times New Roman"/>
                <w:color w:val="0D0D0D"/>
                <w:szCs w:val="20"/>
                <w:shd w:val="clear" w:color="auto" w:fill="FFFFFF"/>
                <w:lang w:val="en-US"/>
              </w:rPr>
              <w:t xml:space="preserve">        </w:t>
            </w:r>
            <w:r>
              <w:rPr>
                <w:rFonts w:cs="Times New Roman"/>
                <w:color w:val="0D0D0D"/>
                <w:szCs w:val="20"/>
                <w:shd w:val="clear" w:color="auto" w:fill="FFFFFF"/>
                <w:lang w:val="en-US"/>
              </w:rPr>
              <w:t>(MIC</w:t>
            </w:r>
            <w:r w:rsidR="003E7919">
              <w:rPr>
                <w:rFonts w:cs="Times New Roman"/>
                <w:color w:val="0D0D0D"/>
                <w:szCs w:val="20"/>
                <w:shd w:val="clear" w:color="auto" w:fill="FFFFFF"/>
                <w:lang w:val="en-US"/>
              </w:rPr>
              <w:t xml:space="preserve"> </w:t>
            </w:r>
            <m:oMath>
              <m:r>
                <w:rPr>
                  <w:rFonts w:ascii="Cambria Math" w:hAnsi="Cambria Math" w:cs="Times New Roman"/>
                  <w:sz w:val="16"/>
                  <w:szCs w:val="16"/>
                </w:rPr>
                <m:t>≥</m:t>
              </m:r>
            </m:oMath>
            <w:r>
              <w:rPr>
                <w:rFonts w:cs="Times New Roman"/>
                <w:color w:val="0D0D0D"/>
                <w:szCs w:val="20"/>
                <w:shd w:val="clear" w:color="auto" w:fill="FFFFFF"/>
                <w:lang w:val="en-US"/>
              </w:rPr>
              <w:t xml:space="preserve"> </w:t>
            </w:r>
            <w:r>
              <w:rPr>
                <w:rFonts w:cs="Times New Roman"/>
                <w:color w:val="0D0D0D"/>
                <w:szCs w:val="20"/>
                <w:shd w:val="clear" w:color="auto" w:fill="FFFFFF"/>
                <w:lang w:val="en-US"/>
              </w:rPr>
              <w:t>8</w:t>
            </w:r>
            <w:r>
              <w:rPr>
                <w:rFonts w:cs="Times New Roman"/>
                <w:color w:val="0D0D0D"/>
                <w:szCs w:val="20"/>
                <w:shd w:val="clear" w:color="auto" w:fill="FFFFFF"/>
                <w:lang w:val="en-US"/>
              </w:rPr>
              <w:t>mg/L)</w:t>
            </w:r>
          </w:p>
        </w:tc>
      </w:tr>
      <w:tr w:rsidR="00D95BD9" w:rsidRPr="002D7CDC" w14:paraId="46193362" w14:textId="44B995FD" w:rsidTr="007D28FF">
        <w:trPr>
          <w:jc w:val="center"/>
        </w:trPr>
        <w:tc>
          <w:tcPr>
            <w:tcW w:w="746" w:type="dxa"/>
            <w:tcBorders>
              <w:top w:val="single" w:sz="4" w:space="0" w:color="auto"/>
              <w:right w:val="nil"/>
            </w:tcBorders>
          </w:tcPr>
          <w:p w14:paraId="73C2B163"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2011</w:t>
            </w:r>
          </w:p>
        </w:tc>
        <w:tc>
          <w:tcPr>
            <w:tcW w:w="1773" w:type="dxa"/>
            <w:tcBorders>
              <w:top w:val="single" w:sz="4" w:space="0" w:color="auto"/>
              <w:left w:val="nil"/>
              <w:right w:val="nil"/>
            </w:tcBorders>
          </w:tcPr>
          <w:p w14:paraId="0F1C2737" w14:textId="2FA33D7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7797</w:t>
            </w:r>
          </w:p>
        </w:tc>
        <w:tc>
          <w:tcPr>
            <w:tcW w:w="1529" w:type="dxa"/>
            <w:tcBorders>
              <w:top w:val="single" w:sz="4" w:space="0" w:color="auto"/>
              <w:left w:val="nil"/>
              <w:bottom w:val="nil"/>
              <w:right w:val="nil"/>
            </w:tcBorders>
          </w:tcPr>
          <w:p w14:paraId="78205630" w14:textId="51DDBBC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86472</w:t>
            </w:r>
          </w:p>
        </w:tc>
        <w:tc>
          <w:tcPr>
            <w:tcW w:w="1856" w:type="dxa"/>
            <w:tcBorders>
              <w:top w:val="single" w:sz="4" w:space="0" w:color="auto"/>
              <w:left w:val="nil"/>
              <w:bottom w:val="nil"/>
              <w:right w:val="nil"/>
            </w:tcBorders>
          </w:tcPr>
          <w:p w14:paraId="0A72B334" w14:textId="5527EF9E"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single" w:sz="4" w:space="0" w:color="auto"/>
              <w:left w:val="nil"/>
              <w:bottom w:val="nil"/>
              <w:right w:val="nil"/>
            </w:tcBorders>
          </w:tcPr>
          <w:p w14:paraId="2D9DD03A" w14:textId="13D82206"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single" w:sz="4" w:space="0" w:color="auto"/>
              <w:left w:val="nil"/>
              <w:bottom w:val="nil"/>
              <w:right w:val="nil"/>
            </w:tcBorders>
          </w:tcPr>
          <w:p w14:paraId="4088A8E2" w14:textId="659DEFAF"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top w:val="single" w:sz="4" w:space="0" w:color="auto"/>
              <w:left w:val="nil"/>
              <w:right w:val="nil"/>
            </w:tcBorders>
          </w:tcPr>
          <w:p w14:paraId="1D3DD5E8" w14:textId="724E4A6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single" w:sz="4" w:space="0" w:color="auto"/>
              <w:left w:val="nil"/>
            </w:tcBorders>
          </w:tcPr>
          <w:p w14:paraId="0E656E83" w14:textId="45054DD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Borders>
              <w:top w:val="single" w:sz="4" w:space="0" w:color="auto"/>
            </w:tcBorders>
          </w:tcPr>
          <w:p w14:paraId="1EBBEBCB" w14:textId="0B3EC4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48D0FEF" w14:textId="2A519F44" w:rsidTr="007D28FF">
        <w:trPr>
          <w:jc w:val="center"/>
        </w:trPr>
        <w:tc>
          <w:tcPr>
            <w:tcW w:w="746" w:type="dxa"/>
            <w:tcBorders>
              <w:right w:val="nil"/>
            </w:tcBorders>
          </w:tcPr>
          <w:p w14:paraId="4FD51E9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2012</w:t>
            </w:r>
          </w:p>
        </w:tc>
        <w:tc>
          <w:tcPr>
            <w:tcW w:w="1773" w:type="dxa"/>
            <w:tcBorders>
              <w:left w:val="nil"/>
              <w:right w:val="nil"/>
            </w:tcBorders>
          </w:tcPr>
          <w:p w14:paraId="3E03D848" w14:textId="3500E6E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10690</w:t>
            </w:r>
          </w:p>
        </w:tc>
        <w:tc>
          <w:tcPr>
            <w:tcW w:w="1529" w:type="dxa"/>
            <w:tcBorders>
              <w:top w:val="nil"/>
              <w:left w:val="nil"/>
              <w:bottom w:val="nil"/>
              <w:right w:val="nil"/>
            </w:tcBorders>
          </w:tcPr>
          <w:p w14:paraId="4B8319AC" w14:textId="112AC85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99558</w:t>
            </w:r>
          </w:p>
        </w:tc>
        <w:tc>
          <w:tcPr>
            <w:tcW w:w="1856" w:type="dxa"/>
            <w:tcBorders>
              <w:top w:val="nil"/>
              <w:left w:val="nil"/>
              <w:bottom w:val="nil"/>
              <w:right w:val="nil"/>
            </w:tcBorders>
          </w:tcPr>
          <w:p w14:paraId="6B7ED86E" w14:textId="0B976ED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27" w:type="dxa"/>
            <w:tcBorders>
              <w:top w:val="nil"/>
              <w:left w:val="nil"/>
              <w:bottom w:val="nil"/>
              <w:right w:val="nil"/>
            </w:tcBorders>
          </w:tcPr>
          <w:p w14:paraId="286A2925" w14:textId="3D9BF799"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389" w:type="dxa"/>
            <w:tcBorders>
              <w:top w:val="nil"/>
              <w:left w:val="nil"/>
              <w:bottom w:val="nil"/>
              <w:right w:val="nil"/>
            </w:tcBorders>
          </w:tcPr>
          <w:p w14:paraId="502063CF" w14:textId="23767E4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890" w:type="dxa"/>
            <w:tcBorders>
              <w:left w:val="nil"/>
              <w:right w:val="nil"/>
            </w:tcBorders>
          </w:tcPr>
          <w:p w14:paraId="0FB10733" w14:textId="55C3B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2431400" w14:textId="01F8E8B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c>
          <w:tcPr>
            <w:tcW w:w="1538" w:type="dxa"/>
          </w:tcPr>
          <w:p w14:paraId="1857C959" w14:textId="1CEEAB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9.5</w:t>
            </w:r>
          </w:p>
        </w:tc>
      </w:tr>
      <w:tr w:rsidR="00D95BD9" w:rsidRPr="002D7CDC" w14:paraId="0EFC8EF0" w14:textId="7AD42668" w:rsidTr="007D28FF">
        <w:trPr>
          <w:jc w:val="center"/>
        </w:trPr>
        <w:tc>
          <w:tcPr>
            <w:tcW w:w="746" w:type="dxa"/>
            <w:tcBorders>
              <w:right w:val="nil"/>
            </w:tcBorders>
          </w:tcPr>
          <w:p w14:paraId="22A90C2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2013</w:t>
            </w:r>
          </w:p>
        </w:tc>
        <w:tc>
          <w:tcPr>
            <w:tcW w:w="1773" w:type="dxa"/>
            <w:tcBorders>
              <w:left w:val="nil"/>
              <w:right w:val="nil"/>
            </w:tcBorders>
          </w:tcPr>
          <w:p w14:paraId="4A4332B1" w14:textId="2305CD3D"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13579</w:t>
            </w:r>
          </w:p>
        </w:tc>
        <w:tc>
          <w:tcPr>
            <w:tcW w:w="1529" w:type="dxa"/>
            <w:tcBorders>
              <w:top w:val="nil"/>
              <w:left w:val="nil"/>
              <w:bottom w:val="nil"/>
              <w:right w:val="nil"/>
            </w:tcBorders>
          </w:tcPr>
          <w:p w14:paraId="6F3F1792" w14:textId="60345B4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114282</w:t>
            </w:r>
          </w:p>
        </w:tc>
        <w:tc>
          <w:tcPr>
            <w:tcW w:w="1856" w:type="dxa"/>
            <w:tcBorders>
              <w:top w:val="nil"/>
              <w:left w:val="nil"/>
              <w:bottom w:val="nil"/>
              <w:right w:val="nil"/>
            </w:tcBorders>
          </w:tcPr>
          <w:p w14:paraId="075816FE" w14:textId="7F7CBB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1090</w:t>
            </w:r>
          </w:p>
        </w:tc>
        <w:tc>
          <w:tcPr>
            <w:tcW w:w="1527" w:type="dxa"/>
            <w:tcBorders>
              <w:top w:val="nil"/>
              <w:left w:val="nil"/>
              <w:bottom w:val="nil"/>
              <w:right w:val="nil"/>
            </w:tcBorders>
          </w:tcPr>
          <w:p w14:paraId="5C9D5243" w14:textId="432DD0C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402</w:t>
            </w:r>
          </w:p>
        </w:tc>
        <w:tc>
          <w:tcPr>
            <w:tcW w:w="1389" w:type="dxa"/>
            <w:tcBorders>
              <w:top w:val="nil"/>
              <w:left w:val="nil"/>
              <w:bottom w:val="nil"/>
              <w:right w:val="nil"/>
            </w:tcBorders>
          </w:tcPr>
          <w:p w14:paraId="300CA7BB" w14:textId="1802C7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191</w:t>
            </w:r>
          </w:p>
        </w:tc>
        <w:tc>
          <w:tcPr>
            <w:tcW w:w="1890" w:type="dxa"/>
            <w:tcBorders>
              <w:left w:val="nil"/>
              <w:right w:val="nil"/>
            </w:tcBorders>
          </w:tcPr>
          <w:p w14:paraId="3708C83D" w14:textId="05A1ECF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0AFBE6A5" w14:textId="6079A5C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92.5</w:t>
            </w:r>
            <w:r>
              <w:rPr>
                <w:rStyle w:val="FootnoteReference"/>
                <w:rFonts w:cs="Times New Roman"/>
                <w:color w:val="0D0D0D"/>
                <w:szCs w:val="20"/>
                <w:shd w:val="clear" w:color="auto" w:fill="FFFFFF"/>
                <w:lang w:val="en-US"/>
              </w:rPr>
              <w:footnoteReference w:id="1"/>
            </w:r>
          </w:p>
        </w:tc>
        <w:tc>
          <w:tcPr>
            <w:tcW w:w="1538" w:type="dxa"/>
          </w:tcPr>
          <w:p w14:paraId="37D26422" w14:textId="6498C11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11.2</w:t>
            </w:r>
          </w:p>
        </w:tc>
      </w:tr>
      <w:tr w:rsidR="00D95BD9" w:rsidRPr="002D7CDC" w14:paraId="4BC81B48" w14:textId="1D584C0A" w:rsidTr="007D28FF">
        <w:trPr>
          <w:jc w:val="center"/>
        </w:trPr>
        <w:tc>
          <w:tcPr>
            <w:tcW w:w="746" w:type="dxa"/>
            <w:tcBorders>
              <w:right w:val="nil"/>
            </w:tcBorders>
          </w:tcPr>
          <w:p w14:paraId="0A04507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2014</w:t>
            </w:r>
          </w:p>
        </w:tc>
        <w:tc>
          <w:tcPr>
            <w:tcW w:w="1773" w:type="dxa"/>
            <w:tcBorders>
              <w:left w:val="nil"/>
              <w:right w:val="nil"/>
            </w:tcBorders>
          </w:tcPr>
          <w:p w14:paraId="62901024" w14:textId="13AD81B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18017</w:t>
            </w:r>
          </w:p>
        </w:tc>
        <w:tc>
          <w:tcPr>
            <w:tcW w:w="1529" w:type="dxa"/>
            <w:tcBorders>
              <w:top w:val="nil"/>
              <w:left w:val="nil"/>
              <w:bottom w:val="nil"/>
              <w:right w:val="nil"/>
            </w:tcBorders>
          </w:tcPr>
          <w:p w14:paraId="37A0BFCF" w14:textId="65968CD7"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146991</w:t>
            </w:r>
          </w:p>
        </w:tc>
        <w:tc>
          <w:tcPr>
            <w:tcW w:w="1856" w:type="dxa"/>
            <w:tcBorders>
              <w:top w:val="nil"/>
              <w:left w:val="nil"/>
              <w:bottom w:val="nil"/>
              <w:right w:val="nil"/>
            </w:tcBorders>
          </w:tcPr>
          <w:p w14:paraId="3E71D7B6" w14:textId="62782E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1073</w:t>
            </w:r>
          </w:p>
        </w:tc>
        <w:tc>
          <w:tcPr>
            <w:tcW w:w="1527" w:type="dxa"/>
            <w:tcBorders>
              <w:top w:val="nil"/>
              <w:left w:val="nil"/>
              <w:bottom w:val="nil"/>
              <w:right w:val="nil"/>
            </w:tcBorders>
          </w:tcPr>
          <w:p w14:paraId="63126EF8" w14:textId="5542D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573</w:t>
            </w:r>
          </w:p>
        </w:tc>
        <w:tc>
          <w:tcPr>
            <w:tcW w:w="1389" w:type="dxa"/>
            <w:tcBorders>
              <w:top w:val="nil"/>
              <w:left w:val="nil"/>
              <w:bottom w:val="nil"/>
              <w:right w:val="nil"/>
            </w:tcBorders>
          </w:tcPr>
          <w:p w14:paraId="350417D8" w14:textId="3943765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890" w:type="dxa"/>
            <w:tcBorders>
              <w:left w:val="nil"/>
              <w:right w:val="nil"/>
            </w:tcBorders>
          </w:tcPr>
          <w:p w14:paraId="1DEC6F74" w14:textId="708B8F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368A9FCA" w14:textId="3C077C4D"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91.5</w:t>
            </w:r>
            <w:r>
              <w:rPr>
                <w:rFonts w:cs="Times New Roman"/>
                <w:color w:val="0D0D0D"/>
                <w:szCs w:val="20"/>
                <w:shd w:val="clear" w:color="auto" w:fill="FFFFFF"/>
                <w:vertAlign w:val="superscript"/>
                <w:lang w:val="en-US"/>
              </w:rPr>
              <w:t>*</w:t>
            </w:r>
          </w:p>
        </w:tc>
        <w:tc>
          <w:tcPr>
            <w:tcW w:w="1538" w:type="dxa"/>
          </w:tcPr>
          <w:p w14:paraId="5F69CD62" w14:textId="057EE1E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0C9DCFA6" w14:textId="78F919D1" w:rsidTr="007D28FF">
        <w:trPr>
          <w:jc w:val="center"/>
        </w:trPr>
        <w:tc>
          <w:tcPr>
            <w:tcW w:w="746" w:type="dxa"/>
            <w:tcBorders>
              <w:right w:val="nil"/>
            </w:tcBorders>
          </w:tcPr>
          <w:p w14:paraId="56CB69B4"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2015</w:t>
            </w:r>
          </w:p>
        </w:tc>
        <w:tc>
          <w:tcPr>
            <w:tcW w:w="1773" w:type="dxa"/>
            <w:tcBorders>
              <w:left w:val="nil"/>
              <w:right w:val="nil"/>
            </w:tcBorders>
          </w:tcPr>
          <w:p w14:paraId="54A30258" w14:textId="02D00AB9"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22042</w:t>
            </w:r>
          </w:p>
        </w:tc>
        <w:tc>
          <w:tcPr>
            <w:tcW w:w="1529" w:type="dxa"/>
            <w:tcBorders>
              <w:top w:val="nil"/>
              <w:left w:val="nil"/>
              <w:bottom w:val="nil"/>
              <w:right w:val="nil"/>
            </w:tcBorders>
          </w:tcPr>
          <w:p w14:paraId="56B63DCC" w14:textId="3F298E7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162071</w:t>
            </w:r>
          </w:p>
        </w:tc>
        <w:tc>
          <w:tcPr>
            <w:tcW w:w="1856" w:type="dxa"/>
            <w:tcBorders>
              <w:top w:val="nil"/>
              <w:left w:val="nil"/>
              <w:bottom w:val="nil"/>
              <w:right w:val="nil"/>
            </w:tcBorders>
          </w:tcPr>
          <w:p w14:paraId="6A4A915D" w14:textId="2CEB375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1226</w:t>
            </w:r>
          </w:p>
        </w:tc>
        <w:tc>
          <w:tcPr>
            <w:tcW w:w="1527" w:type="dxa"/>
            <w:tcBorders>
              <w:top w:val="nil"/>
              <w:left w:val="nil"/>
              <w:bottom w:val="nil"/>
              <w:right w:val="nil"/>
            </w:tcBorders>
          </w:tcPr>
          <w:p w14:paraId="60454E71" w14:textId="15FA1591"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454</w:t>
            </w:r>
          </w:p>
        </w:tc>
        <w:tc>
          <w:tcPr>
            <w:tcW w:w="1389" w:type="dxa"/>
            <w:tcBorders>
              <w:top w:val="nil"/>
              <w:left w:val="nil"/>
              <w:bottom w:val="nil"/>
              <w:right w:val="nil"/>
            </w:tcBorders>
          </w:tcPr>
          <w:p w14:paraId="7C666DA1" w14:textId="2447E9B0"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358</w:t>
            </w:r>
          </w:p>
        </w:tc>
        <w:tc>
          <w:tcPr>
            <w:tcW w:w="1890" w:type="dxa"/>
            <w:tcBorders>
              <w:left w:val="nil"/>
              <w:right w:val="nil"/>
            </w:tcBorders>
          </w:tcPr>
          <w:p w14:paraId="4A5040DD" w14:textId="791381C5"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87FD9D1" w14:textId="57F7E5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41.6</w:t>
            </w:r>
          </w:p>
        </w:tc>
        <w:tc>
          <w:tcPr>
            <w:tcW w:w="1538" w:type="dxa"/>
          </w:tcPr>
          <w:p w14:paraId="07605260" w14:textId="0E84141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76F246AD" w14:textId="1544F27C" w:rsidTr="007D28FF">
        <w:trPr>
          <w:trHeight w:val="58"/>
          <w:jc w:val="center"/>
        </w:trPr>
        <w:tc>
          <w:tcPr>
            <w:tcW w:w="746" w:type="dxa"/>
            <w:tcBorders>
              <w:right w:val="nil"/>
            </w:tcBorders>
          </w:tcPr>
          <w:p w14:paraId="1D33D971"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2016</w:t>
            </w:r>
          </w:p>
        </w:tc>
        <w:tc>
          <w:tcPr>
            <w:tcW w:w="1773" w:type="dxa"/>
            <w:tcBorders>
              <w:left w:val="nil"/>
              <w:right w:val="nil"/>
            </w:tcBorders>
          </w:tcPr>
          <w:p w14:paraId="69297820" w14:textId="524B399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17297</w:t>
            </w:r>
          </w:p>
        </w:tc>
        <w:tc>
          <w:tcPr>
            <w:tcW w:w="1529" w:type="dxa"/>
            <w:tcBorders>
              <w:top w:val="nil"/>
              <w:left w:val="nil"/>
              <w:bottom w:val="nil"/>
              <w:right w:val="nil"/>
            </w:tcBorders>
          </w:tcPr>
          <w:p w14:paraId="10FA88CE" w14:textId="7980DD4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170936</w:t>
            </w:r>
          </w:p>
        </w:tc>
        <w:tc>
          <w:tcPr>
            <w:tcW w:w="1856" w:type="dxa"/>
            <w:tcBorders>
              <w:top w:val="nil"/>
              <w:left w:val="nil"/>
              <w:bottom w:val="nil"/>
              <w:right w:val="nil"/>
            </w:tcBorders>
          </w:tcPr>
          <w:p w14:paraId="1FC458FD" w14:textId="286DA25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821</w:t>
            </w:r>
          </w:p>
        </w:tc>
        <w:tc>
          <w:tcPr>
            <w:tcW w:w="1527" w:type="dxa"/>
            <w:tcBorders>
              <w:top w:val="nil"/>
              <w:left w:val="nil"/>
              <w:bottom w:val="nil"/>
              <w:right w:val="nil"/>
            </w:tcBorders>
          </w:tcPr>
          <w:p w14:paraId="5662C376" w14:textId="28C714FA"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366</w:t>
            </w:r>
          </w:p>
        </w:tc>
        <w:tc>
          <w:tcPr>
            <w:tcW w:w="1389" w:type="dxa"/>
            <w:tcBorders>
              <w:top w:val="nil"/>
              <w:left w:val="nil"/>
              <w:bottom w:val="nil"/>
              <w:right w:val="nil"/>
            </w:tcBorders>
          </w:tcPr>
          <w:p w14:paraId="190084C6" w14:textId="48B6E7C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325</w:t>
            </w:r>
          </w:p>
        </w:tc>
        <w:tc>
          <w:tcPr>
            <w:tcW w:w="1890" w:type="dxa"/>
            <w:tcBorders>
              <w:left w:val="nil"/>
              <w:right w:val="nil"/>
            </w:tcBorders>
          </w:tcPr>
          <w:p w14:paraId="24DFC06C" w14:textId="0088BE7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1BDB5728" w14:textId="7112132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45.1</w:t>
            </w:r>
          </w:p>
        </w:tc>
        <w:tc>
          <w:tcPr>
            <w:tcW w:w="1538" w:type="dxa"/>
          </w:tcPr>
          <w:p w14:paraId="11174F13" w14:textId="460A26E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w:t>
            </w:r>
          </w:p>
        </w:tc>
      </w:tr>
      <w:tr w:rsidR="00D95BD9" w:rsidRPr="002D7CDC" w14:paraId="3BAFCFBC" w14:textId="46413F14" w:rsidTr="007D28FF">
        <w:trPr>
          <w:jc w:val="center"/>
        </w:trPr>
        <w:tc>
          <w:tcPr>
            <w:tcW w:w="746" w:type="dxa"/>
            <w:tcBorders>
              <w:right w:val="nil"/>
            </w:tcBorders>
          </w:tcPr>
          <w:p w14:paraId="478E5FF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2017</w:t>
            </w:r>
          </w:p>
        </w:tc>
        <w:tc>
          <w:tcPr>
            <w:tcW w:w="1773" w:type="dxa"/>
            <w:tcBorders>
              <w:left w:val="nil"/>
              <w:right w:val="nil"/>
            </w:tcBorders>
          </w:tcPr>
          <w:p w14:paraId="3C058AEF" w14:textId="13288D68"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21209</w:t>
            </w:r>
          </w:p>
        </w:tc>
        <w:tc>
          <w:tcPr>
            <w:tcW w:w="1529" w:type="dxa"/>
            <w:tcBorders>
              <w:top w:val="nil"/>
              <w:left w:val="nil"/>
              <w:bottom w:val="nil"/>
              <w:right w:val="nil"/>
            </w:tcBorders>
          </w:tcPr>
          <w:p w14:paraId="335410A4" w14:textId="10EFAD7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190941</w:t>
            </w:r>
          </w:p>
        </w:tc>
        <w:tc>
          <w:tcPr>
            <w:tcW w:w="1856" w:type="dxa"/>
            <w:tcBorders>
              <w:top w:val="nil"/>
              <w:left w:val="nil"/>
              <w:bottom w:val="nil"/>
              <w:right w:val="nil"/>
            </w:tcBorders>
          </w:tcPr>
          <w:p w14:paraId="0E104717" w14:textId="765EF11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839</w:t>
            </w:r>
          </w:p>
        </w:tc>
        <w:tc>
          <w:tcPr>
            <w:tcW w:w="1527" w:type="dxa"/>
            <w:tcBorders>
              <w:top w:val="nil"/>
              <w:left w:val="nil"/>
              <w:bottom w:val="nil"/>
              <w:right w:val="nil"/>
            </w:tcBorders>
          </w:tcPr>
          <w:p w14:paraId="392226B8" w14:textId="4A3B6032"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355</w:t>
            </w:r>
          </w:p>
        </w:tc>
        <w:tc>
          <w:tcPr>
            <w:tcW w:w="1389" w:type="dxa"/>
            <w:tcBorders>
              <w:top w:val="nil"/>
              <w:left w:val="nil"/>
              <w:bottom w:val="nil"/>
              <w:right w:val="nil"/>
            </w:tcBorders>
          </w:tcPr>
          <w:p w14:paraId="4428A66D" w14:textId="3F4AEA2B"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327</w:t>
            </w:r>
          </w:p>
        </w:tc>
        <w:tc>
          <w:tcPr>
            <w:tcW w:w="1890" w:type="dxa"/>
            <w:tcBorders>
              <w:left w:val="nil"/>
              <w:right w:val="nil"/>
            </w:tcBorders>
          </w:tcPr>
          <w:p w14:paraId="23ED62CA" w14:textId="43F25EB9"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7339A368" w14:textId="6DF3CB9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54.4</w:t>
            </w:r>
          </w:p>
        </w:tc>
        <w:tc>
          <w:tcPr>
            <w:tcW w:w="1538" w:type="dxa"/>
          </w:tcPr>
          <w:p w14:paraId="501DBE6D" w14:textId="7D0F10F3"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r>
      <w:tr w:rsidR="00D95BD9" w:rsidRPr="002D7CDC" w14:paraId="07D7E33D" w14:textId="201F4579" w:rsidTr="007D28FF">
        <w:trPr>
          <w:jc w:val="center"/>
        </w:trPr>
        <w:tc>
          <w:tcPr>
            <w:tcW w:w="746" w:type="dxa"/>
            <w:tcBorders>
              <w:right w:val="nil"/>
            </w:tcBorders>
          </w:tcPr>
          <w:p w14:paraId="62C14220"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2018</w:t>
            </w:r>
          </w:p>
        </w:tc>
        <w:tc>
          <w:tcPr>
            <w:tcW w:w="1773" w:type="dxa"/>
            <w:tcBorders>
              <w:left w:val="nil"/>
              <w:right w:val="nil"/>
            </w:tcBorders>
          </w:tcPr>
          <w:p w14:paraId="2B12B5DF" w14:textId="3B94A243"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26748</w:t>
            </w:r>
          </w:p>
        </w:tc>
        <w:tc>
          <w:tcPr>
            <w:tcW w:w="1529" w:type="dxa"/>
            <w:tcBorders>
              <w:top w:val="nil"/>
              <w:left w:val="nil"/>
              <w:bottom w:val="nil"/>
              <w:right w:val="nil"/>
            </w:tcBorders>
          </w:tcPr>
          <w:p w14:paraId="53DEF618" w14:textId="4C9BD398"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228103</w:t>
            </w:r>
          </w:p>
        </w:tc>
        <w:tc>
          <w:tcPr>
            <w:tcW w:w="1856" w:type="dxa"/>
            <w:tcBorders>
              <w:top w:val="nil"/>
              <w:left w:val="nil"/>
              <w:bottom w:val="nil"/>
              <w:right w:val="nil"/>
            </w:tcBorders>
          </w:tcPr>
          <w:p w14:paraId="5C0040F7" w14:textId="3B0F453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799</w:t>
            </w:r>
          </w:p>
        </w:tc>
        <w:tc>
          <w:tcPr>
            <w:tcW w:w="1527" w:type="dxa"/>
            <w:tcBorders>
              <w:top w:val="nil"/>
              <w:left w:val="nil"/>
              <w:bottom w:val="nil"/>
              <w:right w:val="nil"/>
            </w:tcBorders>
          </w:tcPr>
          <w:p w14:paraId="6271B7A0" w14:textId="592C9A14"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361</w:t>
            </w:r>
          </w:p>
        </w:tc>
        <w:tc>
          <w:tcPr>
            <w:tcW w:w="1389" w:type="dxa"/>
            <w:tcBorders>
              <w:top w:val="nil"/>
              <w:left w:val="nil"/>
              <w:bottom w:val="nil"/>
              <w:right w:val="nil"/>
            </w:tcBorders>
          </w:tcPr>
          <w:p w14:paraId="2B075967" w14:textId="21F168AD" w:rsidR="00E5498B" w:rsidRDefault="007C1062"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328</w:t>
            </w:r>
          </w:p>
        </w:tc>
        <w:tc>
          <w:tcPr>
            <w:tcW w:w="1890" w:type="dxa"/>
            <w:tcBorders>
              <w:left w:val="nil"/>
              <w:right w:val="nil"/>
            </w:tcBorders>
          </w:tcPr>
          <w:p w14:paraId="725DF0AC" w14:textId="6685833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542B3E3A" w14:textId="26ABECB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63.6</w:t>
            </w:r>
          </w:p>
        </w:tc>
        <w:tc>
          <w:tcPr>
            <w:tcW w:w="1538" w:type="dxa"/>
          </w:tcPr>
          <w:p w14:paraId="6AB8FFAE" w14:textId="28D241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43.2</w:t>
            </w:r>
          </w:p>
        </w:tc>
      </w:tr>
      <w:tr w:rsidR="00D95BD9" w:rsidRPr="002D7CDC" w14:paraId="58ECEB2E" w14:textId="5635B66A" w:rsidTr="007D28FF">
        <w:trPr>
          <w:jc w:val="center"/>
        </w:trPr>
        <w:tc>
          <w:tcPr>
            <w:tcW w:w="746" w:type="dxa"/>
            <w:tcBorders>
              <w:bottom w:val="nil"/>
              <w:right w:val="nil"/>
            </w:tcBorders>
          </w:tcPr>
          <w:p w14:paraId="0035499F"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2019</w:t>
            </w:r>
          </w:p>
        </w:tc>
        <w:tc>
          <w:tcPr>
            <w:tcW w:w="1773" w:type="dxa"/>
            <w:tcBorders>
              <w:left w:val="nil"/>
              <w:bottom w:val="nil"/>
              <w:right w:val="nil"/>
            </w:tcBorders>
          </w:tcPr>
          <w:p w14:paraId="1755FD8E" w14:textId="4E81EEA0"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33634</w:t>
            </w:r>
          </w:p>
        </w:tc>
        <w:tc>
          <w:tcPr>
            <w:tcW w:w="1529" w:type="dxa"/>
            <w:tcBorders>
              <w:top w:val="nil"/>
              <w:left w:val="nil"/>
              <w:bottom w:val="nil"/>
              <w:right w:val="nil"/>
            </w:tcBorders>
          </w:tcPr>
          <w:p w14:paraId="5FA69BC7" w14:textId="694EE94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268605</w:t>
            </w:r>
          </w:p>
        </w:tc>
        <w:tc>
          <w:tcPr>
            <w:tcW w:w="1856" w:type="dxa"/>
            <w:tcBorders>
              <w:top w:val="nil"/>
              <w:left w:val="nil"/>
              <w:bottom w:val="nil"/>
              <w:right w:val="nil"/>
            </w:tcBorders>
          </w:tcPr>
          <w:p w14:paraId="118E188A" w14:textId="2B93C98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nil"/>
              <w:right w:val="nil"/>
            </w:tcBorders>
          </w:tcPr>
          <w:p w14:paraId="3C782FA8" w14:textId="6C9C3A46"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408</w:t>
            </w:r>
          </w:p>
        </w:tc>
        <w:tc>
          <w:tcPr>
            <w:tcW w:w="1389" w:type="dxa"/>
            <w:tcBorders>
              <w:top w:val="nil"/>
              <w:left w:val="nil"/>
              <w:bottom w:val="nil"/>
              <w:right w:val="nil"/>
            </w:tcBorders>
          </w:tcPr>
          <w:p w14:paraId="420C4E67" w14:textId="4C25B11D" w:rsidR="00E5498B" w:rsidRDefault="001A06DF"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419</w:t>
            </w:r>
          </w:p>
        </w:tc>
        <w:tc>
          <w:tcPr>
            <w:tcW w:w="1890" w:type="dxa"/>
            <w:tcBorders>
              <w:left w:val="nil"/>
              <w:bottom w:val="nil"/>
              <w:right w:val="nil"/>
            </w:tcBorders>
          </w:tcPr>
          <w:p w14:paraId="6F7B90B7" w14:textId="53FD93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bottom w:val="nil"/>
            </w:tcBorders>
          </w:tcPr>
          <w:p w14:paraId="68B73222" w14:textId="6A2BC7D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75.0</w:t>
            </w:r>
          </w:p>
        </w:tc>
        <w:tc>
          <w:tcPr>
            <w:tcW w:w="1538" w:type="dxa"/>
            <w:tcBorders>
              <w:bottom w:val="nil"/>
            </w:tcBorders>
          </w:tcPr>
          <w:p w14:paraId="65A3D22D" w14:textId="62D80AB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45.2</w:t>
            </w:r>
          </w:p>
        </w:tc>
      </w:tr>
      <w:tr w:rsidR="00393D45" w:rsidRPr="002D7CDC" w14:paraId="02936333" w14:textId="77777777" w:rsidTr="007D28FF">
        <w:trPr>
          <w:jc w:val="center"/>
        </w:trPr>
        <w:tc>
          <w:tcPr>
            <w:tcW w:w="746" w:type="dxa"/>
            <w:tcBorders>
              <w:top w:val="nil"/>
              <w:bottom w:val="nil"/>
              <w:right w:val="nil"/>
            </w:tcBorders>
            <w:shd w:val="clear" w:color="auto" w:fill="FFFF00"/>
          </w:tcPr>
          <w:p w14:paraId="77C8A8D0" w14:textId="4CEC4A23"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2020</w:t>
            </w:r>
            <w:r w:rsidRPr="00986483">
              <w:rPr>
                <w:rStyle w:val="FootnoteReference"/>
                <w:rFonts w:cs="Times New Roman"/>
                <w:color w:val="0D0D0D"/>
                <w:szCs w:val="20"/>
                <w:highlight w:val="yellow"/>
                <w:shd w:val="clear" w:color="auto" w:fill="FFFFFF"/>
                <w:lang w:val="en-US"/>
              </w:rPr>
              <w:footnoteReference w:customMarkFollows="1" w:id="2"/>
              <w:t>**</w:t>
            </w:r>
          </w:p>
        </w:tc>
        <w:tc>
          <w:tcPr>
            <w:tcW w:w="1773" w:type="dxa"/>
            <w:tcBorders>
              <w:top w:val="nil"/>
              <w:left w:val="nil"/>
              <w:bottom w:val="nil"/>
              <w:right w:val="nil"/>
            </w:tcBorders>
            <w:shd w:val="clear" w:color="auto" w:fill="FFFF00"/>
          </w:tcPr>
          <w:p w14:paraId="68011A70" w14:textId="75790F92"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24936</w:t>
            </w:r>
          </w:p>
        </w:tc>
        <w:tc>
          <w:tcPr>
            <w:tcW w:w="1529" w:type="dxa"/>
            <w:tcBorders>
              <w:top w:val="nil"/>
              <w:left w:val="nil"/>
              <w:bottom w:val="nil"/>
              <w:right w:val="nil"/>
            </w:tcBorders>
            <w:shd w:val="clear" w:color="auto" w:fill="FFFF00"/>
          </w:tcPr>
          <w:p w14:paraId="0ED79356" w14:textId="1465D0F3"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219721</w:t>
            </w:r>
          </w:p>
        </w:tc>
        <w:tc>
          <w:tcPr>
            <w:tcW w:w="1856" w:type="dxa"/>
            <w:tcBorders>
              <w:top w:val="nil"/>
              <w:left w:val="nil"/>
              <w:bottom w:val="nil"/>
              <w:right w:val="nil"/>
            </w:tcBorders>
            <w:shd w:val="clear" w:color="auto" w:fill="FFFF00"/>
          </w:tcPr>
          <w:p w14:paraId="01A0169C" w14:textId="15B2FE6F"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785</w:t>
            </w:r>
          </w:p>
        </w:tc>
        <w:tc>
          <w:tcPr>
            <w:tcW w:w="1527" w:type="dxa"/>
            <w:tcBorders>
              <w:top w:val="nil"/>
              <w:left w:val="nil"/>
              <w:bottom w:val="nil"/>
              <w:right w:val="nil"/>
            </w:tcBorders>
            <w:shd w:val="clear" w:color="auto" w:fill="FFFF00"/>
          </w:tcPr>
          <w:p w14:paraId="5F437C1A" w14:textId="7DA0F0A0" w:rsidR="00E5498B" w:rsidRPr="0098648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410</w:t>
            </w:r>
          </w:p>
        </w:tc>
        <w:tc>
          <w:tcPr>
            <w:tcW w:w="1389" w:type="dxa"/>
            <w:tcBorders>
              <w:top w:val="nil"/>
              <w:left w:val="nil"/>
              <w:bottom w:val="nil"/>
              <w:right w:val="nil"/>
            </w:tcBorders>
            <w:shd w:val="clear" w:color="auto" w:fill="FFFF00"/>
          </w:tcPr>
          <w:p w14:paraId="47F1757D" w14:textId="5D640530" w:rsidR="00E5498B" w:rsidRPr="0098648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265</w:t>
            </w:r>
          </w:p>
        </w:tc>
        <w:tc>
          <w:tcPr>
            <w:tcW w:w="1890" w:type="dxa"/>
            <w:tcBorders>
              <w:top w:val="nil"/>
              <w:left w:val="nil"/>
              <w:bottom w:val="nil"/>
              <w:right w:val="nil"/>
            </w:tcBorders>
            <w:shd w:val="clear" w:color="auto" w:fill="FFFF00"/>
          </w:tcPr>
          <w:p w14:paraId="0D6023AA" w14:textId="6D288E8C"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0.0</w:t>
            </w:r>
          </w:p>
        </w:tc>
        <w:tc>
          <w:tcPr>
            <w:tcW w:w="1710" w:type="dxa"/>
            <w:tcBorders>
              <w:top w:val="nil"/>
              <w:left w:val="nil"/>
              <w:bottom w:val="nil"/>
              <w:right w:val="single" w:sz="4" w:space="0" w:color="auto"/>
            </w:tcBorders>
            <w:shd w:val="clear" w:color="auto" w:fill="FFFF00"/>
          </w:tcPr>
          <w:p w14:paraId="3C44F697" w14:textId="07E7A13B"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79.2</w:t>
            </w:r>
          </w:p>
        </w:tc>
        <w:tc>
          <w:tcPr>
            <w:tcW w:w="1538" w:type="dxa"/>
            <w:tcBorders>
              <w:top w:val="nil"/>
              <w:left w:val="single" w:sz="4" w:space="0" w:color="auto"/>
              <w:bottom w:val="nil"/>
            </w:tcBorders>
            <w:shd w:val="clear" w:color="auto" w:fill="FFFF00"/>
          </w:tcPr>
          <w:p w14:paraId="3CB4E3C9" w14:textId="3080CEB6"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30.7</w:t>
            </w:r>
          </w:p>
        </w:tc>
      </w:tr>
      <w:tr w:rsidR="00393D45" w:rsidRPr="002D7CDC" w14:paraId="58DA3189" w14:textId="77777777" w:rsidTr="007D28FF">
        <w:trPr>
          <w:jc w:val="center"/>
        </w:trPr>
        <w:tc>
          <w:tcPr>
            <w:tcW w:w="746" w:type="dxa"/>
            <w:tcBorders>
              <w:top w:val="nil"/>
              <w:bottom w:val="nil"/>
              <w:right w:val="nil"/>
            </w:tcBorders>
            <w:shd w:val="clear" w:color="auto" w:fill="FFFF00"/>
          </w:tcPr>
          <w:p w14:paraId="54ECB8AC" w14:textId="32C3FFFD"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vertAlign w:val="superscript"/>
                <w:lang w:val="en-US"/>
              </w:rPr>
            </w:pPr>
            <w:r w:rsidRPr="00986483">
              <w:rPr>
                <w:rFonts w:cs="Times New Roman"/>
                <w:color w:val="0D0D0D"/>
                <w:szCs w:val="20"/>
                <w:highlight w:val="yellow"/>
                <w:shd w:val="clear" w:color="auto" w:fill="FFFFFF"/>
                <w:lang w:val="en-US"/>
              </w:rPr>
              <w:t>2021</w:t>
            </w:r>
            <w:r w:rsidRPr="00986483">
              <w:rPr>
                <w:rFonts w:cs="Times New Roman"/>
                <w:color w:val="0D0D0D"/>
                <w:szCs w:val="20"/>
                <w:highlight w:val="yellow"/>
                <w:shd w:val="clear" w:color="auto" w:fill="FFFFFF"/>
                <w:vertAlign w:val="superscript"/>
                <w:lang w:val="en-US"/>
              </w:rPr>
              <w:t>**</w:t>
            </w:r>
          </w:p>
        </w:tc>
        <w:tc>
          <w:tcPr>
            <w:tcW w:w="1773" w:type="dxa"/>
            <w:tcBorders>
              <w:top w:val="nil"/>
              <w:left w:val="nil"/>
              <w:bottom w:val="nil"/>
              <w:right w:val="nil"/>
            </w:tcBorders>
            <w:shd w:val="clear" w:color="auto" w:fill="FFFF00"/>
          </w:tcPr>
          <w:p w14:paraId="1875855D" w14:textId="1ECE7044"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24830</w:t>
            </w:r>
          </w:p>
        </w:tc>
        <w:tc>
          <w:tcPr>
            <w:tcW w:w="1529" w:type="dxa"/>
            <w:tcBorders>
              <w:top w:val="nil"/>
              <w:left w:val="nil"/>
              <w:bottom w:val="nil"/>
              <w:right w:val="nil"/>
            </w:tcBorders>
            <w:shd w:val="clear" w:color="auto" w:fill="FFFF00"/>
          </w:tcPr>
          <w:p w14:paraId="3D027C30" w14:textId="2CDE2FE9"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260778</w:t>
            </w:r>
          </w:p>
        </w:tc>
        <w:tc>
          <w:tcPr>
            <w:tcW w:w="1856" w:type="dxa"/>
            <w:tcBorders>
              <w:top w:val="nil"/>
              <w:left w:val="nil"/>
              <w:bottom w:val="nil"/>
              <w:right w:val="nil"/>
            </w:tcBorders>
            <w:shd w:val="clear" w:color="auto" w:fill="FFFF00"/>
          </w:tcPr>
          <w:p w14:paraId="3126A3B9" w14:textId="7F3C07C1"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894</w:t>
            </w:r>
          </w:p>
        </w:tc>
        <w:tc>
          <w:tcPr>
            <w:tcW w:w="1527" w:type="dxa"/>
            <w:tcBorders>
              <w:top w:val="nil"/>
              <w:left w:val="nil"/>
              <w:bottom w:val="nil"/>
              <w:right w:val="nil"/>
            </w:tcBorders>
            <w:shd w:val="clear" w:color="auto" w:fill="FFFF00"/>
          </w:tcPr>
          <w:p w14:paraId="10573274" w14:textId="211643D0" w:rsidR="00E5498B" w:rsidRPr="0098648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411</w:t>
            </w:r>
          </w:p>
        </w:tc>
        <w:tc>
          <w:tcPr>
            <w:tcW w:w="1389" w:type="dxa"/>
            <w:tcBorders>
              <w:top w:val="nil"/>
              <w:left w:val="nil"/>
              <w:bottom w:val="nil"/>
              <w:right w:val="nil"/>
            </w:tcBorders>
            <w:shd w:val="clear" w:color="auto" w:fill="FFFF00"/>
          </w:tcPr>
          <w:p w14:paraId="3052EA8B" w14:textId="738BB2C4" w:rsidR="00E5498B" w:rsidRPr="00986483"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Pr>
                <w:rFonts w:cs="Times New Roman"/>
                <w:color w:val="0D0D0D"/>
                <w:szCs w:val="20"/>
                <w:highlight w:val="yellow"/>
                <w:shd w:val="clear" w:color="auto" w:fill="FFFFFF"/>
                <w:lang w:val="en-US"/>
              </w:rPr>
              <w:t>483</w:t>
            </w:r>
          </w:p>
        </w:tc>
        <w:tc>
          <w:tcPr>
            <w:tcW w:w="1890" w:type="dxa"/>
            <w:tcBorders>
              <w:top w:val="nil"/>
              <w:left w:val="nil"/>
              <w:bottom w:val="nil"/>
              <w:right w:val="nil"/>
            </w:tcBorders>
            <w:shd w:val="clear" w:color="auto" w:fill="FFFF00"/>
          </w:tcPr>
          <w:p w14:paraId="6F8A0352" w14:textId="15351427"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0.0</w:t>
            </w:r>
          </w:p>
        </w:tc>
        <w:tc>
          <w:tcPr>
            <w:tcW w:w="1710" w:type="dxa"/>
            <w:tcBorders>
              <w:top w:val="nil"/>
              <w:left w:val="nil"/>
              <w:bottom w:val="nil"/>
              <w:right w:val="single" w:sz="4" w:space="0" w:color="auto"/>
            </w:tcBorders>
            <w:shd w:val="clear" w:color="auto" w:fill="FFFF00"/>
          </w:tcPr>
          <w:p w14:paraId="1CAE4605" w14:textId="508F3415"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86.0</w:t>
            </w:r>
          </w:p>
        </w:tc>
        <w:tc>
          <w:tcPr>
            <w:tcW w:w="1538" w:type="dxa"/>
            <w:tcBorders>
              <w:top w:val="nil"/>
              <w:left w:val="single" w:sz="4" w:space="0" w:color="auto"/>
              <w:bottom w:val="nil"/>
            </w:tcBorders>
            <w:shd w:val="clear" w:color="auto" w:fill="FFFF00"/>
          </w:tcPr>
          <w:p w14:paraId="64C0F093" w14:textId="2596E237" w:rsidR="00E5498B" w:rsidRPr="0098648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highlight w:val="yellow"/>
                <w:shd w:val="clear" w:color="auto" w:fill="FFFFFF"/>
                <w:lang w:val="en-US"/>
              </w:rPr>
            </w:pPr>
            <w:r w:rsidRPr="00986483">
              <w:rPr>
                <w:rFonts w:cs="Times New Roman"/>
                <w:color w:val="0D0D0D"/>
                <w:szCs w:val="20"/>
                <w:highlight w:val="yellow"/>
                <w:shd w:val="clear" w:color="auto" w:fill="FFFFFF"/>
                <w:lang w:val="en-US"/>
              </w:rPr>
              <w:t>33.6</w:t>
            </w:r>
          </w:p>
        </w:tc>
      </w:tr>
      <w:tr w:rsidR="00D95BD9" w:rsidRPr="002D7CDC" w14:paraId="30BA7BAE" w14:textId="58C30819" w:rsidTr="007D28FF">
        <w:trPr>
          <w:jc w:val="center"/>
        </w:trPr>
        <w:tc>
          <w:tcPr>
            <w:tcW w:w="746" w:type="dxa"/>
            <w:tcBorders>
              <w:top w:val="nil"/>
              <w:right w:val="nil"/>
            </w:tcBorders>
          </w:tcPr>
          <w:p w14:paraId="14072D92"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2022</w:t>
            </w:r>
          </w:p>
        </w:tc>
        <w:tc>
          <w:tcPr>
            <w:tcW w:w="1773" w:type="dxa"/>
            <w:tcBorders>
              <w:top w:val="nil"/>
              <w:left w:val="nil"/>
              <w:right w:val="nil"/>
            </w:tcBorders>
          </w:tcPr>
          <w:p w14:paraId="726BE844" w14:textId="122BD8C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36933</w:t>
            </w:r>
          </w:p>
        </w:tc>
        <w:tc>
          <w:tcPr>
            <w:tcW w:w="1529" w:type="dxa"/>
            <w:tcBorders>
              <w:top w:val="nil"/>
              <w:left w:val="nil"/>
              <w:bottom w:val="nil"/>
              <w:right w:val="nil"/>
            </w:tcBorders>
          </w:tcPr>
          <w:p w14:paraId="292AEB5E" w14:textId="1DD4152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323012</w:t>
            </w:r>
          </w:p>
        </w:tc>
        <w:tc>
          <w:tcPr>
            <w:tcW w:w="1856" w:type="dxa"/>
            <w:tcBorders>
              <w:top w:val="nil"/>
              <w:left w:val="nil"/>
              <w:bottom w:val="nil"/>
              <w:right w:val="nil"/>
            </w:tcBorders>
          </w:tcPr>
          <w:p w14:paraId="37F20F8D" w14:textId="236307B2"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852</w:t>
            </w:r>
          </w:p>
        </w:tc>
        <w:tc>
          <w:tcPr>
            <w:tcW w:w="1527" w:type="dxa"/>
            <w:tcBorders>
              <w:top w:val="nil"/>
              <w:left w:val="nil"/>
              <w:bottom w:val="nil"/>
              <w:right w:val="nil"/>
            </w:tcBorders>
          </w:tcPr>
          <w:p w14:paraId="6D14F324" w14:textId="5CC0B759"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367</w:t>
            </w:r>
          </w:p>
        </w:tc>
        <w:tc>
          <w:tcPr>
            <w:tcW w:w="1389" w:type="dxa"/>
            <w:tcBorders>
              <w:top w:val="nil"/>
              <w:left w:val="nil"/>
              <w:bottom w:val="nil"/>
              <w:right w:val="nil"/>
            </w:tcBorders>
          </w:tcPr>
          <w:p w14:paraId="33FFE52C" w14:textId="4E2A5E23"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481</w:t>
            </w:r>
          </w:p>
        </w:tc>
        <w:tc>
          <w:tcPr>
            <w:tcW w:w="1890" w:type="dxa"/>
            <w:tcBorders>
              <w:top w:val="nil"/>
              <w:left w:val="nil"/>
              <w:right w:val="nil"/>
            </w:tcBorders>
          </w:tcPr>
          <w:p w14:paraId="2A5D754F" w14:textId="77FCB02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top w:val="nil"/>
              <w:left w:val="nil"/>
            </w:tcBorders>
          </w:tcPr>
          <w:p w14:paraId="64FF7F06" w14:textId="435CD04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68.5</w:t>
            </w:r>
          </w:p>
        </w:tc>
        <w:tc>
          <w:tcPr>
            <w:tcW w:w="1538" w:type="dxa"/>
            <w:tcBorders>
              <w:top w:val="nil"/>
            </w:tcBorders>
          </w:tcPr>
          <w:p w14:paraId="4D1A9BAC" w14:textId="7E97DEE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18.3</w:t>
            </w:r>
          </w:p>
        </w:tc>
      </w:tr>
      <w:tr w:rsidR="00D95BD9" w:rsidRPr="002D7CDC" w14:paraId="79866FA1" w14:textId="10D2E13D" w:rsidTr="007D28FF">
        <w:trPr>
          <w:jc w:val="center"/>
        </w:trPr>
        <w:tc>
          <w:tcPr>
            <w:tcW w:w="746" w:type="dxa"/>
            <w:tcBorders>
              <w:right w:val="nil"/>
            </w:tcBorders>
          </w:tcPr>
          <w:p w14:paraId="7D27892A"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2023</w:t>
            </w:r>
          </w:p>
        </w:tc>
        <w:tc>
          <w:tcPr>
            <w:tcW w:w="1773" w:type="dxa"/>
            <w:tcBorders>
              <w:left w:val="nil"/>
              <w:bottom w:val="nil"/>
              <w:right w:val="nil"/>
            </w:tcBorders>
          </w:tcPr>
          <w:p w14:paraId="70C610FB" w14:textId="35C55316"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40344</w:t>
            </w:r>
          </w:p>
        </w:tc>
        <w:tc>
          <w:tcPr>
            <w:tcW w:w="1529" w:type="dxa"/>
            <w:tcBorders>
              <w:top w:val="nil"/>
              <w:left w:val="nil"/>
              <w:bottom w:val="nil"/>
              <w:right w:val="nil"/>
            </w:tcBorders>
          </w:tcPr>
          <w:p w14:paraId="46CFFDD0" w14:textId="13886E64"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364015</w:t>
            </w:r>
          </w:p>
        </w:tc>
        <w:tc>
          <w:tcPr>
            <w:tcW w:w="1856" w:type="dxa"/>
            <w:tcBorders>
              <w:top w:val="nil"/>
              <w:left w:val="nil"/>
              <w:bottom w:val="nil"/>
              <w:right w:val="nil"/>
            </w:tcBorders>
          </w:tcPr>
          <w:p w14:paraId="5417F580" w14:textId="6E94355C"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1052</w:t>
            </w:r>
          </w:p>
        </w:tc>
        <w:tc>
          <w:tcPr>
            <w:tcW w:w="1527" w:type="dxa"/>
            <w:tcBorders>
              <w:top w:val="nil"/>
              <w:left w:val="nil"/>
              <w:bottom w:val="nil"/>
              <w:right w:val="nil"/>
            </w:tcBorders>
          </w:tcPr>
          <w:p w14:paraId="10D58F00" w14:textId="2D1BDF8B"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406</w:t>
            </w:r>
          </w:p>
        </w:tc>
        <w:tc>
          <w:tcPr>
            <w:tcW w:w="1389" w:type="dxa"/>
            <w:tcBorders>
              <w:top w:val="nil"/>
              <w:left w:val="nil"/>
              <w:bottom w:val="nil"/>
              <w:right w:val="nil"/>
            </w:tcBorders>
          </w:tcPr>
          <w:p w14:paraId="70293CDF" w14:textId="7CDBE650"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646</w:t>
            </w:r>
          </w:p>
        </w:tc>
        <w:tc>
          <w:tcPr>
            <w:tcW w:w="1890" w:type="dxa"/>
            <w:tcBorders>
              <w:left w:val="nil"/>
              <w:right w:val="nil"/>
            </w:tcBorders>
          </w:tcPr>
          <w:p w14:paraId="276935EF" w14:textId="7B07AA9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2C4DF5EC" w14:textId="5FA83730"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85.9</w:t>
            </w:r>
            <w:r>
              <w:rPr>
                <w:rStyle w:val="FootnoteReference"/>
                <w:rFonts w:cs="Times New Roman"/>
                <w:color w:val="0D0D0D"/>
                <w:szCs w:val="20"/>
                <w:shd w:val="clear" w:color="auto" w:fill="FFFFFF"/>
                <w:lang w:val="en-US"/>
              </w:rPr>
              <w:footnoteReference w:customMarkFollows="1" w:id="3"/>
              <w:t>***</w:t>
            </w:r>
          </w:p>
        </w:tc>
        <w:tc>
          <w:tcPr>
            <w:tcW w:w="1538" w:type="dxa"/>
          </w:tcPr>
          <w:p w14:paraId="0517AD24" w14:textId="4087043D"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16.8</w:t>
            </w:r>
          </w:p>
        </w:tc>
      </w:tr>
      <w:tr w:rsidR="00D95BD9" w:rsidRPr="002D7CDC" w14:paraId="59166660" w14:textId="7859F898" w:rsidTr="007D28FF">
        <w:trPr>
          <w:jc w:val="center"/>
        </w:trPr>
        <w:tc>
          <w:tcPr>
            <w:tcW w:w="746" w:type="dxa"/>
            <w:tcBorders>
              <w:bottom w:val="single" w:sz="4" w:space="0" w:color="auto"/>
              <w:right w:val="nil"/>
            </w:tcBorders>
          </w:tcPr>
          <w:p w14:paraId="35757CD5" w14:textId="77777777"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sidRPr="002D7CDC">
              <w:rPr>
                <w:rFonts w:cs="Times New Roman"/>
                <w:color w:val="0D0D0D"/>
                <w:szCs w:val="20"/>
                <w:shd w:val="clear" w:color="auto" w:fill="FFFFFF"/>
                <w:lang w:val="en-US"/>
              </w:rPr>
              <w:t>2024</w:t>
            </w:r>
          </w:p>
        </w:tc>
        <w:tc>
          <w:tcPr>
            <w:tcW w:w="1773" w:type="dxa"/>
            <w:tcBorders>
              <w:top w:val="nil"/>
              <w:left w:val="nil"/>
              <w:bottom w:val="single" w:sz="4" w:space="0" w:color="auto"/>
              <w:right w:val="nil"/>
            </w:tcBorders>
          </w:tcPr>
          <w:p w14:paraId="7742CF44" w14:textId="43FE69CA" w:rsidR="00E5498B" w:rsidRPr="002D7CDC"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38647</w:t>
            </w:r>
          </w:p>
        </w:tc>
        <w:tc>
          <w:tcPr>
            <w:tcW w:w="1529" w:type="dxa"/>
            <w:tcBorders>
              <w:top w:val="nil"/>
              <w:left w:val="nil"/>
              <w:bottom w:val="single" w:sz="4" w:space="0" w:color="auto"/>
              <w:right w:val="nil"/>
            </w:tcBorders>
          </w:tcPr>
          <w:p w14:paraId="6B5C4931" w14:textId="15183096"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372371</w:t>
            </w:r>
          </w:p>
        </w:tc>
        <w:tc>
          <w:tcPr>
            <w:tcW w:w="1856" w:type="dxa"/>
            <w:tcBorders>
              <w:top w:val="nil"/>
              <w:left w:val="nil"/>
              <w:bottom w:val="single" w:sz="4" w:space="0" w:color="auto"/>
              <w:right w:val="nil"/>
            </w:tcBorders>
          </w:tcPr>
          <w:p w14:paraId="3C577557" w14:textId="3448E3EA"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971</w:t>
            </w:r>
          </w:p>
        </w:tc>
        <w:tc>
          <w:tcPr>
            <w:tcW w:w="1527" w:type="dxa"/>
            <w:tcBorders>
              <w:top w:val="nil"/>
              <w:left w:val="nil"/>
              <w:bottom w:val="single" w:sz="4" w:space="0" w:color="auto"/>
              <w:right w:val="nil"/>
            </w:tcBorders>
          </w:tcPr>
          <w:p w14:paraId="6429CC84" w14:textId="7F971C24"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437</w:t>
            </w:r>
          </w:p>
        </w:tc>
        <w:tc>
          <w:tcPr>
            <w:tcW w:w="1389" w:type="dxa"/>
            <w:tcBorders>
              <w:top w:val="nil"/>
              <w:left w:val="nil"/>
              <w:bottom w:val="single" w:sz="4" w:space="0" w:color="auto"/>
              <w:right w:val="nil"/>
            </w:tcBorders>
          </w:tcPr>
          <w:p w14:paraId="2371D6E3" w14:textId="3200A165" w:rsidR="00E5498B" w:rsidRDefault="00743CE1"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530</w:t>
            </w:r>
          </w:p>
        </w:tc>
        <w:tc>
          <w:tcPr>
            <w:tcW w:w="1890" w:type="dxa"/>
            <w:tcBorders>
              <w:left w:val="nil"/>
              <w:bottom w:val="single" w:sz="4" w:space="0" w:color="auto"/>
              <w:right w:val="nil"/>
            </w:tcBorders>
          </w:tcPr>
          <w:p w14:paraId="58E662D1" w14:textId="7911302B"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0.0</w:t>
            </w:r>
          </w:p>
        </w:tc>
        <w:tc>
          <w:tcPr>
            <w:tcW w:w="1710" w:type="dxa"/>
            <w:tcBorders>
              <w:left w:val="nil"/>
            </w:tcBorders>
          </w:tcPr>
          <w:p w14:paraId="45D311FB" w14:textId="4476A86A" w:rsidR="00E5498B" w:rsidRPr="00382F63"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vertAlign w:val="superscript"/>
                <w:lang w:val="en-US"/>
              </w:rPr>
            </w:pPr>
            <w:r>
              <w:rPr>
                <w:rFonts w:cs="Times New Roman"/>
                <w:color w:val="0D0D0D"/>
                <w:szCs w:val="20"/>
                <w:shd w:val="clear" w:color="auto" w:fill="FFFFFF"/>
                <w:lang w:val="en-US"/>
              </w:rPr>
              <w:t>-</w:t>
            </w:r>
          </w:p>
        </w:tc>
        <w:tc>
          <w:tcPr>
            <w:tcW w:w="1538" w:type="dxa"/>
          </w:tcPr>
          <w:p w14:paraId="2EA2DA1A" w14:textId="4548146F" w:rsidR="00E5498B" w:rsidRDefault="00E5498B" w:rsidP="0007760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rPr>
                <w:rFonts w:cs="Times New Roman"/>
                <w:color w:val="0D0D0D"/>
                <w:szCs w:val="20"/>
                <w:shd w:val="clear" w:color="auto" w:fill="FFFFFF"/>
                <w:lang w:val="en-US"/>
              </w:rPr>
            </w:pPr>
            <w:r>
              <w:rPr>
                <w:rFonts w:cs="Times New Roman"/>
                <w:color w:val="0D0D0D"/>
                <w:szCs w:val="20"/>
                <w:shd w:val="clear" w:color="auto" w:fill="FFFFFF"/>
                <w:lang w:val="en-US"/>
              </w:rPr>
              <w:t>30.1</w:t>
            </w:r>
          </w:p>
        </w:tc>
      </w:tr>
    </w:tbl>
    <w:p w14:paraId="3058A82B" w14:textId="4B6268AF" w:rsidR="007864C5" w:rsidRDefault="007864C5" w:rsidP="009701A4">
      <w:pPr>
        <w:pStyle w:val="NormalWeb"/>
        <w:spacing w:line="276" w:lineRule="auto"/>
        <w:jc w:val="both"/>
        <w:rPr>
          <w:sz w:val="20"/>
          <w:szCs w:val="20"/>
        </w:rPr>
        <w:sectPr w:rsidR="007864C5" w:rsidSect="00263500">
          <w:footnotePr>
            <w:numFmt w:val="chicago"/>
          </w:footnotePr>
          <w:pgSz w:w="16838" w:h="11906" w:orient="landscape"/>
          <w:pgMar w:top="1440" w:right="1440" w:bottom="1440" w:left="1440" w:header="708" w:footer="708" w:gutter="0"/>
          <w:cols w:space="708"/>
          <w:docGrid w:linePitch="360"/>
        </w:sectPr>
      </w:pPr>
    </w:p>
    <w:p w14:paraId="2499838E" w14:textId="77777777" w:rsidR="007864C5" w:rsidRDefault="007864C5" w:rsidP="009701A4">
      <w:pPr>
        <w:pStyle w:val="NormalWeb"/>
        <w:spacing w:line="276" w:lineRule="auto"/>
        <w:jc w:val="both"/>
        <w:rPr>
          <w:sz w:val="20"/>
          <w:szCs w:val="20"/>
        </w:rPr>
      </w:pPr>
    </w:p>
    <w:p w14:paraId="7C5425F1" w14:textId="43ACF5E0" w:rsidR="00276DCE" w:rsidRPr="00276DCE" w:rsidRDefault="00316933" w:rsidP="00276DCE">
      <w:pPr>
        <w:pStyle w:val="NormalWeb"/>
        <w:spacing w:line="276" w:lineRule="auto"/>
        <w:jc w:val="both"/>
        <w:rPr>
          <w:sz w:val="20"/>
          <w:szCs w:val="20"/>
        </w:rPr>
      </w:pPr>
      <w:r>
        <w:rPr>
          <w:noProof/>
          <w:sz w:val="20"/>
          <w:szCs w:val="20"/>
          <w14:ligatures w14:val="standardContextual"/>
        </w:rPr>
        <w:drawing>
          <wp:inline distT="0" distB="0" distL="0" distR="0" wp14:anchorId="5D6162EC" wp14:editId="23E256CB">
            <wp:extent cx="8863330" cy="3553460"/>
            <wp:effectExtent l="0" t="0" r="1270" b="0"/>
            <wp:docPr id="230937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799" name="Picture 23093799"/>
                    <pic:cNvPicPr/>
                  </pic:nvPicPr>
                  <pic:blipFill>
                    <a:blip r:embed="rId9"/>
                    <a:stretch>
                      <a:fillRect/>
                    </a:stretch>
                  </pic:blipFill>
                  <pic:spPr>
                    <a:xfrm>
                      <a:off x="0" y="0"/>
                      <a:ext cx="8863330" cy="3553460"/>
                    </a:xfrm>
                    <a:prstGeom prst="rect">
                      <a:avLst/>
                    </a:prstGeom>
                  </pic:spPr>
                </pic:pic>
              </a:graphicData>
            </a:graphic>
          </wp:inline>
        </w:drawing>
      </w:r>
    </w:p>
    <w:p w14:paraId="1FFF3A91" w14:textId="64B60D8A" w:rsidR="00276DCE" w:rsidRDefault="00276DCE" w:rsidP="00276DCE">
      <w:pPr>
        <w:spacing w:before="100" w:beforeAutospacing="1" w:after="100" w:afterAutospacing="1" w:line="276" w:lineRule="auto"/>
        <w:jc w:val="both"/>
        <w:rPr>
          <w:rFonts w:ascii="Times New Roman" w:hAnsi="Times New Roman" w:cs="Times New Roman"/>
          <w:color w:val="000000" w:themeColor="text1"/>
          <w:sz w:val="20"/>
          <w:szCs w:val="20"/>
        </w:rPr>
      </w:pPr>
      <w:r w:rsidRPr="00276DCE">
        <w:rPr>
          <w:rFonts w:ascii="Times New Roman" w:hAnsi="Times New Roman" w:cs="Times New Roman"/>
          <w:color w:val="000000" w:themeColor="text1"/>
          <w:sz w:val="20"/>
          <w:szCs w:val="20"/>
        </w:rPr>
        <w:t xml:space="preserve">Fig. </w:t>
      </w:r>
      <w:r w:rsidR="009701A4">
        <w:rPr>
          <w:rFonts w:ascii="Times New Roman" w:hAnsi="Times New Roman" w:cs="Times New Roman"/>
          <w:color w:val="000000" w:themeColor="text1"/>
          <w:sz w:val="20"/>
          <w:szCs w:val="20"/>
        </w:rPr>
        <w:t>2</w:t>
      </w:r>
      <w:r w:rsidRPr="00276DCE">
        <w:rPr>
          <w:rFonts w:ascii="Times New Roman" w:hAnsi="Times New Roman" w:cs="Times New Roman"/>
          <w:color w:val="000000" w:themeColor="text1"/>
          <w:sz w:val="20"/>
          <w:szCs w:val="20"/>
        </w:rPr>
        <w:t xml:space="preserve">: Model architecture of gonorrhoea AMR emergence under doxy-PEP for syphilis and 4CMenB for gonorrhoea. The model stratifies MSM population into low-activity (orange) and high-activity (red) groups, which share the same compartmental structure but differ in transition rates. For clarity, only transitions in and out of the high-activity group (upper layer) are shown. The model further divides MSM population into four strata </w:t>
      </w:r>
      <m:oMath>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based on their uptake status of doxy-PEP and 4CMenB, </w:t>
      </w:r>
      <w:r w:rsidRPr="00276DCE">
        <w:rPr>
          <w:rFonts w:ascii="Times New Roman" w:hAnsi="Times New Roman" w:cs="Times New Roman"/>
          <w:sz w:val="20"/>
          <w:szCs w:val="20"/>
        </w:rPr>
        <w:t>representing individuals who take neither intervention, doxy-PEP only, 4CMenB only, or both, respectively</w:t>
      </w:r>
      <w:r w:rsidRPr="00276DCE">
        <w:rPr>
          <w:rFonts w:ascii="Times New Roman" w:hAnsi="Times New Roman" w:cs="Times New Roman"/>
          <w:color w:val="000000" w:themeColor="text1"/>
          <w:sz w:val="20"/>
          <w:szCs w:val="20"/>
        </w:rPr>
        <w:t>. Individuals enter the sexually active population as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in stratum </w:t>
      </w:r>
      <m:oMath>
        <m:r>
          <w:rPr>
            <w:rFonts w:ascii="Cambria Math" w:hAnsi="Cambria Math" w:cs="Times New Roman"/>
            <w:color w:val="000000" w:themeColor="text1"/>
            <w:sz w:val="20"/>
            <w:szCs w:val="20"/>
            <w:lang w:val="en-US"/>
          </w:rPr>
          <m:t>N</m:t>
        </m:r>
      </m:oMath>
      <w:r w:rsidRPr="00276DCE">
        <w:rPr>
          <w:rFonts w:ascii="Times New Roman" w:hAnsi="Times New Roman" w:cs="Times New Roman"/>
          <w:color w:val="000000" w:themeColor="text1"/>
          <w:sz w:val="20"/>
          <w:szCs w:val="20"/>
          <w:lang w:val="en-US"/>
        </w:rPr>
        <w:t xml:space="preserve"> and </w:t>
      </w:r>
      <w:r w:rsidRPr="00276DCE">
        <w:rPr>
          <w:rFonts w:ascii="Times New Roman" w:hAnsi="Times New Roman" w:cs="Times New Roman"/>
          <w:color w:val="000000" w:themeColor="text1"/>
          <w:sz w:val="20"/>
          <w:szCs w:val="20"/>
        </w:rPr>
        <w:t>may exit the sexually active population due to aging at any stage</w:t>
      </w:r>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Infections progress from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to exposed (</w:t>
      </w:r>
      <m:oMath>
        <m:r>
          <w:rPr>
            <w:rFonts w:ascii="Cambria Math" w:hAnsi="Cambria Math" w:cs="Times New Roman"/>
            <w:color w:val="000000" w:themeColor="text1"/>
            <w:sz w:val="20"/>
            <w:szCs w:val="20"/>
          </w:rPr>
          <m:t>E</m:t>
        </m:r>
      </m:oMath>
      <w:r w:rsidRPr="00276DCE">
        <w:rPr>
          <w:rFonts w:ascii="Times New Roman" w:hAnsi="Times New Roman" w:cs="Times New Roman"/>
          <w:color w:val="000000" w:themeColor="text1"/>
          <w:sz w:val="20"/>
          <w:szCs w:val="20"/>
        </w:rPr>
        <w:t>), then to asymptomatic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or symptomatic (</w:t>
      </w:r>
      <m:oMath>
        <m:r>
          <w:rPr>
            <w:rFonts w:ascii="Cambria Math" w:hAnsi="Cambria Math" w:cs="Times New Roman"/>
            <w:color w:val="000000" w:themeColor="text1"/>
            <w:sz w:val="20"/>
            <w:szCs w:val="20"/>
          </w:rPr>
          <m:t>S</m:t>
        </m:r>
      </m:oMath>
      <w:r w:rsidRPr="00276DCE">
        <w:rPr>
          <w:rFonts w:ascii="Times New Roman" w:hAnsi="Times New Roman" w:cs="Times New Roman"/>
          <w:color w:val="000000" w:themeColor="text1"/>
          <w:sz w:val="20"/>
          <w:szCs w:val="20"/>
        </w:rPr>
        <w:t>), following with treatment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and possible natural recovery from </w:t>
      </w:r>
      <m:oMath>
        <m:r>
          <w:rPr>
            <w:rFonts w:ascii="Cambria Math" w:hAnsi="Cambria Math" w:cs="Times New Roman"/>
            <w:color w:val="000000" w:themeColor="text1"/>
            <w:sz w:val="20"/>
            <w:szCs w:val="20"/>
          </w:rPr>
          <m:t>A</m:t>
        </m:r>
      </m:oMath>
      <w:r w:rsidRPr="00276DCE">
        <w:rPr>
          <w:rFonts w:ascii="Times New Roman" w:hAnsi="Times New Roman" w:cs="Times New Roman"/>
          <w:color w:val="000000" w:themeColor="text1"/>
          <w:sz w:val="20"/>
          <w:szCs w:val="20"/>
        </w:rPr>
        <w:t xml:space="preserve"> to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xml:space="preserve">. </w:t>
      </w:r>
      <w:r w:rsidRPr="00276DCE">
        <w:rPr>
          <w:rFonts w:ascii="Times New Roman" w:hAnsi="Times New Roman" w:cs="Times New Roman"/>
          <w:color w:val="000000" w:themeColor="text1"/>
          <w:sz w:val="20"/>
          <w:szCs w:val="20"/>
          <w:lang w:val="en-US"/>
        </w:rPr>
        <w:t xml:space="preserve">For each stratum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Pr="00276DCE">
        <w:rPr>
          <w:rFonts w:ascii="Times New Roman" w:hAnsi="Times New Roman" w:cs="Times New Roman"/>
          <w:color w:val="000000" w:themeColor="text1"/>
          <w:sz w:val="20"/>
          <w:szCs w:val="20"/>
          <w:lang w:val="en-US"/>
        </w:rPr>
        <w:t xml:space="preserve">, </w:t>
      </w:r>
      <w:r w:rsidRPr="00276DCE">
        <w:rPr>
          <w:rFonts w:ascii="Times New Roman" w:hAnsi="Times New Roman" w:cs="Times New Roman"/>
          <w:color w:val="000000" w:themeColor="text1"/>
          <w:sz w:val="20"/>
          <w:szCs w:val="20"/>
        </w:rPr>
        <w:t xml:space="preserve">infections are further stratified by resistance profiles. Within each stratum (refer to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four gonorrhoea strains are considered (denoted by superscript): </w:t>
      </w:r>
      <m:oMath>
        <m:r>
          <w:rPr>
            <w:rFonts w:ascii="Cambria Math" w:hAnsi="Cambria Math" w:cs="Times New Roman"/>
            <w:color w:val="000000" w:themeColor="text1"/>
            <w:sz w:val="20"/>
            <w:szCs w:val="20"/>
          </w:rPr>
          <m:t>0=</m:t>
        </m:r>
      </m:oMath>
      <w:r w:rsidRPr="00276DCE">
        <w:rPr>
          <w:rFonts w:ascii="Times New Roman" w:hAnsi="Times New Roman" w:cs="Times New Roman"/>
          <w:color w:val="000000" w:themeColor="text1"/>
          <w:sz w:val="20"/>
          <w:szCs w:val="20"/>
        </w:rPr>
        <w:t xml:space="preserve"> susceptible, </w:t>
      </w:r>
      <m:oMath>
        <m:r>
          <w:rPr>
            <w:rFonts w:ascii="Cambria Math" w:hAnsi="Cambria Math" w:cs="Times New Roman"/>
            <w:color w:val="000000" w:themeColor="text1"/>
            <w:sz w:val="20"/>
            <w:szCs w:val="20"/>
          </w:rPr>
          <m:t>c=</m:t>
        </m:r>
      </m:oMath>
      <w:r w:rsidRPr="00276DCE">
        <w:rPr>
          <w:rFonts w:ascii="Times New Roman" w:hAnsi="Times New Roman" w:cs="Times New Roman"/>
          <w:color w:val="000000" w:themeColor="text1"/>
          <w:sz w:val="20"/>
          <w:szCs w:val="20"/>
        </w:rPr>
        <w:t xml:space="preserve"> ceftriaxone resistant, </w:t>
      </w:r>
      <m:oMath>
        <m:r>
          <w:rPr>
            <w:rFonts w:ascii="Cambria Math" w:hAnsi="Cambria Math" w:cs="Times New Roman"/>
            <w:color w:val="000000" w:themeColor="text1"/>
            <w:sz w:val="20"/>
            <w:szCs w:val="20"/>
          </w:rPr>
          <m:t>t=</m:t>
        </m:r>
      </m:oMath>
      <w:r w:rsidRPr="00276DCE">
        <w:rPr>
          <w:rFonts w:ascii="Times New Roman" w:hAnsi="Times New Roman" w:cs="Times New Roman"/>
          <w:color w:val="000000" w:themeColor="text1"/>
          <w:sz w:val="20"/>
          <w:szCs w:val="20"/>
        </w:rPr>
        <w:t xml:space="preserve"> tetracycline resistant, and </w:t>
      </w:r>
      <m:oMath>
        <m:r>
          <w:rPr>
            <w:rFonts w:ascii="Cambria Math" w:hAnsi="Cambria Math" w:cs="Times New Roman"/>
            <w:color w:val="000000" w:themeColor="text1"/>
            <w:sz w:val="20"/>
            <w:szCs w:val="20"/>
          </w:rPr>
          <m:t>d2=</m:t>
        </m:r>
      </m:oMath>
      <w:r w:rsidRPr="00276DCE">
        <w:rPr>
          <w:rFonts w:ascii="Times New Roman" w:hAnsi="Times New Roman" w:cs="Times New Roman"/>
          <w:color w:val="000000" w:themeColor="text1"/>
          <w:sz w:val="20"/>
          <w:szCs w:val="20"/>
        </w:rPr>
        <w:t xml:space="preserve"> dual resistant. Ceftriaxone is assumed to be the sole first-line therapy, with probabilities of resistance emergence upon treatment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0</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e>
          <m:sup>
            <m:r>
              <w:rPr>
                <w:rFonts w:ascii="Cambria Math" w:hAnsi="Cambria Math" w:cs="Times New Roman"/>
                <w:color w:val="000000" w:themeColor="text1"/>
                <w:sz w:val="20"/>
                <w:szCs w:val="20"/>
              </w:rPr>
              <m:t>t</m:t>
            </m:r>
          </m:sup>
        </m:sSup>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T</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Doxy-PEP and 4CMenB together reduce the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(yellow arrows in stratum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4CMenB alone reduces the effective force of infection for</w:t>
      </w:r>
      <w:r w:rsidRPr="00276DCE">
        <w:rPr>
          <w:rFonts w:ascii="Times New Roman" w:hAnsi="Times New Roman" w:cs="Times New Roman"/>
          <w:i/>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ctrlPr>
              <w:rPr>
                <w:rFonts w:ascii="Cambria Math" w:hAnsi="Cambria Math" w:cs="Times New Roman"/>
                <w:color w:val="000000" w:themeColor="text1"/>
                <w:sz w:val="20"/>
                <w:szCs w:val="20"/>
              </w:rPr>
            </m:ctrlP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(blue arrows in strata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Doxy-PEP alone reduces the effective force of infection for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0</m:t>
            </m:r>
          </m:sup>
        </m:sSup>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c</m:t>
            </m:r>
          </m:sup>
        </m:sSup>
      </m:oMath>
      <w:r w:rsidRPr="00276DCE">
        <w:rPr>
          <w:rFonts w:ascii="Times New Roman" w:hAnsi="Times New Roman" w:cs="Times New Roman"/>
          <w:color w:val="000000" w:themeColor="text1"/>
          <w:sz w:val="20"/>
          <w:szCs w:val="20"/>
        </w:rPr>
        <w:t xml:space="preserve"> (green arrows in stratum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Without doxy-PEP, or with doxy-PEP only, the absolute effective force of infection for </w:t>
      </w:r>
      <m:oMath>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t</m:t>
            </m:r>
          </m:sup>
        </m:sSup>
      </m:oMath>
      <w:r w:rsidRPr="00276DCE">
        <w:rPr>
          <w:rFonts w:ascii="Times New Roman" w:hAnsi="Times New Roman" w:cs="Times New Roman"/>
          <w:color w:val="000000" w:themeColor="text1"/>
          <w:sz w:val="20"/>
          <w:szCs w:val="20"/>
        </w:rPr>
        <w:t xml:space="preserve"> and </w:t>
      </w:r>
      <m:oMath>
        <m:sSup>
          <m:sSupPr>
            <m:ctrlPr>
              <w:rPr>
                <w:rFonts w:ascii="Cambria Math" w:hAnsi="Cambria Math" w:cs="Times New Roman"/>
                <w:i/>
                <w:color w:val="000000" w:themeColor="text1"/>
                <w:sz w:val="20"/>
                <w:szCs w:val="20"/>
              </w:rPr>
            </m:ctrlPr>
          </m:sSupPr>
          <m:e>
            <m:r>
              <w:rPr>
                <w:rFonts w:ascii="Cambria Math" w:hAnsi="Cambria Math" w:cs="Times New Roman"/>
                <w:color w:val="000000" w:themeColor="text1"/>
                <w:sz w:val="20"/>
                <w:szCs w:val="20"/>
              </w:rPr>
              <m:t>U</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E</m:t>
            </m:r>
          </m:e>
          <m:sup>
            <m:r>
              <w:rPr>
                <w:rFonts w:ascii="Cambria Math" w:hAnsi="Cambria Math" w:cs="Times New Roman"/>
                <w:color w:val="000000" w:themeColor="text1"/>
                <w:sz w:val="20"/>
                <w:szCs w:val="20"/>
              </w:rPr>
              <m:t>d2</m:t>
            </m:r>
          </m:sup>
        </m:sSup>
      </m:oMath>
      <w:r w:rsidRPr="00276DCE">
        <w:rPr>
          <w:rFonts w:ascii="Times New Roman" w:hAnsi="Times New Roman" w:cs="Times New Roman"/>
          <w:color w:val="000000" w:themeColor="text1"/>
          <w:sz w:val="20"/>
          <w:szCs w:val="20"/>
        </w:rPr>
        <w:t xml:space="preserve"> remains unchanged (black arrows in strata </w:t>
      </w:r>
      <m:oMath>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Additionally, doxy-PEP introduces a nonzero probability of </w:t>
      </w:r>
      <w:r w:rsidRPr="00276DCE">
        <w:rPr>
          <w:rFonts w:ascii="Times New Roman" w:hAnsi="Times New Roman" w:cs="Times New Roman"/>
          <w:i/>
          <w:iCs/>
          <w:color w:val="000000" w:themeColor="text1"/>
          <w:sz w:val="20"/>
          <w:szCs w:val="20"/>
        </w:rPr>
        <w:t>de novo</w:t>
      </w:r>
      <w:r w:rsidRPr="00276DCE">
        <w:rPr>
          <w:rFonts w:ascii="Times New Roman" w:hAnsi="Times New Roman" w:cs="Times New Roman"/>
          <w:color w:val="000000" w:themeColor="text1"/>
          <w:sz w:val="20"/>
          <w:szCs w:val="20"/>
        </w:rPr>
        <w:t xml:space="preserve"> resistance emergence (dotted red arrows in strata </w:t>
      </w:r>
      <m:oMath>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Based on the uptake status of doxy-PEP and 4CMenB, between-stratum transitions occur as follows: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doxy-PEP (pink arrows); </w:t>
      </w:r>
      <m:oMath>
        <m:r>
          <w:rPr>
            <w:rFonts w:ascii="Cambria Math" w:hAnsi="Cambria Math" w:cs="Times New Roman"/>
            <w:color w:val="000000" w:themeColor="text1"/>
            <w:sz w:val="20"/>
            <w:szCs w:val="20"/>
          </w:rPr>
          <m:t>N</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and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V</m:t>
        </m:r>
      </m:oMath>
      <w:r w:rsidRPr="00276DCE">
        <w:rPr>
          <w:rFonts w:ascii="Times New Roman" w:hAnsi="Times New Roman" w:cs="Times New Roman"/>
          <w:color w:val="000000" w:themeColor="text1"/>
          <w:sz w:val="20"/>
          <w:szCs w:val="20"/>
        </w:rPr>
        <w:t xml:space="preserve"> upon initiation of 4CMenB (dark green arrows); </w:t>
      </w:r>
      <m:oMath>
        <m:r>
          <w:rPr>
            <w:rFonts w:ascii="Cambria Math" w:hAnsi="Cambria Math" w:cs="Times New Roman"/>
            <w:color w:val="000000" w:themeColor="text1"/>
            <w:sz w:val="20"/>
            <w:szCs w:val="20"/>
          </w:rPr>
          <m:t>D</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M</m:t>
        </m:r>
      </m:oMath>
      <w:r w:rsidRPr="00276DCE">
        <w:rPr>
          <w:rFonts w:ascii="Times New Roman" w:hAnsi="Times New Roman" w:cs="Times New Roman"/>
          <w:color w:val="000000" w:themeColor="text1"/>
          <w:sz w:val="20"/>
          <w:szCs w:val="20"/>
        </w:rPr>
        <w:t xml:space="preserve"> upon discontinuation of doxy-PEP (dark blue arrows); and </w:t>
      </w:r>
      <m:oMath>
        <m:r>
          <w:rPr>
            <w:rFonts w:ascii="Cambria Math" w:hAnsi="Cambria Math" w:cs="Times New Roman"/>
            <w:color w:val="000000" w:themeColor="text1"/>
            <w:sz w:val="20"/>
            <w:szCs w:val="20"/>
          </w:rPr>
          <m:t>V</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D</m:t>
        </m:r>
      </m:oMath>
      <w:r w:rsidRPr="00276DCE">
        <w:rPr>
          <w:rFonts w:ascii="Times New Roman" w:hAnsi="Times New Roman" w:cs="Times New Roman"/>
          <w:color w:val="000000" w:themeColor="text1"/>
          <w:sz w:val="20"/>
          <w:szCs w:val="20"/>
        </w:rPr>
        <w:t xml:space="preserve"> or </w:t>
      </w:r>
      <m:oMath>
        <m:r>
          <w:rPr>
            <w:rFonts w:ascii="Cambria Math" w:hAnsi="Cambria Math" w:cs="Times New Roman"/>
            <w:color w:val="000000" w:themeColor="text1"/>
            <w:sz w:val="20"/>
            <w:szCs w:val="20"/>
          </w:rPr>
          <m:t>M</m:t>
        </m:r>
        <m:r>
          <m:rPr>
            <m:sty m:val="p"/>
          </m:rPr>
          <w:rPr>
            <w:rFonts w:ascii="Cambria Math" w:hAnsi="Cambria Math" w:cs="Times New Roman"/>
            <w:color w:val="000000" w:themeColor="text1"/>
            <w:sz w:val="20"/>
            <w:szCs w:val="20"/>
          </w:rPr>
          <m:t>→</m:t>
        </m:r>
        <m:r>
          <w:rPr>
            <w:rFonts w:ascii="Cambria Math" w:hAnsi="Cambria Math" w:cs="Times New Roman"/>
            <w:color w:val="000000" w:themeColor="text1"/>
            <w:sz w:val="20"/>
            <w:szCs w:val="20"/>
          </w:rPr>
          <m:t>N</m:t>
        </m:r>
      </m:oMath>
      <w:r w:rsidRPr="00276DCE">
        <w:rPr>
          <w:rFonts w:ascii="Times New Roman" w:hAnsi="Times New Roman" w:cs="Times New Roman"/>
          <w:color w:val="000000" w:themeColor="text1"/>
          <w:sz w:val="20"/>
          <w:szCs w:val="20"/>
        </w:rPr>
        <w:t xml:space="preserve"> upon waning of 4CMenB (dark orange arrows). For simplicity, uptake of doxy-PEP and 4CMenB occur only at the uninfected (</w:t>
      </w:r>
      <m:oMath>
        <m:r>
          <w:rPr>
            <w:rFonts w:ascii="Cambria Math" w:hAnsi="Cambria Math" w:cs="Times New Roman"/>
            <w:color w:val="000000" w:themeColor="text1"/>
            <w:sz w:val="20"/>
            <w:szCs w:val="20"/>
          </w:rPr>
          <m:t>U</m:t>
        </m:r>
      </m:oMath>
      <w:r w:rsidRPr="00276DCE">
        <w:rPr>
          <w:rFonts w:ascii="Times New Roman" w:hAnsi="Times New Roman" w:cs="Times New Roman"/>
          <w:color w:val="000000" w:themeColor="text1"/>
          <w:sz w:val="20"/>
          <w:szCs w:val="20"/>
        </w:rPr>
        <w:t>) state.</w:t>
      </w:r>
    </w:p>
    <w:p w14:paraId="6AF8F1F8" w14:textId="77777777" w:rsidR="004F3D14"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pPr>
    </w:p>
    <w:p w14:paraId="34173FC7" w14:textId="77777777" w:rsidR="004F3D14" w:rsidRPr="00276DCE" w:rsidRDefault="004F3D14" w:rsidP="00276DCE">
      <w:pPr>
        <w:spacing w:before="100" w:beforeAutospacing="1" w:after="100" w:afterAutospacing="1" w:line="276" w:lineRule="auto"/>
        <w:jc w:val="both"/>
        <w:rPr>
          <w:rFonts w:ascii="Times New Roman" w:hAnsi="Times New Roman" w:cs="Times New Roman"/>
          <w:color w:val="000000" w:themeColor="text1"/>
          <w:sz w:val="20"/>
          <w:szCs w:val="20"/>
        </w:rPr>
        <w:sectPr w:rsidR="004F3D14" w:rsidRPr="00276DCE" w:rsidSect="00276DCE">
          <w:pgSz w:w="16838" w:h="11906" w:orient="landscape"/>
          <w:pgMar w:top="1440" w:right="1440" w:bottom="1440" w:left="1440" w:header="708" w:footer="708" w:gutter="0"/>
          <w:cols w:space="708"/>
          <w:docGrid w:linePitch="360"/>
        </w:sectPr>
      </w:pPr>
    </w:p>
    <w:p w14:paraId="6E01B313" w14:textId="0F2253B5" w:rsidR="00F02256" w:rsidRPr="00F02256" w:rsidRDefault="00F02256" w:rsidP="00F02256">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F02256">
        <w:rPr>
          <w:rFonts w:ascii="Times New Roman" w:hAnsi="Times New Roman" w:cs="Times New Roman"/>
          <w:sz w:val="20"/>
          <w:szCs w:val="20"/>
        </w:rPr>
        <w:lastRenderedPageBreak/>
        <w:t>Gonorrhoea can infect multiple anatomical sites</w:t>
      </w:r>
      <w:r w:rsidR="005F0A0A">
        <w:rPr>
          <w:rFonts w:ascii="Times New Roman" w:hAnsi="Times New Roman" w:cs="Times New Roman"/>
          <w:sz w:val="20"/>
          <w:szCs w:val="20"/>
        </w:rPr>
        <w:t xml:space="preserve"> (i.e., </w:t>
      </w:r>
      <w:r w:rsidRPr="00F02256">
        <w:rPr>
          <w:rFonts w:ascii="Times New Roman" w:hAnsi="Times New Roman" w:cs="Times New Roman"/>
          <w:sz w:val="20"/>
          <w:szCs w:val="20"/>
        </w:rPr>
        <w:t>the rectum, pharynx, and urethra</w:t>
      </w:r>
      <w:r w:rsidR="005F0A0A">
        <w:rPr>
          <w:rFonts w:ascii="Times New Roman" w:hAnsi="Times New Roman" w:cs="Times New Roman"/>
          <w:sz w:val="20"/>
          <w:szCs w:val="20"/>
        </w:rPr>
        <w:t xml:space="preserve">) </w:t>
      </w:r>
      <w:r w:rsidRPr="00F02256">
        <w:rPr>
          <w:rFonts w:ascii="Times New Roman" w:hAnsi="Times New Roman" w:cs="Times New Roman"/>
          <w:sz w:val="20"/>
          <w:szCs w:val="20"/>
        </w:rPr>
        <w:t xml:space="preserve">each associated with distinct probabilities of symptom development and transmission potential </w:t>
      </w:r>
      <w:r w:rsidRPr="00F02256">
        <w:rPr>
          <w:rFonts w:ascii="Times New Roman" w:eastAsia="Times New Roman" w:hAnsi="Times New Roman" w:cs="Times New Roman"/>
          <w:color w:val="000000" w:themeColor="text1"/>
          <w:kern w:val="0"/>
          <w:sz w:val="20"/>
          <w:szCs w:val="20"/>
          <w14:ligatures w14:val="none"/>
        </w:rPr>
        <w:fldChar w:fldCharType="begin"/>
      </w:r>
      <w:r w:rsidR="002D209E">
        <w:rPr>
          <w:rFonts w:ascii="Times New Roman" w:eastAsia="Times New Roman" w:hAnsi="Times New Roman" w:cs="Times New Roman"/>
          <w:color w:val="000000" w:themeColor="text1"/>
          <w:kern w:val="0"/>
          <w:sz w:val="20"/>
          <w:szCs w:val="20"/>
          <w14:ligatures w14:val="none"/>
        </w:rPr>
        <w:instrText xml:space="preserve"> ADDIN ZOTERO_ITEM CSL_CITATION {"citationID":"gu82ZKtP","properties":{"formattedCitation":"[17]","plainCitation":"[17]","noteIndex":0},"citationItems":[{"id":426,"uris":["http://zotero.org/users/9663344/items/5WMZE529"],"itemData":{"id":426,"type":"article-journal","abstract":"We determined the conditions of 26 women who had recently been exposed to Neisseria gonorrhoeae. Infection was more common among women with more than one exposure (13/14) than among those with one exposure (6/12). Gonococcal infection was significantly associated with the presence of findings on physical examination suggestive of upper genital tract inflammation. Nine of 19 infected women had such findings; no uninfected women did. Among infected women, the prevalence of abnormal physical findings was 47% +/- 23% (95% confidence interval). These findings suggest that upper genital tract involvement is a common early complication of gonococcal infection.","container-title":"JAMA","ISSN":"0098-7484","issue":"23","journalAbbreviation":"JAMA","language":"eng","note":"PMID: 6417362","page":"3205-3209","source":"PubMed","title":"Risk of acquiring gonorrhea and prevalence of abnormal adnexal findings among women recently exposed to gonorrhea","volume":"250","author":[{"family":"Platt","given":"R."},{"family":"Rice","given":"P. A."},{"family":"McCormack","given":"W. M."}],"issued":{"date-parts":[["1983",12,16]]}}}],"schema":"https://github.com/citation-style-language/schema/raw/master/csl-citation.json"}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2D209E">
        <w:rPr>
          <w:rFonts w:ascii="Times New Roman" w:eastAsia="Times New Roman" w:hAnsi="Times New Roman" w:cs="Times New Roman"/>
          <w:noProof/>
          <w:color w:val="000000" w:themeColor="text1"/>
          <w:kern w:val="0"/>
          <w:sz w:val="20"/>
          <w:szCs w:val="20"/>
          <w14:ligatures w14:val="none"/>
        </w:rPr>
        <w:t>[17]</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 xml:space="preserve">. </w:t>
      </w:r>
      <w:r w:rsidRPr="00F02256">
        <w:rPr>
          <w:rFonts w:ascii="Times New Roman" w:hAnsi="Times New Roman" w:cs="Times New Roman"/>
          <w:sz w:val="20"/>
          <w:szCs w:val="20"/>
        </w:rPr>
        <w:t xml:space="preserve">Because available surveillance data are not disaggregated by infection site, model parameters represent site-averaged values. The model further assumes that infection does not confer lasting natural immunity </w:t>
      </w:r>
      <w:r w:rsidRPr="00F02256">
        <w:rPr>
          <w:rFonts w:ascii="Times New Roman" w:eastAsia="Times New Roman" w:hAnsi="Times New Roman" w:cs="Times New Roman"/>
          <w:color w:val="000000" w:themeColor="text1"/>
          <w:kern w:val="0"/>
          <w:sz w:val="20"/>
          <w:szCs w:val="20"/>
          <w14:ligatures w14:val="none"/>
        </w:rPr>
        <w:fldChar w:fldCharType="begin"/>
      </w:r>
      <w:r w:rsidR="002D209E">
        <w:rPr>
          <w:rFonts w:ascii="Times New Roman" w:eastAsia="Times New Roman" w:hAnsi="Times New Roman" w:cs="Times New Roman"/>
          <w:color w:val="000000" w:themeColor="text1"/>
          <w:kern w:val="0"/>
          <w:sz w:val="20"/>
          <w:szCs w:val="20"/>
          <w14:ligatures w14:val="none"/>
        </w:rPr>
        <w:instrText xml:space="preserve"> ADDIN ZOTERO_ITEM CSL_CITATION {"citationID":"KrHKNrh4","properties":{"formattedCitation":"[18], [19]","plainCitation":"[18], [19]","noteIndex":0},"citationItems":[{"id":428,"uris":["http://zotero.org/users/9663344/items/E74QJDGX"],"itemData":{"id":428,"type":"article-journal","abstract":"BACKGROUND: Reinfection, a common occurrence with gonorrhea, may result from a lack of protective immune response, or from the tremendous gonococcal strain variation.\nGOAL: A two-phase study in human volunteers tested whether experimental infection with Neisseria gonorrhoeae MS11mkC would protect against reinfection with the same organisms.\nSTUDY DESIGN: In phase 1, an intraurethral inoculum of 57,000 piliated, transparent (opacity protein-negative [Opa-]) MS11mkC N gonorrhoeae infected 14 of 15 (93%) volunteers. The volunteers were encouraged to delay treatment for at least 5 days. In phase 2, which began 2 weeks after treatment for the initial infection, volunteers were inoculated with 7,100 piliated, Opa- MS11mkC.\nRESULTS: The phase 2 challenge infected 6 of 14 (43%) previously infected volunteers and 5 of 10 (50%) naïve control subjects. Phase 1 volunteers who resisted reinfection were significantly more likely to have had a fourfold or greater increase in lipooligosaccharide immunoglobulin G during phase 1 than those who did not resist reinfection (P = 0.026).\nCONCLUSIONS: Although infection did not provide protection from reinfection under the conditions used, the results suggest that immunity to reinfection is more complex than anticipated by the experimental design.","container-title":"Sexually Transmitted Diseases","DOI":"10.1097/00007435-200110000-00001","ISSN":"0148-5717","issue":"10","journalAbbreviation":"Sex Transm Dis","language":"eng","note":"PMID: 11689753","page":"555-564","source":"PubMed","title":"Experimental gonococcal urethritis and reinfection with homologous gonococci in male volunteers","volume":"28","author":[{"family":"Schmidt","given":"K. A."},{"family":"Schneider","given":"H."},{"family":"Lindstrom","given":"J. A."},{"family":"Boslego","given":"J. W."},{"family":"Warren","given":"R. A."},{"family":"Van de Verg","given":"L."},{"family":"Deal","given":"C. D."},{"family":"McClain","given":"J. B."},{"family":"Griffiss","given":"J. M."}],"issued":{"date-parts":[["2001",10]]}}},{"id":430,"uris":["http://zotero.org/users/9663344/items/MCW5TZ48"],"itemData":{"id":430,"type":"article-journal","abstract":"Determining the magnitude of chlamydia and gonorrhea reinfection is critical to inform evidence-based clinical practice guidelines related to retesting after treatment. PubMed was used to identify peer-reviewed English language studies published in the past 30 years that estimated reinfection rates among females treated for chlamydia or gonorrhea. Included in this analysis were original studies conducted in the United States and other industrialized countries that reported data on chlamydia or gonorrhea reinfection in females. Studies were stratified into 3 tiers based on study design. Reinfection rates were examined in relation to the organism, study design, length of follow-up, and population characteristics. Of the 47 studies included, 16 were active cohort (Tier 1), 15 passive cohort (Tier 2), and 16 disease registry (Tier 3) studies. The overall median proportion of females reinfected with chlamydia was 13.9% (n = 38 studies). Modeled chlamydia reinfection within 12 months demonstrated peak rates of 19% to 20% at 8 to 10 months. The overall median proportion of females reinfected with gonorrhea was 11.7% (n = 17 studies). Younger age was associated with higher rates of both chlamydia and gonorrhea reinfection. High rates of reinfection with chlamydia and gonorrhea among females, along with practical considerations, warrant retesting 3 to 6 months after treatment of the initial infection. Further research should investigate effective interventions to reduce reinfection and to increase retesting.","container-title":"Sexually Transmitted Diseases","DOI":"10.1097/OLQ.0b013e3181a2a933","ISSN":"1537-4521","issue":"8","journalAbbreviation":"Sex Transm Dis","language":"eng","note":"PMID: 19617871","page":"478-489","source":"PubMed","title":"Repeat infection with Chlamydia and gonorrhea among females: a systematic review of the literature","title-short":"Repeat infection with Chlamydia and gonorrhea among females","volume":"36","author":[{"family":"Hosenfeld","given":"Christina B."},{"family":"Workowski","given":"Kimberly A."},{"family":"Berman","given":"Stuart"},{"family":"Zaidi","given":"Akbar"},{"family":"Dyson","given":"Jeri"},{"family":"Mosure","given":"Debra"},{"family":"Bolan","given":"Gail"},{"family":"Bauer","given":"Heidi M."}],"issued":{"date-parts":[["2009",8]]}}}],"schema":"https://github.com/citation-style-language/schema/raw/master/csl-citation.json"} </w:instrText>
      </w:r>
      <w:r w:rsidRPr="00F02256">
        <w:rPr>
          <w:rFonts w:ascii="Times New Roman" w:eastAsia="Times New Roman" w:hAnsi="Times New Roman" w:cs="Times New Roman"/>
          <w:color w:val="000000" w:themeColor="text1"/>
          <w:kern w:val="0"/>
          <w:sz w:val="20"/>
          <w:szCs w:val="20"/>
          <w14:ligatures w14:val="none"/>
        </w:rPr>
        <w:fldChar w:fldCharType="separate"/>
      </w:r>
      <w:r w:rsidR="002D209E">
        <w:rPr>
          <w:rFonts w:ascii="Times New Roman" w:eastAsia="Times New Roman" w:hAnsi="Times New Roman" w:cs="Times New Roman"/>
          <w:noProof/>
          <w:color w:val="000000" w:themeColor="text1"/>
          <w:kern w:val="0"/>
          <w:sz w:val="20"/>
          <w:szCs w:val="20"/>
          <w14:ligatures w14:val="none"/>
        </w:rPr>
        <w:t>[18], [19]</w:t>
      </w:r>
      <w:r w:rsidRPr="00F02256">
        <w:rPr>
          <w:rFonts w:ascii="Times New Roman" w:eastAsia="Times New Roman" w:hAnsi="Times New Roman" w:cs="Times New Roman"/>
          <w:color w:val="000000" w:themeColor="text1"/>
          <w:kern w:val="0"/>
          <w:sz w:val="20"/>
          <w:szCs w:val="20"/>
          <w14:ligatures w14:val="none"/>
        </w:rPr>
        <w:fldChar w:fldCharType="end"/>
      </w:r>
      <w:r w:rsidRPr="00F02256">
        <w:rPr>
          <w:rFonts w:ascii="Times New Roman" w:eastAsia="Times New Roman" w:hAnsi="Times New Roman" w:cs="Times New Roman"/>
          <w:color w:val="000000" w:themeColor="text1"/>
          <w:kern w:val="0"/>
          <w:sz w:val="20"/>
          <w:szCs w:val="20"/>
          <w14:ligatures w14:val="none"/>
        </w:rPr>
        <w:t>.</w:t>
      </w:r>
    </w:p>
    <w:p w14:paraId="265C82F7" w14:textId="78217ACC" w:rsidR="003300DF" w:rsidRPr="00756C05"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sidRPr="00756C05">
        <w:rPr>
          <w:rFonts w:ascii="Times New Roman" w:eastAsia="Times New Roman" w:hAnsi="Times New Roman" w:cs="Times New Roman"/>
          <w:color w:val="000000" w:themeColor="text1"/>
          <w:kern w:val="0"/>
          <w:sz w:val="20"/>
          <w:szCs w:val="20"/>
          <w14:ligatures w14:val="none"/>
        </w:rPr>
        <w:t>Table 1: Fitted parameters.</w:t>
      </w:r>
      <w:r w:rsidR="00756C05" w:rsidRPr="00756C05">
        <w:rPr>
          <w:rFonts w:ascii="Times New Roman" w:eastAsia="Times New Roman" w:hAnsi="Times New Roman" w:cs="Times New Roman"/>
          <w:color w:val="000000" w:themeColor="text1"/>
          <w:kern w:val="0"/>
          <w:sz w:val="20"/>
          <w:szCs w:val="20"/>
          <w14:ligatures w14:val="none"/>
        </w:rPr>
        <w:t xml:space="preserve"> </w:t>
      </w:r>
      <w:r w:rsidR="00756C05" w:rsidRPr="00756C05">
        <w:rPr>
          <w:rFonts w:ascii="Times New Roman" w:hAnsi="Times New Roman"/>
          <w:sz w:val="20"/>
          <w:szCs w:val="20"/>
        </w:rPr>
        <w:t>Transition rate parameters (</w:t>
      </w:r>
      <m:oMath>
        <m:r>
          <w:rPr>
            <w:rFonts w:ascii="Cambria Math" w:hAnsi="Cambria Math"/>
            <w:sz w:val="20"/>
            <w:szCs w:val="20"/>
          </w:rPr>
          <m:t>θ∈</m:t>
        </m:r>
        <m:r>
          <m:rPr>
            <m:lit/>
          </m:rPr>
          <w:rPr>
            <w:rFonts w:ascii="Cambria Math" w:hAnsi="Cambria Math"/>
            <w:sz w:val="20"/>
            <w:szCs w:val="20"/>
          </w:rPr>
          <m:t>{</m:t>
        </m:r>
        <m:r>
          <w:rPr>
            <w:rFonts w:ascii="Cambria Math" w:hAnsi="Cambria Math"/>
            <w:sz w:val="20"/>
            <w:szCs w:val="20"/>
          </w:rPr>
          <m:t>σ,μ,ρ,</m:t>
        </m:r>
        <m:r>
          <w:rPr>
            <w:rFonts w:ascii="Cambria Math" w:eastAsia="Times New Roman" w:hAnsi="Cambria Math" w:cs="Times New Roman"/>
            <w:color w:val="000000" w:themeColor="text1"/>
            <w:kern w:val="0"/>
            <w:sz w:val="20"/>
            <w:szCs w:val="20"/>
            <w14:ligatures w14:val="none"/>
          </w:rPr>
          <m:t>ν</m:t>
        </m:r>
        <m:r>
          <m:rPr>
            <m:lit/>
          </m:rPr>
          <w:rPr>
            <w:rFonts w:ascii="Cambria Math" w:hAnsi="Cambria Math"/>
            <w:sz w:val="20"/>
            <w:szCs w:val="20"/>
          </w:rPr>
          <m:t>}</m:t>
        </m:r>
      </m:oMath>
      <w:r w:rsidR="00756C05" w:rsidRPr="00756C05">
        <w:rPr>
          <w:rFonts w:ascii="Times New Roman" w:hAnsi="Times New Roman"/>
          <w:sz w:val="20"/>
          <w:szCs w:val="20"/>
        </w:rPr>
        <w:t xml:space="preserve">) are presented in an annual basis, giving a mean time to transition of </w:t>
      </w:r>
      <m:oMath>
        <m:r>
          <w:rPr>
            <w:rFonts w:ascii="Cambria Math" w:hAnsi="Cambria Math"/>
            <w:sz w:val="20"/>
            <w:szCs w:val="20"/>
          </w:rPr>
          <m:t>365/θ</m:t>
        </m:r>
      </m:oMath>
      <w:r w:rsidR="00756C05" w:rsidRPr="00756C05">
        <w:rPr>
          <w:rFonts w:ascii="Times New Roman" w:hAnsi="Times New Roman"/>
          <w:sz w:val="20"/>
          <w:szCs w:val="20"/>
        </w:rPr>
        <w:t xml:space="preserve"> days.</w:t>
      </w:r>
      <w:r w:rsidR="00BD217F">
        <w:rPr>
          <w:rFonts w:ascii="Times New Roman" w:hAnsi="Times New Roman"/>
          <w:sz w:val="20"/>
          <w:szCs w:val="20"/>
        </w:rPr>
        <w:t xml:space="preserve"> Reference from </w:t>
      </w:r>
      <w:r w:rsidR="00BD217F">
        <w:rPr>
          <w:rFonts w:ascii="Times New Roman" w:hAnsi="Times New Roman"/>
          <w:sz w:val="20"/>
          <w:szCs w:val="20"/>
        </w:rPr>
        <w:fldChar w:fldCharType="begin"/>
      </w:r>
      <w:r w:rsidR="009D5228">
        <w:rPr>
          <w:rFonts w:ascii="Times New Roman" w:hAnsi="Times New Roman"/>
          <w:sz w:val="20"/>
          <w:szCs w:val="20"/>
        </w:rPr>
        <w:instrText xml:space="preserve"> ADDIN ZOTERO_ITEM CSL_CITATION {"citationID":"jWnqThrZ","properties":{"formattedCitation":"[13]","plainCitation":"[13]","noteIndex":0},"citationItems":[{"id":297,"uris":["http://zotero.org/users/9663344/items/KC9H5ARD"],"itemData":{"id":297,"type":"article-journal","abstract":"Gonorrhea incidence is increasing rapidly in many countries, while antibiotic resistance is making treatment more difficult. Combined with evidence that two meningococcal vaccines are likely partially protective against gonorrhea, this has renewed interest in a gonococcal vaccine, and several candidates are in development. Key questions are how protective and long-lasting a vaccine needs to be, and how to target it. We assessed vaccination’s potential impact and the feasibility of achieving the World Health Organization’s (WHO) target of reducing gonorrhea incidence by 90% during 2018–2030, by comparing realistic vaccination strategies under a range of scenarios of vaccine efficacy and duration of protection, and emergence of extensively-resistant gonorrhea.We developed a stochastic transmission-dynamic model, incorporating asymptomatic and symptomatic infection and heterogeneous sexual behavior in men who have sex with men (MSM). We used data from England, which has a comprehensive, consistent nationwide surveillance system. Using particle Markov chain Monte Carlo methods, we fitted to gonorrhea incidence in 2008–2017, then used Bayesian forecasting to examine an extensive range of scenarios.Even in the worst-case scenario of untreatable infection emerging, the WHO target is achievable if all MSM attending sexual health clinics receive a vaccine offering </w:instrText>
      </w:r>
      <w:r w:rsidR="009D5228">
        <w:rPr>
          <w:rFonts w:ascii="Times New Roman" w:hAnsi="Times New Roman" w:hint="eastAsia"/>
          <w:sz w:val="20"/>
          <w:szCs w:val="20"/>
        </w:rPr>
        <w:instrText>≥</w:instrText>
      </w:r>
      <w:r w:rsidR="009D5228">
        <w:rPr>
          <w:rFonts w:ascii="Times New Roman" w:hAnsi="Times New Roman"/>
          <w:sz w:val="20"/>
          <w:szCs w:val="20"/>
        </w:rPr>
        <w:instrText xml:space="preserve"> 52% protection for </w:instrText>
      </w:r>
      <w:r w:rsidR="009D5228">
        <w:rPr>
          <w:rFonts w:ascii="Times New Roman" w:hAnsi="Times New Roman" w:hint="eastAsia"/>
          <w:sz w:val="20"/>
          <w:szCs w:val="20"/>
        </w:rPr>
        <w:instrText>≥</w:instrText>
      </w:r>
      <w:r w:rsidR="009D5228">
        <w:rPr>
          <w:rFonts w:ascii="Times New Roman" w:hAnsi="Times New Roman"/>
          <w:sz w:val="20"/>
          <w:szCs w:val="20"/>
        </w:rPr>
        <w:instrText xml:space="preserve"> 6 years. A vaccine conferring 31% protection (as estimated for MeNZB) for 2–4 years could reduce incidence in 2030 by 45% in the worst-case scenario, and by 75% if &amp;gt; 70% of resistant gonorrhea remains treatable.Even a partially-protective vaccine, delivered through a realistic targeting strategy, could substantially reduce gonorrhea incidence, despite antibiotic resistance.","container-title":"Clinical Infectious Diseases","DOI":"10.1093/cid/ciz1241","ISSN":"1058-4838","issue":"8","journalAbbreviation":"Clin Infect Dis","page":"1912-1919","source":"Silverchair","title":"Assessment of the Potential of Vaccination to Combat Antibiotic Resistance in Gonorrhea: A Modeling Analysis to Determine Preferred Product Characteristics","title-short":"Assessment of the Potential of Vaccination to Combat Antibiotic Resistance in Gonorrhea","volume":"71","author":[{"family":"Whittles","given":"Lilith K"},{"family":"White","given":"Peter J"},{"family":"Didelot","given":"Xavier"}],"issued":{"date-parts":[["2020",11,5]]}}}],"schema":"https://github.com/citation-style-language/schema/raw/master/csl-citation.json"} </w:instrText>
      </w:r>
      <w:r w:rsidR="00BD217F">
        <w:rPr>
          <w:rFonts w:ascii="Times New Roman" w:hAnsi="Times New Roman"/>
          <w:sz w:val="20"/>
          <w:szCs w:val="20"/>
        </w:rPr>
        <w:fldChar w:fldCharType="separate"/>
      </w:r>
      <w:r w:rsidR="009D5228">
        <w:rPr>
          <w:rFonts w:ascii="Times New Roman" w:hAnsi="Times New Roman"/>
          <w:noProof/>
          <w:sz w:val="20"/>
          <w:szCs w:val="20"/>
        </w:rPr>
        <w:t>[13]</w:t>
      </w:r>
      <w:r w:rsidR="00BD217F">
        <w:rPr>
          <w:rFonts w:ascii="Times New Roman" w:hAnsi="Times New Roman"/>
          <w:sz w:val="20"/>
          <w:szCs w:val="20"/>
        </w:rPr>
        <w:fldChar w:fldCharType="end"/>
      </w:r>
      <w:r w:rsidR="00BD217F">
        <w:rPr>
          <w:rFonts w:ascii="Times New Roman" w:hAnsi="Times New Roman"/>
          <w:sz w:val="20"/>
          <w:szCs w:val="20"/>
        </w:rPr>
        <w:t>.</w:t>
      </w:r>
    </w:p>
    <w:tbl>
      <w:tblPr>
        <w:tblStyle w:val="TableGrid"/>
        <w:tblW w:w="0" w:type="auto"/>
        <w:tblLook w:val="04A0" w:firstRow="1" w:lastRow="0" w:firstColumn="1" w:lastColumn="0" w:noHBand="0" w:noVBand="1"/>
      </w:tblPr>
      <w:tblGrid>
        <w:gridCol w:w="810"/>
        <w:gridCol w:w="4753"/>
        <w:gridCol w:w="3463"/>
      </w:tblGrid>
      <w:tr w:rsidR="002C1F75" w14:paraId="6DF6C332" w14:textId="096A987F" w:rsidTr="002C1F75">
        <w:tc>
          <w:tcPr>
            <w:tcW w:w="810" w:type="dxa"/>
          </w:tcPr>
          <w:p w14:paraId="45ADDF1C" w14:textId="2031F7B7" w:rsidR="002C1F75" w:rsidRDefault="002C1F75"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4753" w:type="dxa"/>
          </w:tcPr>
          <w:p w14:paraId="3A551AED" w14:textId="77777777" w:rsidR="002C1F75" w:rsidRDefault="002C1F75" w:rsidP="00BB3EC6">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3463" w:type="dxa"/>
          </w:tcPr>
          <w:p w14:paraId="596908F7" w14:textId="45927F7F" w:rsidR="002C1F75" w:rsidRDefault="002C1F7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Prior</w:t>
            </w:r>
          </w:p>
        </w:tc>
      </w:tr>
      <w:tr w:rsidR="002C1F75" w14:paraId="49B340AF" w14:textId="2D89DADA" w:rsidTr="002C1F75">
        <w:tc>
          <w:tcPr>
            <w:tcW w:w="810" w:type="dxa"/>
          </w:tcPr>
          <w:p w14:paraId="660A885C" w14:textId="10981FDE"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β</m:t>
                </m:r>
              </m:oMath>
            </m:oMathPara>
          </w:p>
        </w:tc>
        <w:tc>
          <w:tcPr>
            <w:tcW w:w="4753" w:type="dxa"/>
          </w:tcPr>
          <w:p w14:paraId="3D1E2D0E" w14:textId="1470F0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transmission per-partnership</w:t>
            </w:r>
          </w:p>
        </w:tc>
        <w:tc>
          <w:tcPr>
            <w:tcW w:w="3463" w:type="dxa"/>
          </w:tcPr>
          <w:p w14:paraId="1C9D9EFC" w14:textId="51072D74"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39BD5428" w14:textId="65E8EF74" w:rsidTr="002C1F75">
        <w:tc>
          <w:tcPr>
            <w:tcW w:w="810" w:type="dxa"/>
          </w:tcPr>
          <w:p w14:paraId="30C56F44" w14:textId="0CBCF5D4" w:rsidR="002C1F75"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β</m:t>
                    </m:r>
                  </m:sub>
                </m:sSub>
              </m:oMath>
            </m:oMathPara>
          </w:p>
        </w:tc>
        <w:tc>
          <w:tcPr>
            <w:tcW w:w="4753" w:type="dxa"/>
          </w:tcPr>
          <w:p w14:paraId="214A481D" w14:textId="67F65BBD"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transmission risk behaviour</w:t>
            </w:r>
          </w:p>
        </w:tc>
        <w:tc>
          <w:tcPr>
            <w:tcW w:w="3463" w:type="dxa"/>
          </w:tcPr>
          <w:p w14:paraId="3437210A" w14:textId="631FAB9A"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5E1821BC" w14:textId="41FB45B0" w:rsidTr="002C1F75">
        <w:tc>
          <w:tcPr>
            <w:tcW w:w="810" w:type="dxa"/>
          </w:tcPr>
          <w:p w14:paraId="75918587" w14:textId="60014C32"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ϵ</m:t>
                </m:r>
              </m:oMath>
            </m:oMathPara>
          </w:p>
        </w:tc>
        <w:tc>
          <w:tcPr>
            <w:tcW w:w="4753" w:type="dxa"/>
          </w:tcPr>
          <w:p w14:paraId="6ABC8A72" w14:textId="478E6D4D"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Level of assotativity in sexual mixing</w:t>
            </w:r>
          </w:p>
        </w:tc>
        <w:tc>
          <w:tcPr>
            <w:tcW w:w="3463" w:type="dxa"/>
          </w:tcPr>
          <w:p w14:paraId="5FAD4E99" w14:textId="2AC50363"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065F0E53" w14:textId="16AD1F5F" w:rsidTr="002C1F75">
        <w:tc>
          <w:tcPr>
            <w:tcW w:w="810" w:type="dxa"/>
          </w:tcPr>
          <w:p w14:paraId="3CA6493C" w14:textId="0139F52F"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σ</m:t>
                </m:r>
              </m:oMath>
            </m:oMathPara>
          </w:p>
        </w:tc>
        <w:tc>
          <w:tcPr>
            <w:tcW w:w="4753" w:type="dxa"/>
          </w:tcPr>
          <w:p w14:paraId="5254481B"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leaving incubation period</w:t>
            </w:r>
          </w:p>
        </w:tc>
        <w:tc>
          <w:tcPr>
            <w:tcW w:w="3463" w:type="dxa"/>
          </w:tcPr>
          <w:p w14:paraId="0A99468C" w14:textId="11F38756"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1"/>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[16.7, 4.6]</w:t>
            </w:r>
            <w:commentRangeEnd w:id="1"/>
            <w:r w:rsidR="00FD2D8F">
              <w:rPr>
                <w:rStyle w:val="CommentReference"/>
                <w:rFonts w:asciiTheme="minorHAnsi" w:hAnsiTheme="minorHAnsi"/>
              </w:rPr>
              <w:commentReference w:id="1"/>
            </w:r>
          </w:p>
        </w:tc>
      </w:tr>
      <w:tr w:rsidR="002C1F75" w14:paraId="5E3301AA" w14:textId="353423D4" w:rsidTr="002C1F75">
        <w:tc>
          <w:tcPr>
            <w:tcW w:w="810" w:type="dxa"/>
          </w:tcPr>
          <w:p w14:paraId="07B549D1" w14:textId="6C96625D"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ψ</m:t>
                </m:r>
              </m:oMath>
            </m:oMathPara>
          </w:p>
        </w:tc>
        <w:tc>
          <w:tcPr>
            <w:tcW w:w="4753" w:type="dxa"/>
          </w:tcPr>
          <w:p w14:paraId="50DD8B3A"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that incident infection is symptomatic</w:t>
            </w:r>
          </w:p>
        </w:tc>
        <w:tc>
          <w:tcPr>
            <w:tcW w:w="3463" w:type="dxa"/>
          </w:tcPr>
          <w:p w14:paraId="2C4F53FC" w14:textId="3CC96AAE"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392AFED9" w14:textId="7A55A776" w:rsidTr="002C1F75">
        <w:tc>
          <w:tcPr>
            <w:tcW w:w="810" w:type="dxa"/>
          </w:tcPr>
          <w:p w14:paraId="65D3CF8A" w14:textId="5A45AC28"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μ</m:t>
                </m:r>
              </m:oMath>
            </m:oMathPara>
          </w:p>
        </w:tc>
        <w:tc>
          <w:tcPr>
            <w:tcW w:w="4753" w:type="dxa"/>
          </w:tcPr>
          <w:p w14:paraId="09CDD9D9"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seeking treatment due to symptom</w:t>
            </w:r>
          </w:p>
        </w:tc>
        <w:tc>
          <w:tcPr>
            <w:tcW w:w="3463" w:type="dxa"/>
          </w:tcPr>
          <w:p w14:paraId="43064D8E" w14:textId="1EEFE93A"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2"/>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[3.2, 42.6]</w:t>
            </w:r>
            <w:commentRangeEnd w:id="2"/>
            <w:r w:rsidR="00FD2D8F">
              <w:rPr>
                <w:rStyle w:val="CommentReference"/>
                <w:rFonts w:asciiTheme="minorHAnsi" w:hAnsiTheme="minorHAnsi"/>
              </w:rPr>
              <w:commentReference w:id="2"/>
            </w:r>
          </w:p>
        </w:tc>
      </w:tr>
      <w:tr w:rsidR="002C1F75" w14:paraId="45FEBF02" w14:textId="63DA2BCE" w:rsidTr="002C1F75">
        <w:tc>
          <w:tcPr>
            <w:tcW w:w="810" w:type="dxa"/>
          </w:tcPr>
          <w:p w14:paraId="417F9A55" w14:textId="25646E83" w:rsidR="002C1F75"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η</m:t>
                    </m:r>
                  </m:e>
                  <m:sub>
                    <m:r>
                      <w:rPr>
                        <w:rFonts w:ascii="Cambria Math" w:eastAsia="Times New Roman" w:hAnsi="Cambria Math" w:cs="Times New Roman"/>
                        <w:color w:val="000000" w:themeColor="text1"/>
                        <w:kern w:val="0"/>
                        <w:szCs w:val="20"/>
                        <w14:ligatures w14:val="none"/>
                      </w:rPr>
                      <m:t>H</m:t>
                    </m:r>
                  </m:sub>
                </m:sSub>
                <m:d>
                  <m:dPr>
                    <m:ctrlPr>
                      <w:rPr>
                        <w:rFonts w:ascii="Cambria Math" w:eastAsia="Times New Roman" w:hAnsi="Cambria Math" w:cs="Times New Roman"/>
                        <w:i/>
                        <w:iCs/>
                        <w:color w:val="000000" w:themeColor="text1"/>
                        <w:kern w:val="0"/>
                        <w:szCs w:val="20"/>
                        <w14:ligatures w14:val="none"/>
                      </w:rPr>
                    </m:ctrlPr>
                  </m:dPr>
                  <m:e>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753" w:type="dxa"/>
          </w:tcPr>
          <w:p w14:paraId="57507E01" w14:textId="5AF75DBC"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Initial rate of asymptomatic screening in group </w:t>
            </w:r>
            <m:oMath>
              <m:r>
                <w:rPr>
                  <w:rFonts w:ascii="Cambria Math" w:eastAsia="Times New Roman" w:hAnsi="Cambria Math" w:cs="Times New Roman"/>
                  <w:color w:val="000000" w:themeColor="text1"/>
                  <w:kern w:val="0"/>
                  <w:szCs w:val="20"/>
                  <w14:ligatures w14:val="none"/>
                </w:rPr>
                <m:t>H</m:t>
              </m:r>
            </m:oMath>
          </w:p>
        </w:tc>
        <w:tc>
          <w:tcPr>
            <w:tcW w:w="3463" w:type="dxa"/>
          </w:tcPr>
          <w:p w14:paraId="43CF7B44" w14:textId="0B8C91E0" w:rsidR="002C1F75" w:rsidRDefault="00900927"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4]</w:t>
            </w:r>
          </w:p>
        </w:tc>
      </w:tr>
      <w:tr w:rsidR="002C1F75" w14:paraId="0625B934" w14:textId="09B8BC18" w:rsidTr="002C1F75">
        <w:tc>
          <w:tcPr>
            <w:tcW w:w="810" w:type="dxa"/>
          </w:tcPr>
          <w:p w14:paraId="31284754" w14:textId="01FFDDE3"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ω</m:t>
                </m:r>
              </m:oMath>
            </m:oMathPara>
          </w:p>
        </w:tc>
        <w:tc>
          <w:tcPr>
            <w:tcW w:w="4753" w:type="dxa"/>
          </w:tcPr>
          <w:p w14:paraId="71452EEA" w14:textId="67A4AF92"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Ratio of screening rate in group </w:t>
            </w:r>
            <m:oMath>
              <m:r>
                <w:rPr>
                  <w:rFonts w:ascii="Cambria Math" w:eastAsia="Times New Roman" w:hAnsi="Cambria Math" w:cs="Times New Roman"/>
                  <w:color w:val="000000" w:themeColor="text1"/>
                  <w:kern w:val="0"/>
                  <w:szCs w:val="20"/>
                  <w14:ligatures w14:val="none"/>
                </w:rPr>
                <m:t>L</m:t>
              </m:r>
            </m:oMath>
            <w:r>
              <w:rPr>
                <w:rFonts w:eastAsia="Times New Roman" w:cs="Times New Roman"/>
                <w:color w:val="000000" w:themeColor="text1"/>
                <w:kern w:val="0"/>
                <w:szCs w:val="20"/>
                <w14:ligatures w14:val="none"/>
              </w:rPr>
              <w:t xml:space="preserve"> vs </w:t>
            </w:r>
            <m:oMath>
              <m:r>
                <w:rPr>
                  <w:rFonts w:ascii="Cambria Math" w:eastAsia="Times New Roman" w:hAnsi="Cambria Math" w:cs="Times New Roman"/>
                  <w:color w:val="000000" w:themeColor="text1"/>
                  <w:kern w:val="0"/>
                  <w:szCs w:val="20"/>
                  <w14:ligatures w14:val="none"/>
                </w:rPr>
                <m:t>H</m:t>
              </m:r>
            </m:oMath>
          </w:p>
        </w:tc>
        <w:tc>
          <w:tcPr>
            <w:tcW w:w="3463" w:type="dxa"/>
          </w:tcPr>
          <w:p w14:paraId="0F1496C6" w14:textId="37813D68"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lang w:val="en-US"/>
              </w:rPr>
              <w:t>logN[-0.87, 0.39]</w:t>
            </w:r>
          </w:p>
        </w:tc>
      </w:tr>
      <w:tr w:rsidR="002C1F75" w14:paraId="1C685687" w14:textId="23E8EA4C" w:rsidTr="002C1F75">
        <w:tc>
          <w:tcPr>
            <w:tcW w:w="810" w:type="dxa"/>
          </w:tcPr>
          <w:p w14:paraId="1BB6960E" w14:textId="3BE81EEA" w:rsidR="002C1F75" w:rsidRPr="00D32E21" w:rsidRDefault="00000000"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ϕ</m:t>
                    </m:r>
                  </m:e>
                  <m:sub>
                    <m:r>
                      <w:rPr>
                        <w:rFonts w:ascii="Cambria Math" w:eastAsia="Times New Roman" w:hAnsi="Cambria Math" w:cs="Times New Roman"/>
                        <w:color w:val="000000" w:themeColor="text1"/>
                        <w:kern w:val="0"/>
                        <w:szCs w:val="20"/>
                        <w14:ligatures w14:val="none"/>
                      </w:rPr>
                      <m:t>η</m:t>
                    </m:r>
                  </m:sub>
                </m:sSub>
              </m:oMath>
            </m:oMathPara>
          </w:p>
        </w:tc>
        <w:tc>
          <w:tcPr>
            <w:tcW w:w="4753" w:type="dxa"/>
          </w:tcPr>
          <w:p w14:paraId="46A754AD" w14:textId="592F3391"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increase in screening rate</w:t>
            </w:r>
          </w:p>
        </w:tc>
        <w:tc>
          <w:tcPr>
            <w:tcW w:w="3463" w:type="dxa"/>
          </w:tcPr>
          <w:p w14:paraId="39711A36" w14:textId="1B67944F" w:rsidR="002C1F75" w:rsidRDefault="00756C05" w:rsidP="005D5687">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U[0, 1]</w:t>
            </w:r>
          </w:p>
        </w:tc>
      </w:tr>
      <w:tr w:rsidR="002C1F75" w14:paraId="4F3DA726" w14:textId="430750B9" w:rsidTr="002C1F75">
        <w:tc>
          <w:tcPr>
            <w:tcW w:w="810" w:type="dxa"/>
          </w:tcPr>
          <w:p w14:paraId="58F296FA" w14:textId="5EA629CF"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ρ</m:t>
                </m:r>
              </m:oMath>
            </m:oMathPara>
          </w:p>
        </w:tc>
        <w:tc>
          <w:tcPr>
            <w:tcW w:w="4753" w:type="dxa"/>
          </w:tcPr>
          <w:p w14:paraId="6D96DA32"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recovery after treatment</w:t>
            </w:r>
          </w:p>
        </w:tc>
        <w:tc>
          <w:tcPr>
            <w:tcW w:w="3463" w:type="dxa"/>
          </w:tcPr>
          <w:p w14:paraId="0AB0B183" w14:textId="754C94D6"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3"/>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[108.6, 0.48]</w:t>
            </w:r>
            <w:commentRangeEnd w:id="3"/>
            <w:r w:rsidR="00FD2D8F">
              <w:rPr>
                <w:rStyle w:val="CommentReference"/>
                <w:rFonts w:asciiTheme="minorHAnsi" w:hAnsiTheme="minorHAnsi"/>
              </w:rPr>
              <w:commentReference w:id="3"/>
            </w:r>
          </w:p>
        </w:tc>
      </w:tr>
      <w:tr w:rsidR="002C1F75" w14:paraId="43FA947F" w14:textId="37969C12" w:rsidTr="002C1F75">
        <w:tc>
          <w:tcPr>
            <w:tcW w:w="810" w:type="dxa"/>
          </w:tcPr>
          <w:p w14:paraId="0B4247BB" w14:textId="12A2507C" w:rsidR="002C1F75" w:rsidRPr="00D32E21" w:rsidRDefault="002C1F75" w:rsidP="00BB3EC6">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ν</m:t>
                </m:r>
              </m:oMath>
            </m:oMathPara>
          </w:p>
        </w:tc>
        <w:tc>
          <w:tcPr>
            <w:tcW w:w="4753" w:type="dxa"/>
          </w:tcPr>
          <w:p w14:paraId="08C68C21" w14:textId="77777777" w:rsidR="002C1F75" w:rsidRDefault="002C1F75" w:rsidP="00BB3EC6">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Rate of natural recovery</w:t>
            </w:r>
          </w:p>
        </w:tc>
        <w:tc>
          <w:tcPr>
            <w:tcW w:w="3463" w:type="dxa"/>
          </w:tcPr>
          <w:p w14:paraId="27EE4232" w14:textId="54C6CAF0" w:rsidR="002C1F75" w:rsidRDefault="005D5687" w:rsidP="005D5687">
            <w:pPr>
              <w:spacing w:before="100" w:beforeAutospacing="1" w:after="100" w:afterAutospacing="1" w:line="276" w:lineRule="auto"/>
              <w:rPr>
                <w:rFonts w:eastAsia="Times New Roman" w:cs="Times New Roman"/>
                <w:color w:val="000000" w:themeColor="text1"/>
                <w:kern w:val="0"/>
                <w:szCs w:val="20"/>
                <w14:ligatures w14:val="none"/>
              </w:rPr>
            </w:pPr>
            <w:commentRangeStart w:id="4"/>
            <m:oMath>
              <m:r>
                <m:rPr>
                  <m:sty m:val="p"/>
                </m:rPr>
                <w:rPr>
                  <w:rFonts w:ascii="Cambria Math" w:eastAsia="Times New Roman" w:hAnsi="Cambria Math" w:cs="Times New Roman"/>
                  <w:color w:val="000000" w:themeColor="text1"/>
                  <w:kern w:val="0"/>
                  <w:szCs w:val="20"/>
                  <w14:ligatures w14:val="none"/>
                </w:rPr>
                <m:t>Γ</m:t>
              </m:r>
            </m:oMath>
            <w:r>
              <w:rPr>
                <w:rFonts w:eastAsia="Times New Roman" w:cs="Times New Roman"/>
                <w:color w:val="000000" w:themeColor="text1"/>
                <w:kern w:val="0"/>
                <w:szCs w:val="20"/>
                <w14:ligatures w14:val="none"/>
              </w:rPr>
              <w:t>[8.5, 0.27]</w:t>
            </w:r>
            <w:commentRangeEnd w:id="4"/>
            <w:r w:rsidR="00FD2D8F">
              <w:rPr>
                <w:rStyle w:val="CommentReference"/>
                <w:rFonts w:asciiTheme="minorHAnsi" w:hAnsiTheme="minorHAnsi"/>
              </w:rPr>
              <w:commentReference w:id="4"/>
            </w:r>
          </w:p>
        </w:tc>
      </w:tr>
    </w:tbl>
    <w:p w14:paraId="1CC09B59" w14:textId="6916FFF4"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commentRangeStart w:id="5"/>
      <w:r>
        <w:rPr>
          <w:rFonts w:ascii="Times New Roman" w:eastAsia="Times New Roman" w:hAnsi="Times New Roman" w:cs="Times New Roman"/>
          <w:color w:val="000000" w:themeColor="text1"/>
          <w:kern w:val="0"/>
          <w:sz w:val="20"/>
          <w:szCs w:val="20"/>
          <w14:ligatures w14:val="none"/>
        </w:rPr>
        <w:t xml:space="preserve">Table 2: </w:t>
      </w:r>
      <w:r w:rsidR="008576F9">
        <w:rPr>
          <w:rFonts w:ascii="Times New Roman" w:eastAsia="Times New Roman" w:hAnsi="Times New Roman" w:cs="Times New Roman"/>
          <w:color w:val="000000" w:themeColor="text1"/>
          <w:kern w:val="0"/>
          <w:sz w:val="20"/>
          <w:szCs w:val="20"/>
          <w14:ligatures w14:val="none"/>
        </w:rPr>
        <w:t>Model parameters.</w:t>
      </w:r>
      <w:commentRangeEnd w:id="5"/>
      <w:r w:rsidR="008576F9">
        <w:rPr>
          <w:rStyle w:val="CommentReference"/>
        </w:rPr>
        <w:commentReference w:id="5"/>
      </w:r>
    </w:p>
    <w:tbl>
      <w:tblPr>
        <w:tblStyle w:val="TableGrid"/>
        <w:tblW w:w="0" w:type="auto"/>
        <w:tblLook w:val="04A0" w:firstRow="1" w:lastRow="0" w:firstColumn="1" w:lastColumn="0" w:noHBand="0" w:noVBand="1"/>
      </w:tblPr>
      <w:tblGrid>
        <w:gridCol w:w="491"/>
        <w:gridCol w:w="6799"/>
        <w:gridCol w:w="964"/>
        <w:gridCol w:w="772"/>
      </w:tblGrid>
      <w:tr w:rsidR="00804703" w14:paraId="54AB8378" w14:textId="61E0946F" w:rsidTr="00BA2AB7">
        <w:tc>
          <w:tcPr>
            <w:tcW w:w="474" w:type="dxa"/>
          </w:tcPr>
          <w:p w14:paraId="7BDE15F9" w14:textId="31174748" w:rsidR="0090359A" w:rsidRDefault="0090359A"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6815" w:type="dxa"/>
          </w:tcPr>
          <w:p w14:paraId="11FDE79F" w14:textId="77777777" w:rsidR="0090359A" w:rsidRDefault="0090359A" w:rsidP="00166618">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965" w:type="dxa"/>
          </w:tcPr>
          <w:p w14:paraId="52B5383E" w14:textId="0267F846" w:rsidR="0090359A" w:rsidRDefault="0090359A"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772" w:type="dxa"/>
          </w:tcPr>
          <w:p w14:paraId="7FAB5165" w14:textId="66703C65" w:rsidR="0090359A" w:rsidRDefault="0090359A" w:rsidP="00166618">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804703" w14:paraId="0FE9BADD" w14:textId="6A5E7F2F" w:rsidTr="00BA2AB7">
        <w:tc>
          <w:tcPr>
            <w:tcW w:w="474" w:type="dxa"/>
          </w:tcPr>
          <w:p w14:paraId="19EF6B92" w14:textId="236E4CE8" w:rsidR="0090359A" w:rsidRPr="00D32E21" w:rsidRDefault="0090359A"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ϕ</m:t>
                </m:r>
              </m:oMath>
            </m:oMathPara>
          </w:p>
        </w:tc>
        <w:tc>
          <w:tcPr>
            <w:tcW w:w="6815" w:type="dxa"/>
          </w:tcPr>
          <w:p w14:paraId="10FE8966" w14:textId="3900185B" w:rsidR="0090359A" w:rsidRDefault="0090359A" w:rsidP="0090359A">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Treatment failure rate for ceftriaxone-resistant infections treated with ceftriaxone</w:t>
            </w:r>
          </w:p>
        </w:tc>
        <w:tc>
          <w:tcPr>
            <w:tcW w:w="965" w:type="dxa"/>
          </w:tcPr>
          <w:p w14:paraId="42299EE6" w14:textId="3123577A"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commentRangeStart w:id="6"/>
            <w:r>
              <w:rPr>
                <w:rFonts w:eastAsia="Times New Roman" w:cs="Times New Roman"/>
                <w:color w:val="000000" w:themeColor="text1"/>
                <w:kern w:val="0"/>
                <w:szCs w:val="20"/>
                <w14:ligatures w14:val="none"/>
              </w:rPr>
              <w:t>0</w:t>
            </w:r>
            <w:commentRangeEnd w:id="6"/>
            <w:r w:rsidR="00804703">
              <w:rPr>
                <w:rStyle w:val="CommentReference"/>
                <w:rFonts w:asciiTheme="minorHAnsi" w:hAnsiTheme="minorHAnsi"/>
              </w:rPr>
              <w:commentReference w:id="6"/>
            </w:r>
          </w:p>
        </w:tc>
        <w:tc>
          <w:tcPr>
            <w:tcW w:w="772" w:type="dxa"/>
          </w:tcPr>
          <w:p w14:paraId="464212B4" w14:textId="2F36A5AA"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Pr>
                <w:rFonts w:eastAsia="Times New Roman" w:cs="Times New Roman"/>
                <w:color w:val="000000" w:themeColor="text1"/>
                <w:kern w:val="0"/>
                <w:szCs w:val="20"/>
                <w14:ligatures w14:val="none"/>
              </w:rPr>
              <w:instrText xml:space="preserve"> ADDIN ZOTERO_ITEM CSL_CITATION {"citationID":"byXQfm3S","properties":{"formattedCitation":"[4]","plainCitation":"[4]","noteIndex":0},"citationItems":[{"id":420,"uris":["http://zotero.org/users/9663344/items/ZQGG9PCA"],"itemData":{"id":420,"type":"webpage","container-title":"UK Health Security Agency","language":"en","title":"GRASP report: data to August 2024","title-short":"GRASP report","URL":"https://www.gov.uk/government/publications/gonococcal-resistance-to-antimicrobials-surveillance-programme-grasp-report/grasp-report-data-to-august-2024","accessed":{"date-parts":[["2025",10,29]]}}}],"schema":"https://github.com/citation-style-language/schema/raw/master/csl-citation.json"} </w:instrText>
            </w:r>
            <w:r>
              <w:rPr>
                <w:rFonts w:eastAsia="Times New Roman" w:cs="Times New Roman"/>
                <w:color w:val="000000" w:themeColor="text1"/>
                <w:kern w:val="0"/>
                <w:szCs w:val="20"/>
                <w14:ligatures w14:val="none"/>
              </w:rPr>
              <w:fldChar w:fldCharType="separate"/>
            </w:r>
            <w:r>
              <w:rPr>
                <w:rFonts w:eastAsia="Times New Roman" w:cs="Times New Roman"/>
                <w:noProof/>
                <w:color w:val="000000" w:themeColor="text1"/>
                <w:kern w:val="0"/>
                <w:szCs w:val="20"/>
                <w14:ligatures w14:val="none"/>
              </w:rPr>
              <w:t>[4]</w:t>
            </w:r>
            <w:r>
              <w:rPr>
                <w:rFonts w:eastAsia="Times New Roman" w:cs="Times New Roman"/>
                <w:color w:val="000000" w:themeColor="text1"/>
                <w:kern w:val="0"/>
                <w:szCs w:val="20"/>
                <w14:ligatures w14:val="none"/>
              </w:rPr>
              <w:fldChar w:fldCharType="end"/>
            </w:r>
          </w:p>
        </w:tc>
      </w:tr>
      <w:tr w:rsidR="00804703" w14:paraId="699D2D6D" w14:textId="6FD45B0E" w:rsidTr="00BA2AB7">
        <w:tc>
          <w:tcPr>
            <w:tcW w:w="474" w:type="dxa"/>
          </w:tcPr>
          <w:p w14:paraId="52DF8216" w14:textId="1BAB35C9" w:rsidR="0090359A" w:rsidRPr="00D32E21" w:rsidRDefault="00000000" w:rsidP="00C052D4">
            <w:pPr>
              <w:spacing w:before="100" w:beforeAutospacing="1" w:after="100" w:afterAutospacing="1" w:line="276" w:lineRule="auto"/>
              <w:rPr>
                <w:rFonts w:eastAsia="Times New Roman"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oMath>
            </m:oMathPara>
          </w:p>
        </w:tc>
        <w:tc>
          <w:tcPr>
            <w:tcW w:w="6815" w:type="dxa"/>
          </w:tcPr>
          <w:p w14:paraId="638E6A9E" w14:textId="72BD68F2"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ceftriaxone-resistant bacteria, compared with susceptible</w:t>
            </w:r>
          </w:p>
        </w:tc>
        <w:tc>
          <w:tcPr>
            <w:tcW w:w="965" w:type="dxa"/>
          </w:tcPr>
          <w:p w14:paraId="11771A6A" w14:textId="19396FB5"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0.98</w:t>
            </w:r>
          </w:p>
        </w:tc>
        <w:tc>
          <w:tcPr>
            <w:tcW w:w="772" w:type="dxa"/>
          </w:tcPr>
          <w:p w14:paraId="40B615DB" w14:textId="77E81804"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{"citationID":"4PPeZTZN","properties":{"formattedCitation":"[12]","plainCitation":"[12]","noteIndex":0},"citationItems":[{"id":187,"uris":["http://zotero.org/users/9663344/items/HYSVKZR9"],"itemData":{"id":187,"type":"article-journal","abstract":"Background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804703" w14:paraId="7A45BEF9" w14:textId="24715072" w:rsidTr="00BA2AB7">
        <w:tc>
          <w:tcPr>
            <w:tcW w:w="474" w:type="dxa"/>
          </w:tcPr>
          <w:p w14:paraId="74FE6CD8" w14:textId="51ABCC2D"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t</m:t>
                    </m:r>
                  </m:sub>
                </m:sSub>
              </m:oMath>
            </m:oMathPara>
          </w:p>
        </w:tc>
        <w:tc>
          <w:tcPr>
            <w:tcW w:w="6815" w:type="dxa"/>
          </w:tcPr>
          <w:p w14:paraId="5FA28E9B" w14:textId="4D23D3F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tetracycline-resistant bacteria, compared with susceptible</w:t>
            </w:r>
          </w:p>
        </w:tc>
        <w:tc>
          <w:tcPr>
            <w:tcW w:w="965" w:type="dxa"/>
          </w:tcPr>
          <w:p w14:paraId="40C6796C" w14:textId="6C9D11FF"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0.98</w:t>
            </w:r>
          </w:p>
        </w:tc>
        <w:tc>
          <w:tcPr>
            <w:tcW w:w="772" w:type="dxa"/>
          </w:tcPr>
          <w:p w14:paraId="2A27EFBF" w14:textId="462C44EE"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{"citationID":"w3hdUG4f","properties":{"formattedCitation":"[12]","plainCitation":"[12]","noteIndex":0},"citationItems":[{"id":187,"uris":["http://zotero.org/users/9663344/items/HYSVKZR9"],"itemData":{"id":187,"type":"article-journal","abstract":"Background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804703" w14:paraId="23AF0A2D" w14:textId="59252D0E" w:rsidTr="00BA2AB7">
        <w:tc>
          <w:tcPr>
            <w:tcW w:w="474" w:type="dxa"/>
          </w:tcPr>
          <w:p w14:paraId="40A856B6" w14:textId="6D719C21"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d2</m:t>
                    </m:r>
                  </m:sub>
                </m:sSub>
              </m:oMath>
            </m:oMathPara>
          </w:p>
        </w:tc>
        <w:tc>
          <w:tcPr>
            <w:tcW w:w="6815" w:type="dxa"/>
          </w:tcPr>
          <w:p w14:paraId="1513624E" w14:textId="4D36146F"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Relative fitness of dual resistant bacteria, compared with susceptible</w:t>
            </w:r>
          </w:p>
        </w:tc>
        <w:tc>
          <w:tcPr>
            <w:tcW w:w="965" w:type="dxa"/>
          </w:tcPr>
          <w:p w14:paraId="6CBD4059" w14:textId="17E3A8B3" w:rsidR="0090359A" w:rsidRDefault="00000000" w:rsidP="00511992">
            <w:pPr>
              <w:spacing w:before="100" w:beforeAutospacing="1" w:after="100" w:afterAutospacing="1" w:line="276" w:lineRule="auto"/>
              <w:rPr>
                <w:rFonts w:eastAsia="Times New Roman" w:cs="Times New Roman"/>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e>
                  <m:sub>
                    <m:r>
                      <w:rPr>
                        <w:rFonts w:ascii="Cambria Math" w:eastAsia="Times New Roman" w:hAnsi="Cambria Math" w:cs="Times New Roman"/>
                        <w:color w:val="000000" w:themeColor="text1"/>
                        <w:kern w:val="0"/>
                        <w:szCs w:val="20"/>
                        <w14:ligatures w14:val="none"/>
                      </w:rPr>
                      <m:t>c</m:t>
                    </m:r>
                  </m:sub>
                </m:sSub>
                <m:r>
                  <m:rPr>
                    <m:sty m:val="p"/>
                  </m:rPr>
                  <w:rPr>
                    <w:rFonts w:ascii="Cambria Math" w:eastAsia="Times New Roman" w:hAnsi="Cambria Math" w:cs="Times New Roman"/>
                    <w:color w:val="000000" w:themeColor="text1"/>
                    <w:kern w:val="0"/>
                    <w:szCs w:val="20"/>
                    <w14:ligatures w14:val="none"/>
                  </w:rPr>
                  <m:t>×</m:t>
                </m:r>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f</m:t>
                    </m:r>
                    <m:ctrlPr>
                      <w:rPr>
                        <w:rFonts w:ascii="Cambria Math" w:eastAsia="Times New Roman" w:hAnsi="Cambria Math" w:cs="Times New Roman"/>
                        <w:color w:val="000000" w:themeColor="text1"/>
                        <w:kern w:val="0"/>
                        <w:szCs w:val="20"/>
                        <w14:ligatures w14:val="none"/>
                      </w:rPr>
                    </m:ctrlPr>
                  </m:e>
                  <m:sub>
                    <m:r>
                      <w:rPr>
                        <w:rFonts w:ascii="Cambria Math" w:eastAsia="Times New Roman" w:hAnsi="Cambria Math" w:cs="Times New Roman"/>
                        <w:color w:val="000000" w:themeColor="text1"/>
                        <w:kern w:val="0"/>
                        <w:szCs w:val="20"/>
                        <w14:ligatures w14:val="none"/>
                      </w:rPr>
                      <m:t>t</m:t>
                    </m:r>
                  </m:sub>
                </m:sSub>
              </m:oMath>
            </m:oMathPara>
          </w:p>
        </w:tc>
        <w:tc>
          <w:tcPr>
            <w:tcW w:w="772" w:type="dxa"/>
          </w:tcPr>
          <w:p w14:paraId="023E548C" w14:textId="0B6C17E0"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{"citationID":"wPKQhZXB","properties":{"formattedCitation":"[12]","plainCitation":"[12]","noteIndex":0},"citationItems":[{"id":187,"uris":["http://zotero.org/users/9663344/items/HYSVKZR9"],"itemData":{"id":187,"type":"article-journal","abstract":"Background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804703" w14:paraId="64BD0E48" w14:textId="2C3E25E6" w:rsidTr="00BA2AB7">
        <w:tc>
          <w:tcPr>
            <w:tcW w:w="474" w:type="dxa"/>
          </w:tcPr>
          <w:p w14:paraId="3F14E964" w14:textId="2DD7FFD0"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c</m:t>
                    </m:r>
                  </m:sub>
                </m:sSub>
              </m:oMath>
            </m:oMathPara>
          </w:p>
        </w:tc>
        <w:tc>
          <w:tcPr>
            <w:tcW w:w="6815" w:type="dxa"/>
          </w:tcPr>
          <w:p w14:paraId="204A7D7E" w14:textId="4141C5CC"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ceftriaxone resistance upon treatment with ceftriaxone</w:t>
            </w:r>
          </w:p>
        </w:tc>
        <w:tc>
          <w:tcPr>
            <w:tcW w:w="965" w:type="dxa"/>
          </w:tcPr>
          <w:p w14:paraId="35D7D14F" w14:textId="54167AA2" w:rsidR="0090359A" w:rsidRPr="00511992" w:rsidRDefault="00511992" w:rsidP="00511992">
            <w:pPr>
              <w:spacing w:before="100" w:beforeAutospacing="1" w:after="100" w:afterAutospacing="1" w:line="276" w:lineRule="auto"/>
              <w:rPr>
                <w:rFonts w:eastAsia="Times New Roman" w:cs="Times New Roman"/>
                <w:color w:val="000000" w:themeColor="text1"/>
                <w:kern w:val="0"/>
                <w:szCs w:val="20"/>
                <w:vertAlign w:val="superscript"/>
                <w14:ligatures w14:val="none"/>
              </w:rPr>
            </w:pPr>
            <w:r>
              <w:rPr>
                <w:rFonts w:eastAsia="Times New Roman" w:cs="Times New Roman"/>
                <w:color w:val="000000" w:themeColor="text1"/>
                <w:kern w:val="0"/>
                <w:szCs w:val="20"/>
                <w14:ligatures w14:val="none"/>
              </w:rPr>
              <w:t>10</w:t>
            </w:r>
            <w:r>
              <w:rPr>
                <w:rFonts w:eastAsia="Times New Roman" w:cs="Times New Roman"/>
                <w:color w:val="000000" w:themeColor="text1"/>
                <w:kern w:val="0"/>
                <w:szCs w:val="20"/>
                <w:vertAlign w:val="superscript"/>
                <w14:ligatures w14:val="none"/>
              </w:rPr>
              <w:t>-8</w:t>
            </w:r>
          </w:p>
        </w:tc>
        <w:tc>
          <w:tcPr>
            <w:tcW w:w="772" w:type="dxa"/>
          </w:tcPr>
          <w:p w14:paraId="6740B462" w14:textId="6E8CCD6C"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{"citationID":"spVCCqJ8","properties":{"formattedCitation":"[12]","plainCitation":"[12]","noteIndex":0},"citationItems":[{"id":187,"uris":["http://zotero.org/users/9663344/items/HYSVKZR9"],"itemData":{"id":187,"type":"article-journal","abstract":"Background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804703" w14:paraId="4B2059D4" w14:textId="3854FD8D" w:rsidTr="00BA2AB7">
        <w:tc>
          <w:tcPr>
            <w:tcW w:w="474" w:type="dxa"/>
          </w:tcPr>
          <w:p w14:paraId="2D3643C5" w14:textId="6F7A7980"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w</m:t>
                    </m:r>
                  </m:e>
                  <m:sub>
                    <m:r>
                      <w:rPr>
                        <w:rFonts w:ascii="Cambria Math" w:eastAsia="Times New Roman" w:hAnsi="Cambria Math" w:cs="Times New Roman"/>
                        <w:color w:val="000000" w:themeColor="text1"/>
                        <w:kern w:val="0"/>
                        <w:szCs w:val="20"/>
                        <w14:ligatures w14:val="none"/>
                      </w:rPr>
                      <m:t>t</m:t>
                    </m:r>
                  </m:sub>
                </m:sSub>
              </m:oMath>
            </m:oMathPara>
          </w:p>
        </w:tc>
        <w:tc>
          <w:tcPr>
            <w:tcW w:w="6815" w:type="dxa"/>
          </w:tcPr>
          <w:p w14:paraId="15D29810" w14:textId="2EB1ED32"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Probability of emergence of tetracycline resistance upon taking doxy-PEP for syphilis after gonorrhoea infection</w:t>
            </w:r>
          </w:p>
        </w:tc>
        <w:tc>
          <w:tcPr>
            <w:tcW w:w="965" w:type="dxa"/>
          </w:tcPr>
          <w:p w14:paraId="280DA7E7" w14:textId="2BC0EECA" w:rsidR="0090359A" w:rsidRDefault="00511992"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w:t>
            </w:r>
          </w:p>
        </w:tc>
        <w:tc>
          <w:tcPr>
            <w:tcW w:w="772" w:type="dxa"/>
          </w:tcPr>
          <w:p w14:paraId="2F8FDDEB" w14:textId="6FA557C9"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{"citationID":"ZT9FOlgN","properties":{"formattedCitation":"[12]","plainCitation":"[12]","noteIndex":0},"citationItems":[{"id":187,"uris":["http://zotero.org/users/9663344/items/HYSVKZR9"],"itemData":{"id":187,"type":"article-journal","abstract":"Background Doxycycline post-exposure prophylaxis (PEP) has been shown to be efﬁcacious for the prevention of bacterial sexually transmitted infections, but resistance implications for Neisseria gonorrhoeae remain unknown. We aimed to use a mathematical model to investigate the anticipated impact of doxycycline PEP on the burden of gonorrhoea and antimicrobial resistance dynamics in men who have sex with men (MSM) in the USA.","container-title":"The Lancet Microbe","DOI":"10.1016/s2666-5247(24)00168-x","ISSN":"2666-5247","issue":"11","language":"en","license":"https://www.elsevier.com/tdm/userlicense/1.0/","note":"publisher: Elsevier BV","page":"100926","source":"Crossref","title":"Effects of doxycycline post-exposure prophylaxis for prevention of sexually transmitted infections on gonorrhoea prevalence and antimicrobial resistance among men who have sex with men in the USA: a modelling study","title-short":"Effects of doxycycline post-exposure prophylaxis for prevention of sexually transmitted infections on gonorrhoea prevalence and antimicrobial resistance among men who have sex with men in the USA","volume":"5","author":[{"family":"Reichert","given":"Emily"},{"family":"Grad","given":"Yonatan H"}],"issued":{"date-parts":[["2024",11]]}}}],"schema":"https://github.com/citation-style-language/schema/raw/master/csl-citation.json"}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[12]</w:t>
            </w:r>
            <w:r>
              <w:rPr>
                <w:rFonts w:eastAsia="Times New Roman" w:cs="Times New Roman"/>
                <w:color w:val="000000" w:themeColor="text1"/>
                <w:kern w:val="0"/>
                <w:szCs w:val="20"/>
                <w14:ligatures w14:val="none"/>
              </w:rPr>
              <w:fldChar w:fldCharType="end"/>
            </w:r>
          </w:p>
        </w:tc>
      </w:tr>
      <w:tr w:rsidR="00804703" w14:paraId="49F709FF" w14:textId="3D415617" w:rsidTr="00BA2AB7">
        <w:tc>
          <w:tcPr>
            <w:tcW w:w="474" w:type="dxa"/>
          </w:tcPr>
          <w:p w14:paraId="5F2F52CC" w14:textId="3CFA2D9E"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d</m:t>
                    </m:r>
                  </m:sub>
                </m:sSub>
              </m:oMath>
            </m:oMathPara>
          </w:p>
        </w:tc>
        <w:tc>
          <w:tcPr>
            <w:tcW w:w="6815" w:type="dxa"/>
          </w:tcPr>
          <w:p w14:paraId="35885379" w14:textId="7181D9B1"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Doxy-PEP efficacy against gonorrhoea infection</w:t>
            </w:r>
          </w:p>
        </w:tc>
        <w:tc>
          <w:tcPr>
            <w:tcW w:w="965" w:type="dxa"/>
          </w:tcPr>
          <w:p w14:paraId="22B150B8" w14:textId="013CE13B"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22%</w:t>
            </w:r>
          </w:p>
        </w:tc>
        <w:tc>
          <w:tcPr>
            <w:tcW w:w="772" w:type="dxa"/>
          </w:tcPr>
          <w:p w14:paraId="0E908268" w14:textId="70568DD0" w:rsidR="0090359A" w:rsidRDefault="00804703"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2D209E">
              <w:rPr>
                <w:rFonts w:eastAsia="Times New Roman" w:cs="Times New Roman"/>
                <w:color w:val="000000" w:themeColor="text1"/>
                <w:kern w:val="0"/>
                <w:szCs w:val="20"/>
                <w14:ligatures w14:val="none"/>
              </w:rPr>
              <w:instrText xml:space="preserve"> ADDIN ZOTERO_ITEM CSL_CITATION {"citationID":"704TjXv2","properties":{"formattedCitation":"[20]","plainCitation":"[20]","noteIndex":0},"citationItems":[{"id":57,"uris":["http://zotero.org/users/9663344/items/ZTD6HKJR"],"itemData":{"id":57,"type":"article-journal","abstract":"Background Increased rates of sexually transmitted infections (STIs) are reported among men who have sex with men (MSM) and new interventions are needed. We aimed to assess whether post-exposure prophylaxis (PEP) with doxycycline could reduce the incidence of chlamydia or syphilis (or both) and whether the meningococcal group B vaccine (4CMenB) could reduce the incidence of gonorrhoea in this population.","container-title":"The Lancet Infectious Diseases","DOI":"10.1016/S1473-3099(24)00236-6","ISSN":"14733099","issue":"10","journalAbbreviation":"The Lancet Infectious Diseases","language":"en","page":"1093-1104","source":"DOI.org (Crossref)","title":"Doxycycline prophylaxis and meningococcal group B vaccine to prevent bacterial sexually transmitted infections in France (ANRS 174 DOXYVAC): a multicentre, open-label, randomised trial with a 2 × 2 factorial design","title-short":"Doxycycline prophylaxis and meningococcal group B vaccine to prevent bacterial sexually transmitted infections in France (ANRS 174 DOXYVAC)","volume":"24","author":[{"family":"Molina","given":"Jean-Michel"},{"family":"Bercot","given":"Beatrice"},{"family":"Assoumou","given":"Lambert"},{"family":"Rubenstein","given":"Emma"},{"family":"Algarte-Genin","given":"Michele"},{"family":"Pialoux","given":"Gilles"},{"family":"Katlama","given":"Christine"},{"family":"Surgers","given":"Laure"},{"family":"Bébéar","given":"Cécile"},{"family":"Dupin","given":"Nicolas"},{"family":"Ouattara","given":"Moussa"},{"family":"Slama","given":"Laurence"},{"family":"Pavie","given":"Juliette"},{"family":"Duvivier","given":"Claudine"},{"family":"Loze","given":"Benedicte"},{"family":"Goldwirt","given":"Lauriane"},{"family":"Gibowski","given":"Severine"},{"family":"Ollivier","given":"Manon"},{"family":"Ghosn","given":"Jade"},{"family":"Costagliola","given":"Dominique"},{"family":"Aslan","given":"Alexandre"},{"family":"Pintado","given":"Claire"},{"family":"Delaugerre","given":"Constance"},{"family":"Ponscarme","given":"Diane"},{"family":"Dalle","given":"Eve"},{"family":"Chas","given":"Julie"},{"family":"Siguier","given":"Martin"},{"family":"Palich","given":"Romain"},{"family":"Valentin","given":"Marc-Antoine"},{"family":"Yazdanpanah","given":"Yazdan"},{"family":"Lacombe","given":"Karine"},{"family":"Viard","given":"Jean-Paul"},{"family":"Lourenco","given":"Jeremy"},{"family":"Rachline","given":"Anne"},{"family":"Detruchis","given":"Pierre"},{"family":"Diemer","given":"Myriam"},{"family":"Azemar","given":"Laurene"},{"family":"Landowski","given":"Stephanie"},{"family":"Ometsguine","given":"Philippe"},{"family":"Buisson","given":"Martin"},{"family":"Feliho","given":"Philip"},{"family":"Bachelard","given":"Antoine"},{"family":"Phung","given":"Bao"},{"family":"Rioux","given":"Christophe"},{"family":"Proux","given":"Caroline"},{"family":"Le Gac","given":"Sylvie"},{"family":"Schneider","given":"Luminita"},{"family":"Charmak","given":"Aziza"},{"family":"Ktorza","given":"Nadine"},{"family":"Seang","given":"Sophie"},{"family":"Orriere","given":"Thibaut"},{"family":"Sellem","given":"Baptiste"},{"family":"Palacios","given":"Christia"},{"family":"Mebarki","given":"Soraya"}],"issued":{"date-parts":[["2024",10]]}}}],"schema":"https://github.com/citation-style-language/schema/raw/master/csl-citation.json"} </w:instrText>
            </w:r>
            <w:r>
              <w:rPr>
                <w:rFonts w:eastAsia="Times New Roman" w:cs="Times New Roman"/>
                <w:color w:val="000000" w:themeColor="text1"/>
                <w:kern w:val="0"/>
                <w:szCs w:val="20"/>
                <w14:ligatures w14:val="none"/>
              </w:rPr>
              <w:fldChar w:fldCharType="separate"/>
            </w:r>
            <w:r w:rsidR="002D209E">
              <w:rPr>
                <w:rFonts w:eastAsia="Times New Roman" w:cs="Times New Roman"/>
                <w:noProof/>
                <w:color w:val="000000" w:themeColor="text1"/>
                <w:kern w:val="0"/>
                <w:szCs w:val="20"/>
                <w14:ligatures w14:val="none"/>
              </w:rPr>
              <w:t>[20]</w:t>
            </w:r>
            <w:r>
              <w:rPr>
                <w:rFonts w:eastAsia="Times New Roman" w:cs="Times New Roman"/>
                <w:color w:val="000000" w:themeColor="text1"/>
                <w:kern w:val="0"/>
                <w:szCs w:val="20"/>
                <w14:ligatures w14:val="none"/>
              </w:rPr>
              <w:fldChar w:fldCharType="end"/>
            </w:r>
          </w:p>
        </w:tc>
      </w:tr>
      <w:tr w:rsidR="00804703" w14:paraId="46C6533E" w14:textId="58E77F49" w:rsidTr="00BA2AB7">
        <w:tc>
          <w:tcPr>
            <w:tcW w:w="474" w:type="dxa"/>
          </w:tcPr>
          <w:p w14:paraId="16E99D95" w14:textId="4BCC7CB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e</m:t>
                    </m:r>
                  </m:e>
                  <m:sub>
                    <m:r>
                      <w:rPr>
                        <w:rFonts w:ascii="Cambria Math" w:eastAsia="Times New Roman" w:hAnsi="Cambria Math" w:cs="Times New Roman"/>
                        <w:color w:val="000000" w:themeColor="text1"/>
                        <w:kern w:val="0"/>
                        <w:szCs w:val="20"/>
                        <w14:ligatures w14:val="none"/>
                      </w:rPr>
                      <m:t>v</m:t>
                    </m:r>
                  </m:sub>
                </m:sSub>
              </m:oMath>
            </m:oMathPara>
          </w:p>
        </w:tc>
        <w:tc>
          <w:tcPr>
            <w:tcW w:w="6815" w:type="dxa"/>
          </w:tcPr>
          <w:p w14:paraId="1B4F2836" w14:textId="357A9B27"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7" w:name="_Hlk212667815"/>
            <w:r>
              <w:rPr>
                <w:rFonts w:eastAsia="Times New Roman" w:cs="Times New Roman"/>
                <w:color w:val="000000" w:themeColor="text1"/>
                <w:kern w:val="0"/>
                <w:szCs w:val="20"/>
                <w14:ligatures w14:val="none"/>
              </w:rPr>
              <w:t>4CMenB efficacy against gonorrhoea infection</w:t>
            </w:r>
            <w:bookmarkEnd w:id="7"/>
          </w:p>
        </w:tc>
        <w:tc>
          <w:tcPr>
            <w:tcW w:w="965" w:type="dxa"/>
          </w:tcPr>
          <w:p w14:paraId="4857FA1B" w14:textId="28DD64D4" w:rsidR="0090359A" w:rsidRDefault="008576F9"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40%</w:t>
            </w:r>
          </w:p>
        </w:tc>
        <w:tc>
          <w:tcPr>
            <w:tcW w:w="772" w:type="dxa"/>
          </w:tcPr>
          <w:p w14:paraId="440AF381" w14:textId="5EE126A9" w:rsidR="0090359A" w:rsidRDefault="008576F9"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9D5228">
              <w:rPr>
                <w:rFonts w:eastAsia="Times New Roman" w:cs="Times New Roman"/>
                <w:color w:val="000000" w:themeColor="text1"/>
                <w:kern w:val="0"/>
                <w:szCs w:val="20"/>
                <w14:ligatures w14:val="none"/>
              </w:rPr>
              <w:instrText xml:space="preserve"> ADDIN ZOTERO_ITEM CSL_CITATION {"citationID":"5t9v32uY","properties":{"formattedCitation":"[9]","plainCitation":"[9]","noteIndex":0},"citationItems":[{"id":409,"uris":["http://zotero.org/users/9663344/items/S8TLUVMP"],"itemData":{"id":409,"type":"article-journal","container-title":"The Lancet Infectious Diseases","DOI":"10.1016/S1473-3099(24)00031-8","ISSN":"1473-3099, 1474-4457","issue":"9","journalAbbreviation":"The Lancet Infectious Diseases","language":"English","note":"publisher: Elsevier\nPMID: 38521080","page":"e576-e583","source":"www.thelancet.com","title":"Use of a meningococcal group B vaccine (4CMenB) in populations at high risk of gonorrhoea in the UK","volume":"24","author":[{"family":"Ladhani","given":"Shamez N."},{"family":"White","given":"Peter J."},{"family":"Campbell","given":"Helen"},{"family":"Mandal","given":"Sema"},{"family":"Borrow","given":"Ray"},{"family":"Andrews","given":"Nick"},{"family":"Bhopal","given":"Sunil"},{"family":"Saunders","given":"John"},{"family":"Mohammed","given":"Hamish"},{"family":"Drisdale-Gordon","given":"Lana"},{"family":"Callan","given":"Emma"},{"family":"Sinka","given":"Katy"},{"family":"Folkard","given":"Kate"},{"family":"Fifer","given":"Helen"},{"family":"Ramsay","given":"Mary E."}],"issued":{"date-parts":[["2024",9,1]]}}}],"schema":"https://github.com/citation-style-language/schema/raw/master/csl-citation.json"} </w:instrText>
            </w:r>
            <w:r>
              <w:rPr>
                <w:rFonts w:eastAsia="Times New Roman" w:cs="Times New Roman"/>
                <w:color w:val="000000" w:themeColor="text1"/>
                <w:kern w:val="0"/>
                <w:szCs w:val="20"/>
                <w14:ligatures w14:val="none"/>
              </w:rPr>
              <w:fldChar w:fldCharType="separate"/>
            </w:r>
            <w:r w:rsidR="009D5228">
              <w:rPr>
                <w:rFonts w:eastAsia="Times New Roman" w:cs="Times New Roman"/>
                <w:noProof/>
                <w:color w:val="000000" w:themeColor="text1"/>
                <w:kern w:val="0"/>
                <w:szCs w:val="20"/>
                <w14:ligatures w14:val="none"/>
              </w:rPr>
              <w:t>[9]</w:t>
            </w:r>
            <w:r>
              <w:rPr>
                <w:rFonts w:eastAsia="Times New Roman" w:cs="Times New Roman"/>
                <w:color w:val="000000" w:themeColor="text1"/>
                <w:kern w:val="0"/>
                <w:szCs w:val="20"/>
                <w14:ligatures w14:val="none"/>
              </w:rPr>
              <w:fldChar w:fldCharType="end"/>
            </w:r>
          </w:p>
        </w:tc>
      </w:tr>
      <w:tr w:rsidR="00BA2AB7" w14:paraId="4BCA9D03" w14:textId="77777777" w:rsidTr="00BA2AB7">
        <w:tc>
          <w:tcPr>
            <w:tcW w:w="474" w:type="dxa"/>
          </w:tcPr>
          <w:p w14:paraId="505376B2" w14:textId="406A08A4" w:rsidR="00BA2AB7" w:rsidRPr="00D32E21" w:rsidRDefault="00000000" w:rsidP="00C052D4">
            <w:pPr>
              <w:spacing w:before="100" w:beforeAutospacing="1" w:after="100" w:afterAutospacing="1" w:line="276" w:lineRule="auto"/>
              <w:rPr>
                <w:rFonts w:ascii="Aptos" w:eastAsia="DengXian" w:hAnsi="Aptos" w:cs="Times New Roman"/>
                <w:iCs/>
                <w:color w:val="000000" w:themeColor="text1"/>
                <w:kern w:val="0"/>
                <w:szCs w:val="20"/>
                <w14:ligatures w14:val="none"/>
              </w:rPr>
            </w:pPr>
            <m:oMathPara>
              <m:oMath>
                <m:sSub>
                  <m:sSubPr>
                    <m:ctrlPr>
                      <w:rPr>
                        <w:rFonts w:ascii="Cambria Math" w:eastAsia="DengXian" w:hAnsi="Cambria Math" w:cs="Times New Roman"/>
                        <w:i/>
                        <w:iCs/>
                        <w:color w:val="000000" w:themeColor="text1"/>
                        <w:kern w:val="0"/>
                        <w:szCs w:val="20"/>
                        <w14:ligatures w14:val="none"/>
                      </w:rPr>
                    </m:ctrlPr>
                  </m:sSubPr>
                  <m:e>
                    <m:r>
                      <w:rPr>
                        <w:rFonts w:ascii="Cambria Math" w:eastAsia="DengXian" w:hAnsi="Cambria Math" w:cs="Times New Roman"/>
                        <w:color w:val="000000" w:themeColor="text1"/>
                        <w:kern w:val="0"/>
                        <w:szCs w:val="20"/>
                        <w14:ligatures w14:val="none"/>
                      </w:rPr>
                      <m:t>e</m:t>
                    </m:r>
                  </m:e>
                  <m:sub>
                    <m:r>
                      <w:rPr>
                        <w:rFonts w:ascii="Cambria Math" w:eastAsia="DengXian" w:hAnsi="Cambria Math" w:cs="Times New Roman"/>
                        <w:color w:val="000000" w:themeColor="text1"/>
                        <w:kern w:val="0"/>
                        <w:szCs w:val="20"/>
                        <w14:ligatures w14:val="none"/>
                      </w:rPr>
                      <m:t>vd</m:t>
                    </m:r>
                  </m:sub>
                </m:sSub>
              </m:oMath>
            </m:oMathPara>
          </w:p>
        </w:tc>
        <w:tc>
          <w:tcPr>
            <w:tcW w:w="6815" w:type="dxa"/>
          </w:tcPr>
          <w:p w14:paraId="2CFD7750" w14:textId="25040467" w:rsidR="00BA2AB7" w:rsidRDefault="00BA2AB7"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Combined efficacy of doxy-PEP and 4CMenB against gonorrhoea infection</w:t>
            </w:r>
          </w:p>
        </w:tc>
        <w:tc>
          <w:tcPr>
            <w:tcW w:w="965" w:type="dxa"/>
          </w:tcPr>
          <w:p w14:paraId="12D6FA14" w14:textId="007C2C79" w:rsidR="00BA2AB7" w:rsidRDefault="00BA2AB7"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53.2%</w:t>
            </w:r>
            <w:r>
              <w:rPr>
                <w:rStyle w:val="FootnoteReference"/>
                <w:rFonts w:eastAsia="Times New Roman" w:cs="Times New Roman"/>
                <w:color w:val="000000" w:themeColor="text1"/>
                <w:kern w:val="0"/>
                <w:szCs w:val="20"/>
                <w14:ligatures w14:val="none"/>
              </w:rPr>
              <w:footnoteReference w:id="4"/>
            </w:r>
          </w:p>
        </w:tc>
        <w:tc>
          <w:tcPr>
            <w:tcW w:w="772" w:type="dxa"/>
          </w:tcPr>
          <w:p w14:paraId="5C4485B7" w14:textId="29F877A9" w:rsidR="00BA2AB7" w:rsidRDefault="00BA2AB7"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7DACFBA3" w14:textId="732C697C" w:rsidTr="00BA2AB7">
        <w:tc>
          <w:tcPr>
            <w:tcW w:w="474" w:type="dxa"/>
          </w:tcPr>
          <w:p w14:paraId="355ED9D7" w14:textId="40DF9D48"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d</m:t>
                    </m:r>
                  </m:sub>
                </m:sSub>
              </m:oMath>
            </m:oMathPara>
          </w:p>
        </w:tc>
        <w:tc>
          <w:tcPr>
            <w:tcW w:w="6815" w:type="dxa"/>
          </w:tcPr>
          <w:p w14:paraId="12D7D903" w14:textId="5A394676"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doxy-PEP for syphilis</w:t>
            </w:r>
          </w:p>
        </w:tc>
        <w:tc>
          <w:tcPr>
            <w:tcW w:w="965" w:type="dxa"/>
          </w:tcPr>
          <w:p w14:paraId="3BF16A30" w14:textId="6DBD8389"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09D7C125" w14:textId="7FE3FA5C"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2B2479D5" w14:textId="35196F1A" w:rsidTr="00BA2AB7">
        <w:tc>
          <w:tcPr>
            <w:tcW w:w="474" w:type="dxa"/>
          </w:tcPr>
          <w:p w14:paraId="55A89678" w14:textId="52D15972"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p</m:t>
                    </m:r>
                  </m:e>
                  <m:sub>
                    <m:r>
                      <w:rPr>
                        <w:rFonts w:ascii="Cambria Math" w:eastAsia="Times New Roman" w:hAnsi="Cambria Math" w:cs="Times New Roman"/>
                        <w:color w:val="000000" w:themeColor="text1"/>
                        <w:kern w:val="0"/>
                        <w:szCs w:val="20"/>
                        <w14:ligatures w14:val="none"/>
                      </w:rPr>
                      <m:t>v</m:t>
                    </m:r>
                  </m:sub>
                </m:sSub>
              </m:oMath>
            </m:oMathPara>
          </w:p>
        </w:tc>
        <w:tc>
          <w:tcPr>
            <w:tcW w:w="6815" w:type="dxa"/>
          </w:tcPr>
          <w:p w14:paraId="3FA1541C" w14:textId="5B737D1E"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Uptake of 4CMenB for gonorrhoea</w:t>
            </w:r>
          </w:p>
        </w:tc>
        <w:tc>
          <w:tcPr>
            <w:tcW w:w="965" w:type="dxa"/>
          </w:tcPr>
          <w:p w14:paraId="4D59A842" w14:textId="54CD4944"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0-100%</w:t>
            </w:r>
          </w:p>
        </w:tc>
        <w:tc>
          <w:tcPr>
            <w:tcW w:w="772" w:type="dxa"/>
          </w:tcPr>
          <w:p w14:paraId="2BC7F6F0" w14:textId="68088CA3"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r w:rsidR="00804703" w14:paraId="03E90163" w14:textId="31591B66" w:rsidTr="00BA2AB7">
        <w:tc>
          <w:tcPr>
            <w:tcW w:w="474" w:type="dxa"/>
          </w:tcPr>
          <w:p w14:paraId="337ED82A" w14:textId="4C8E457A"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n</m:t>
                    </m:r>
                  </m:sub>
                </m:sSub>
              </m:oMath>
            </m:oMathPara>
          </w:p>
        </w:tc>
        <w:tc>
          <w:tcPr>
            <w:tcW w:w="6815" w:type="dxa"/>
          </w:tcPr>
          <w:p w14:paraId="243798AE" w14:textId="58A45403"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Discontinuation rate of doxy-PEP for syphilis</w:t>
            </w:r>
          </w:p>
        </w:tc>
        <w:tc>
          <w:tcPr>
            <w:tcW w:w="965" w:type="dxa"/>
          </w:tcPr>
          <w:p w14:paraId="15F27FB9" w14:textId="1B903BE7" w:rsidR="0090359A" w:rsidRDefault="00A64C35"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0.362</w:t>
            </w:r>
          </w:p>
        </w:tc>
        <w:tc>
          <w:tcPr>
            <w:tcW w:w="772" w:type="dxa"/>
          </w:tcPr>
          <w:p w14:paraId="427CD319" w14:textId="603420E2" w:rsidR="0090359A" w:rsidRDefault="00A64C35"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fldChar w:fldCharType="begin"/>
            </w:r>
            <w:r w:rsidR="002D209E">
              <w:rPr>
                <w:rFonts w:eastAsia="Times New Roman" w:cs="Times New Roman"/>
                <w:color w:val="000000" w:themeColor="text1"/>
                <w:kern w:val="0"/>
                <w:szCs w:val="20"/>
                <w14:ligatures w14:val="none"/>
              </w:rPr>
              <w:instrText xml:space="preserve"> ADDIN ZOTERO_ITEM CSL_CITATION {"citationID":"vZC2KeRk","properties":{"formattedCitation":"[21]","plainCitation":"[21]","noteIndex":0},"citationItems":[{"id":151,"uris":["http://zotero.org/users/9663344/items/MXEW8URU"],"itemData":{"id":151,"type":"article-journal","abstract":"Background Poor adherence to oral HIV pre-exposure prophylaxis (PrEP) diminishes its clinical and public health benefits. This study synthesises evidence regarding discontinuation, adherence, and reinitiation of PrEP among geographically diverse PrEP users.","container-title":"The Lancet HIV","DOI":"10.1016/S2352-3018(22)00030-3","ISSN":"23523018","issue":"4","journalAbbreviation":"The Lancet HIV","language":"en","page":"e254-e268","source":"DOI.org (Crossref)","title":"Discontinuation, suboptimal adherence, and reinitiation of oral HIV pre-exposure prophylaxis: a global systematic review and meta-analysis","title-short":"Discontinuation, suboptimal adherence, and reinitiation of oral HIV pre-exposure prophylaxis","volume":"9","author":[{"family":"Zhang","given":"Jing"},{"family":"Li","given":"Chunyan"},{"family":"Xu","given":"Junjie"},{"family":"Hu","given":"Zhili"},{"family":"Rutstein","given":"Sarah E"},{"family":"Tucker","given":"Joseph D"},{"family":"Ong","given":"Jason J"},{"family":"Jiang","given":"Yongjun"},{"family":"Geng","given":"Wenqing"},{"family":"Wright","given":"Sarah T"},{"family":"Cohen","given":"Myron S"},{"family":"Shang","given":"Hong"},{"family":"Tang","given":"Weiming"}],"issued":{"date-parts":[["2022",4]]}}}],"schema":"https://github.com/citation-style-language/schema/raw/master/csl-citation.json"} </w:instrText>
            </w:r>
            <w:r>
              <w:rPr>
                <w:rFonts w:eastAsia="Times New Roman" w:cs="Times New Roman"/>
                <w:color w:val="000000" w:themeColor="text1"/>
                <w:kern w:val="0"/>
                <w:szCs w:val="20"/>
                <w14:ligatures w14:val="none"/>
              </w:rPr>
              <w:fldChar w:fldCharType="separate"/>
            </w:r>
            <w:r w:rsidR="002D209E">
              <w:rPr>
                <w:rFonts w:eastAsia="Times New Roman" w:cs="Times New Roman"/>
                <w:noProof/>
                <w:color w:val="000000" w:themeColor="text1"/>
                <w:kern w:val="0"/>
                <w:szCs w:val="20"/>
                <w14:ligatures w14:val="none"/>
              </w:rPr>
              <w:t>[21]</w:t>
            </w:r>
            <w:r>
              <w:rPr>
                <w:rFonts w:eastAsia="Times New Roman" w:cs="Times New Roman"/>
                <w:color w:val="000000" w:themeColor="text1"/>
                <w:kern w:val="0"/>
                <w:szCs w:val="20"/>
                <w14:ligatures w14:val="none"/>
              </w:rPr>
              <w:fldChar w:fldCharType="end"/>
            </w:r>
          </w:p>
        </w:tc>
      </w:tr>
      <w:tr w:rsidR="00804703" w14:paraId="111A6694" w14:textId="49BB4504" w:rsidTr="00BA2AB7">
        <w:tc>
          <w:tcPr>
            <w:tcW w:w="474" w:type="dxa"/>
          </w:tcPr>
          <w:p w14:paraId="127EFC57" w14:textId="04F370D3" w:rsidR="0090359A" w:rsidRPr="00D32E21" w:rsidRDefault="00000000" w:rsidP="00C052D4">
            <w:pPr>
              <w:spacing w:before="100" w:beforeAutospacing="1" w:after="100" w:afterAutospacing="1" w:line="276" w:lineRule="auto"/>
              <w:rPr>
                <w:rFonts w:ascii="Aptos" w:eastAsia="Times New Roman" w:hAnsi="Aptos" w:cs="Times New Roman"/>
                <w:i/>
                <w:iCs/>
                <w:color w:val="000000" w:themeColor="text1"/>
                <w:kern w:val="0"/>
                <w:szCs w:val="20"/>
                <w14:ligatures w14:val="none"/>
              </w:rPr>
            </w:pPr>
            <m:oMathPara>
              <m:oMath>
                <m:sSub>
                  <m:sSubPr>
                    <m:ctrlPr>
                      <w:rPr>
                        <w:rFonts w:ascii="Cambria Math" w:eastAsia="Times New Roman" w:hAnsi="Cambria Math" w:cs="Times New Roman"/>
                        <w:i/>
                        <w:iCs/>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ξ</m:t>
                    </m:r>
                  </m:e>
                  <m:sub>
                    <m:r>
                      <w:rPr>
                        <w:rFonts w:ascii="Cambria Math" w:eastAsia="Times New Roman" w:hAnsi="Cambria Math" w:cs="Times New Roman"/>
                        <w:color w:val="000000" w:themeColor="text1"/>
                        <w:kern w:val="0"/>
                        <w:szCs w:val="20"/>
                        <w14:ligatures w14:val="none"/>
                      </w:rPr>
                      <m:t>d</m:t>
                    </m:r>
                  </m:sub>
                </m:sSub>
              </m:oMath>
            </m:oMathPara>
          </w:p>
        </w:tc>
        <w:tc>
          <w:tcPr>
            <w:tcW w:w="6815" w:type="dxa"/>
          </w:tcPr>
          <w:p w14:paraId="2CA355AC" w14:textId="7EE9D10B" w:rsidR="0090359A" w:rsidRDefault="0090359A" w:rsidP="00C052D4">
            <w:pPr>
              <w:spacing w:before="100" w:beforeAutospacing="1" w:after="100" w:afterAutospacing="1" w:line="276" w:lineRule="auto"/>
              <w:jc w:val="both"/>
              <w:rPr>
                <w:rFonts w:eastAsia="Times New Roman" w:cs="Times New Roman"/>
                <w:color w:val="000000" w:themeColor="text1"/>
                <w:kern w:val="0"/>
                <w:szCs w:val="20"/>
                <w14:ligatures w14:val="none"/>
              </w:rPr>
            </w:pPr>
            <w:bookmarkStart w:id="8" w:name="_Hlk212668069"/>
            <w:r>
              <w:rPr>
                <w:rFonts w:eastAsia="Times New Roman" w:cs="Times New Roman"/>
                <w:color w:val="000000" w:themeColor="text1"/>
                <w:kern w:val="0"/>
                <w:szCs w:val="20"/>
                <w14:ligatures w14:val="none"/>
              </w:rPr>
              <w:t>Duration of protection of 4CMenB</w:t>
            </w:r>
            <w:bookmarkEnd w:id="8"/>
          </w:p>
        </w:tc>
        <w:tc>
          <w:tcPr>
            <w:tcW w:w="965" w:type="dxa"/>
          </w:tcPr>
          <w:p w14:paraId="7E546F3E" w14:textId="5647D9AB" w:rsidR="0090359A" w:rsidRDefault="009324AB" w:rsidP="0051199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2</w:t>
            </w:r>
          </w:p>
        </w:tc>
        <w:tc>
          <w:tcPr>
            <w:tcW w:w="772" w:type="dxa"/>
          </w:tcPr>
          <w:p w14:paraId="3053899D" w14:textId="1DAD7477" w:rsidR="0090359A" w:rsidRDefault="00CE782C" w:rsidP="0080470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w:t>
            </w:r>
          </w:p>
        </w:tc>
      </w:tr>
    </w:tbl>
    <w:p w14:paraId="633261B0" w14:textId="77777777" w:rsidR="00CD3E9D" w:rsidRDefault="00CD3E9D"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3EE5F823" w14:textId="77777777" w:rsidR="00CD3E9D" w:rsidRDefault="00CD3E9D"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51E9D4E5" w14:textId="77777777" w:rsidR="00CD3E9D" w:rsidRDefault="00CD3E9D"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1D73EC21" w14:textId="77777777" w:rsidR="00CD3E9D" w:rsidRDefault="00CD3E9D"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p>
    <w:p w14:paraId="0DD33D29" w14:textId="12994836" w:rsidR="004F3D14" w:rsidRDefault="002C1F75" w:rsidP="00276DCE">
      <w:pPr>
        <w:spacing w:before="100" w:beforeAutospacing="1" w:after="100" w:afterAutospacing="1" w:line="276" w:lineRule="auto"/>
        <w:jc w:val="both"/>
        <w:rPr>
          <w:rFonts w:ascii="Times New Roman" w:eastAsia="Times New Roman" w:hAnsi="Times New Roman" w:cs="Times New Roman"/>
          <w:color w:val="000000" w:themeColor="text1"/>
          <w:kern w:val="0"/>
          <w:sz w:val="20"/>
          <w:szCs w:val="20"/>
          <w14:ligatures w14:val="none"/>
        </w:rPr>
      </w:pPr>
      <w:r>
        <w:rPr>
          <w:rFonts w:ascii="Times New Roman" w:eastAsia="Times New Roman" w:hAnsi="Times New Roman" w:cs="Times New Roman"/>
          <w:color w:val="000000" w:themeColor="text1"/>
          <w:kern w:val="0"/>
          <w:sz w:val="20"/>
          <w:szCs w:val="20"/>
          <w14:ligatures w14:val="none"/>
        </w:rPr>
        <w:lastRenderedPageBreak/>
        <w:t>Table 3: Fixed parameters.</w:t>
      </w:r>
    </w:p>
    <w:tbl>
      <w:tblPr>
        <w:tblStyle w:val="TableGrid"/>
        <w:tblW w:w="0" w:type="auto"/>
        <w:tblLook w:val="04A0" w:firstRow="1" w:lastRow="0" w:firstColumn="1" w:lastColumn="0" w:noHBand="0" w:noVBand="1"/>
      </w:tblPr>
      <w:tblGrid>
        <w:gridCol w:w="1202"/>
        <w:gridCol w:w="4108"/>
        <w:gridCol w:w="1800"/>
        <w:gridCol w:w="1916"/>
      </w:tblGrid>
      <w:tr w:rsidR="003B6AF3" w14:paraId="6E1B23A8" w14:textId="578A22EE" w:rsidTr="003B6AF3">
        <w:tc>
          <w:tcPr>
            <w:tcW w:w="1202" w:type="dxa"/>
          </w:tcPr>
          <w:p w14:paraId="29B9B013" w14:textId="02E10F6F" w:rsidR="003B6AF3" w:rsidRDefault="003B6AF3" w:rsidP="00BB3EC6">
            <w:pPr>
              <w:spacing w:before="100" w:beforeAutospacing="1" w:after="100" w:afterAutospacing="1" w:line="276" w:lineRule="auto"/>
              <w:rPr>
                <w:rFonts w:eastAsia="Times New Roman" w:cs="Times New Roman"/>
                <w:color w:val="000000" w:themeColor="text1"/>
                <w:kern w:val="0"/>
                <w:szCs w:val="20"/>
                <w14:ligatures w14:val="none"/>
              </w:rPr>
            </w:pPr>
          </w:p>
        </w:tc>
        <w:tc>
          <w:tcPr>
            <w:tcW w:w="4108" w:type="dxa"/>
          </w:tcPr>
          <w:p w14:paraId="53A4A357" w14:textId="77777777" w:rsidR="003B6AF3" w:rsidRDefault="003B6AF3" w:rsidP="00422602">
            <w:pPr>
              <w:spacing w:before="100" w:beforeAutospacing="1" w:after="100" w:afterAutospacing="1" w:line="276" w:lineRule="auto"/>
              <w:jc w:val="left"/>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Definition</w:t>
            </w:r>
          </w:p>
        </w:tc>
        <w:tc>
          <w:tcPr>
            <w:tcW w:w="1800" w:type="dxa"/>
          </w:tcPr>
          <w:p w14:paraId="13C564E3" w14:textId="6DBB4C12"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Value</w:t>
            </w:r>
          </w:p>
        </w:tc>
        <w:tc>
          <w:tcPr>
            <w:tcW w:w="1916" w:type="dxa"/>
          </w:tcPr>
          <w:p w14:paraId="696AEB56" w14:textId="46DE2E0A" w:rsidR="003B6AF3" w:rsidRDefault="003B6AF3" w:rsidP="00422602">
            <w:pPr>
              <w:spacing w:before="100" w:beforeAutospacing="1" w:after="100" w:afterAutospacing="1" w:line="276" w:lineRule="auto"/>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Source</w:t>
            </w:r>
          </w:p>
        </w:tc>
      </w:tr>
      <w:tr w:rsidR="003B6AF3" w14:paraId="630138A3" w14:textId="45D32B24" w:rsidTr="003B6AF3">
        <w:tc>
          <w:tcPr>
            <w:tcW w:w="1202" w:type="dxa"/>
          </w:tcPr>
          <w:p w14:paraId="2233E92E" w14:textId="4339FD0E" w:rsidR="003B6AF3" w:rsidRPr="00D32E21" w:rsidRDefault="003B6AF3" w:rsidP="003B6AF3">
            <w:pPr>
              <w:spacing w:before="100" w:beforeAutospacing="1" w:after="100" w:afterAutospacing="1" w:line="276" w:lineRule="auto"/>
              <w:rPr>
                <w:rFonts w:eastAsia="Times New Roman"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N</m:t>
                </m:r>
                <m:d>
                  <m:dPr>
                    <m:ctrlPr>
                      <w:rPr>
                        <w:rFonts w:ascii="Cambria Math" w:eastAsia="Times New Roman" w:hAnsi="Cambria Math" w:cs="Times New Roman"/>
                        <w:i/>
                        <w:color w:val="000000" w:themeColor="text1"/>
                        <w:kern w:val="0"/>
                        <w:szCs w:val="20"/>
                        <w14:ligatures w14:val="none"/>
                      </w:rPr>
                    </m:ctrlPr>
                  </m:dPr>
                  <m:e>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t</m:t>
                        </m:r>
                      </m:e>
                      <m:sub>
                        <m:r>
                          <w:rPr>
                            <w:rFonts w:ascii="Cambria Math" w:eastAsia="Times New Roman" w:hAnsi="Cambria Math" w:cs="Times New Roman"/>
                            <w:color w:val="000000" w:themeColor="text1"/>
                            <w:kern w:val="0"/>
                            <w:szCs w:val="20"/>
                            <w14:ligatures w14:val="none"/>
                          </w:rPr>
                          <m:t>0</m:t>
                        </m:r>
                      </m:sub>
                    </m:sSub>
                  </m:e>
                </m:d>
              </m:oMath>
            </m:oMathPara>
          </w:p>
        </w:tc>
        <w:tc>
          <w:tcPr>
            <w:tcW w:w="4108" w:type="dxa"/>
          </w:tcPr>
          <w:p w14:paraId="3C855B02" w14:textId="2115EC7E"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Initial population size of Singapore MSM</w:t>
            </w:r>
          </w:p>
        </w:tc>
        <w:tc>
          <w:tcPr>
            <w:tcW w:w="1800" w:type="dxa"/>
          </w:tcPr>
          <w:p w14:paraId="4B25200E" w14:textId="50D16DDA"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97,189</w:t>
            </w:r>
          </w:p>
        </w:tc>
        <w:tc>
          <w:tcPr>
            <w:tcW w:w="1916" w:type="dxa"/>
          </w:tcPr>
          <w:p w14:paraId="512AE94E" w14:textId="2377EE26" w:rsidR="003B6AF3" w:rsidRPr="002D7CDC" w:rsidRDefault="003B6AF3" w:rsidP="003B6AF3">
            <w:pPr>
              <w:spacing w:before="100" w:beforeAutospacing="1" w:after="100" w:afterAutospacing="1" w:line="276" w:lineRule="auto"/>
              <w:rPr>
                <w:szCs w:val="20"/>
              </w:rPr>
            </w:pPr>
            <w:r>
              <w:rPr>
                <w:szCs w:val="20"/>
              </w:rPr>
              <w:fldChar w:fldCharType="begin"/>
            </w:r>
            <w:r w:rsidR="002D209E">
              <w:rPr>
                <w:szCs w:val="20"/>
              </w:rPr>
              <w:instrText xml:space="preserve"> ADDIN ZOTERO_ITEM CSL_CITATION {"citationID":"Np4hH4HJ","properties":{"formattedCitation":"[22]","plainCitation":"[22]","noteIndex":0},"citationItems":[{"id":424,"uris":["http://zotero.org/users/9663344/items/6HGAP6WF"],"itemData":{"id":424,"type":"article","abstract":"Syphilis remains a significant global public health challenge, particularly among men who have sex with men (MSM). Although penicillin is highly effective for treatment, primary prevention strategies are limited. Recent trials indicate that doxycycline post-exposure prophylaxis (doxy-PEP) has high efficacy in reducing syphilis incidence among MSM; however, its long-run population-level impact, effects on transmission dynamics, and optimal prescribing strategies remain unclear, especially when accounting for real-world behavioural factors such as screening frequency, uptake, adherence, and discontinuation. To address this gap, we developed a behavioural transmission-dynamic model calibrated with Bayesian methods using epidemiological and sexual behavioural data from Singapore and England to characterize transmission dynamics in MSM, quantify the potential long-run public health impact, efficiency, and robustness of alternative doxy-PEP prescribing strategies across different settings (e.g., schools, clinics, age, and risk groups) under varying behavioural patterns and epidemiological settings. Over a 15-year horizon, targeting high-risk MSM at diagnosis emerged as the most efficient approach, averting an estimated 2.50 (0.68 - 5.94) cases per prescription (10000 [95% Credible Interval 1100 - 53200] total cases averted) in Singapore and 4.60 (2.12 - 7.79) cases per prescription (165000 [49300 - 503700]) in England. In contrast, broader strategies such as offering doxy-PEP to all MSM attending sexual health clinics could achieve greater overall reductions (up to 24700 [6800 - 93100] cases in Singapore and 279800 [109200 - 724000] in England), but with substantially lower efficiency, averting as few as 0.02 (0.00 - 0.23) and 0.04 (0.01 - 0.46) cases per prescription, respectively. These findings suggest that untargeted strategies could substantially reduce syphilis incidence but would do so at the cost of over-prescription, increased resource burden, and unnecessary antibiotic exposure. More importantly, our findings remain robust despite variations in behavioural factors and future scenarios. In summary, our results underscore that doxy-PEP prescribing approaches aligned with behavioural risk factors can maximise population-level impact and implementation efficiency, supporting more sustainable syphilis prevention among MSM.","DOI":"10.1101/2025.07.28.25332286","language":"en","license":"© 2025, Posted by Cold Spring Harbor Laboratory. This pre-print is available under a Creative Commons License (Attribution 4.0 International), CC BY 4.0, as described at http://creativecommons.org/licenses/by/4.0/","note":"ISSN: 3067-2007\npage: 2025.07.28.25332286","publisher":"medRxiv","source":"medRxiv","title":"Long-Run Public Health Impact of Doxycycline Post-Exposure Prophylaxis and Behavioural Factors on Syphilis Transmission: A Modelling Study in Singapore and England","title-short":"Long-Run Public Health Impact of Doxycycline Post-Exposure Prophylaxis and Behavioural Factors on Syphilis Transmission","URL":"https://www.medrxiv.org/content/10.1101/2025.07.28.25332286v1","author":[{"family":"Wang","given":"Zihao"},{"family":"Nikitin","given":"Dariya"},{"family":"Dickens","given":"Borame L."},{"family":"Wee","given":"Liang En"},{"family":"Chio","given":"Martin T. W."},{"family":"Tan","given":"Rayner Kay Jin"},{"family":"Ejima","given":"Keisuke"},{"family":"Wang","given":"Yi"},{"family":"Fisman","given":"David N."},{"family":"Whittles","given":"Lilith K."},{"family":"Lim","given":"Jue Tao"}],"accessed":{"date-parts":[["2025",10,29]]},"issued":{"date-parts":[["2025",7,28]]}}}],"schema":"https://github.com/citation-style-language/schema/raw/master/csl-citation.json"} </w:instrText>
            </w:r>
            <w:r>
              <w:rPr>
                <w:szCs w:val="20"/>
              </w:rPr>
              <w:fldChar w:fldCharType="separate"/>
            </w:r>
            <w:r w:rsidR="002D209E">
              <w:rPr>
                <w:noProof/>
                <w:szCs w:val="20"/>
              </w:rPr>
              <w:t>[22]</w:t>
            </w:r>
            <w:r>
              <w:rPr>
                <w:szCs w:val="20"/>
              </w:rPr>
              <w:fldChar w:fldCharType="end"/>
            </w:r>
          </w:p>
        </w:tc>
      </w:tr>
      <w:tr w:rsidR="003B6AF3" w14:paraId="30C867BF" w14:textId="76453E62" w:rsidTr="003B6AF3">
        <w:tc>
          <w:tcPr>
            <w:tcW w:w="1202" w:type="dxa"/>
          </w:tcPr>
          <w:p w14:paraId="40E6A80C" w14:textId="007C6010"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α</m:t>
                </m:r>
              </m:oMath>
            </m:oMathPara>
          </w:p>
        </w:tc>
        <w:tc>
          <w:tcPr>
            <w:tcW w:w="4108" w:type="dxa"/>
          </w:tcPr>
          <w:p w14:paraId="6BC99E3C" w14:textId="5BB717BF"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Annual population entrance (at age 15)</w:t>
            </w:r>
          </w:p>
        </w:tc>
        <w:tc>
          <w:tcPr>
            <w:tcW w:w="1800" w:type="dxa"/>
          </w:tcPr>
          <w:p w14:paraId="6E3C97B1" w14:textId="0D70371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2,524</w:t>
            </w:r>
          </w:p>
        </w:tc>
        <w:tc>
          <w:tcPr>
            <w:tcW w:w="1916" w:type="dxa"/>
          </w:tcPr>
          <w:p w14:paraId="597728C4" w14:textId="44626381" w:rsidR="003B6AF3" w:rsidRPr="002D7CDC" w:rsidRDefault="003B6AF3" w:rsidP="003B6AF3">
            <w:pPr>
              <w:spacing w:before="100" w:beforeAutospacing="1" w:after="100" w:afterAutospacing="1" w:line="276" w:lineRule="auto"/>
              <w:rPr>
                <w:szCs w:val="20"/>
              </w:rPr>
            </w:pPr>
            <w:r>
              <w:rPr>
                <w:szCs w:val="20"/>
              </w:rPr>
              <w:fldChar w:fldCharType="begin"/>
            </w:r>
            <w:r w:rsidR="002D209E">
              <w:rPr>
                <w:szCs w:val="20"/>
              </w:rPr>
              <w:instrText xml:space="preserve"> ADDIN ZOTERO_ITEM CSL_CITATION {"citationID":"N7cCGern","properties":{"formattedCitation":"[22]","plainCitation":"[22]","noteIndex":0},"citationItems":[{"id":424,"uris":["http://zotero.org/users/9663344/items/6HGAP6WF"],"itemData":{"id":424,"type":"article","abstract":"Syphilis remains a significant global public health challenge, particularly among men who have sex with men (MSM). Although penicillin is highly effective for treatment, primary prevention strategies are limited. Recent trials indicate that doxycycline post-exposure prophylaxis (doxy-PEP) has high efficacy in reducing syphilis incidence among MSM; however, its long-run population-level impact, effects on transmission dynamics, and optimal prescribing strategies remain unclear, especially when accounting for real-world behavioural factors such as screening frequency, uptake, adherence, and discontinuation. To address this gap, we developed a behavioural transmission-dynamic model calibrated with Bayesian methods using epidemiological and sexual behavioural data from Singapore and England to characterize transmission dynamics in MSM, quantify the potential long-run public health impact, efficiency, and robustness of alternative doxy-PEP prescribing strategies across different settings (e.g., schools, clinics, age, and risk groups) under varying behavioural patterns and epidemiological settings. Over a 15-year horizon, targeting high-risk MSM at diagnosis emerged as the most efficient approach, averting an estimated 2.50 (0.68 - 5.94) cases per prescription (10000 [95% Credible Interval 1100 - 53200] total cases averted) in Singapore and 4.60 (2.12 - 7.79) cases per prescription (165000 [49300 - 503700]) in England. In contrast, broader strategies such as offering doxy-PEP to all MSM attending sexual health clinics could achieve greater overall reductions (up to 24700 [6800 - 93100] cases in Singapore and 279800 [109200 - 724000] in England), but with substantially lower efficiency, averting as few as 0.02 (0.00 - 0.23) and 0.04 (0.01 - 0.46) cases per prescription, respectively. These findings suggest that untargeted strategies could substantially reduce syphilis incidence but would do so at the cost of over-prescription, increased resource burden, and unnecessary antibiotic exposure. More importantly, our findings remain robust despite variations in behavioural factors and future scenarios. In summary, our results underscore that doxy-PEP prescribing approaches aligned with behavioural risk factors can maximise population-level impact and implementation efficiency, supporting more sustainable syphilis prevention among MSM.","DOI":"10.1101/2025.07.28.25332286","language":"en","license":"© 2025, Posted by Cold Spring Harbor Laboratory. This pre-print is available under a Creative Commons License (Attribution 4.0 International), CC BY 4.0, as described at http://creativecommons.org/licenses/by/4.0/","note":"ISSN: 3067-2007\npage: 2025.07.28.25332286","publisher":"medRxiv","source":"medRxiv","title":"Long-Run Public Health Impact of Doxycycline Post-Exposure Prophylaxis and Behavioural Factors on Syphilis Transmission: A Modelling Study in Singapore and England","title-short":"Long-Run Public Health Impact of Doxycycline Post-Exposure Prophylaxis and Behavioural Factors on Syphilis Transmission","URL":"https://www.medrxiv.org/content/10.1101/2025.07.28.25332286v1","author":[{"family":"Wang","given":"Zihao"},{"family":"Nikitin","given":"Dariya"},{"family":"Dickens","given":"Borame L."},{"family":"Wee","given":"Liang En"},{"family":"Chio","given":"Martin T. W."},{"family":"Tan","given":"Rayner Kay Jin"},{"family":"Ejima","given":"Keisuke"},{"family":"Wang","given":"Yi"},{"family":"Fisman","given":"David N."},{"family":"Whittles","given":"Lilith K."},{"family":"Lim","given":"Jue Tao"}],"accessed":{"date-parts":[["2025",10,29]]},"issued":{"date-parts":[["2025",7,28]]}}}],"schema":"https://github.com/citation-style-language/schema/raw/master/csl-citation.json"} </w:instrText>
            </w:r>
            <w:r>
              <w:rPr>
                <w:szCs w:val="20"/>
              </w:rPr>
              <w:fldChar w:fldCharType="separate"/>
            </w:r>
            <w:r w:rsidR="002D209E">
              <w:rPr>
                <w:noProof/>
                <w:szCs w:val="20"/>
              </w:rPr>
              <w:t>[22]</w:t>
            </w:r>
            <w:r>
              <w:rPr>
                <w:szCs w:val="20"/>
              </w:rPr>
              <w:fldChar w:fldCharType="end"/>
            </w:r>
          </w:p>
        </w:tc>
      </w:tr>
      <w:tr w:rsidR="003B6AF3" w14:paraId="576543A1" w14:textId="4B63C816" w:rsidTr="003B6AF3">
        <w:tc>
          <w:tcPr>
            <w:tcW w:w="1202" w:type="dxa"/>
          </w:tcPr>
          <w:p w14:paraId="1340DF49" w14:textId="7FD49471" w:rsidR="003B6AF3" w:rsidRPr="00D32E21" w:rsidRDefault="003B6AF3"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r>
                  <w:rPr>
                    <w:rFonts w:ascii="Cambria Math" w:eastAsia="Times New Roman" w:hAnsi="Cambria Math" w:cs="Times New Roman"/>
                    <w:color w:val="000000" w:themeColor="text1"/>
                    <w:kern w:val="0"/>
                    <w:szCs w:val="20"/>
                    <w14:ligatures w14:val="none"/>
                  </w:rPr>
                  <m:t>γ</m:t>
                </m:r>
              </m:oMath>
            </m:oMathPara>
          </w:p>
        </w:tc>
        <w:tc>
          <w:tcPr>
            <w:tcW w:w="4108" w:type="dxa"/>
          </w:tcPr>
          <w:p w14:paraId="3AC29F47" w14:textId="75ED579E"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Years spent in the sexually-active population</w:t>
            </w:r>
          </w:p>
        </w:tc>
        <w:tc>
          <w:tcPr>
            <w:tcW w:w="1800" w:type="dxa"/>
          </w:tcPr>
          <w:p w14:paraId="47A14CB8" w14:textId="24FD25C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50</w:t>
            </w:r>
          </w:p>
        </w:tc>
        <w:tc>
          <w:tcPr>
            <w:tcW w:w="1916" w:type="dxa"/>
          </w:tcPr>
          <w:p w14:paraId="4DFFC883" w14:textId="168E967E" w:rsidR="003B6AF3" w:rsidRPr="002D7CDC" w:rsidRDefault="003B6AF3" w:rsidP="003B6AF3">
            <w:pPr>
              <w:spacing w:before="100" w:beforeAutospacing="1" w:after="100" w:afterAutospacing="1" w:line="276" w:lineRule="auto"/>
              <w:rPr>
                <w:szCs w:val="20"/>
              </w:rPr>
            </w:pPr>
            <w:r w:rsidRPr="002D7CDC">
              <w:rPr>
                <w:szCs w:val="20"/>
              </w:rPr>
              <w:t>Ages 15-65</w:t>
            </w:r>
          </w:p>
        </w:tc>
      </w:tr>
      <w:tr w:rsidR="003B6AF3" w14:paraId="4F312C62" w14:textId="68BC1F3B" w:rsidTr="003B6AF3">
        <w:tc>
          <w:tcPr>
            <w:tcW w:w="1202" w:type="dxa"/>
          </w:tcPr>
          <w:p w14:paraId="1A6A6A1A" w14:textId="4D882CFC" w:rsidR="003B6AF3" w:rsidRPr="00D32E21" w:rsidRDefault="00000000"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7F7539A3" w14:textId="3F1BBB24"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7D68ACB8" w14:textId="1E9DEE6D"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0.793</w:t>
            </w:r>
          </w:p>
        </w:tc>
        <w:tc>
          <w:tcPr>
            <w:tcW w:w="1916" w:type="dxa"/>
          </w:tcPr>
          <w:p w14:paraId="14070BE1" w14:textId="48C34BB6" w:rsidR="003B6AF3" w:rsidRPr="002D7CDC" w:rsidRDefault="003B6AF3" w:rsidP="003B6AF3">
            <w:pPr>
              <w:spacing w:before="100" w:beforeAutospacing="1" w:after="100" w:afterAutospacing="1" w:line="276" w:lineRule="auto"/>
              <w:rPr>
                <w:szCs w:val="20"/>
              </w:rPr>
            </w:pPr>
            <w:r w:rsidRPr="002D7CDC">
              <w:rPr>
                <w:szCs w:val="20"/>
              </w:rPr>
              <w:fldChar w:fldCharType="begin"/>
            </w:r>
            <w:r w:rsidR="002D209E">
              <w:rPr>
                <w:szCs w:val="20"/>
              </w:rPr>
              <w:instrText xml:space="preserve"> ADDIN ZOTERO_ITEM CSL_CITATION {"citationID":"r86NJhCC","properties":{"formattedCitation":"[23]","plainCitation":"[23]","noteIndex":0},"citationItems":[{"id":324,"uris":["http://zotero.org/users/9663344/items/HWJPNYN8"],"itemData":{"id":324,"type":"article","abstract":"Introduction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2D209E">
              <w:rPr>
                <w:szCs w:val="20"/>
                <w:lang w:val="en-GB"/>
              </w:rPr>
              <w:t>[23]</w:t>
            </w:r>
            <w:r w:rsidRPr="002D7CDC">
              <w:rPr>
                <w:szCs w:val="20"/>
              </w:rPr>
              <w:fldChar w:fldCharType="end"/>
            </w:r>
          </w:p>
        </w:tc>
      </w:tr>
      <w:tr w:rsidR="003B6AF3" w14:paraId="640C8E0D" w14:textId="6D5F6A5D" w:rsidTr="003B6AF3">
        <w:tc>
          <w:tcPr>
            <w:tcW w:w="1202" w:type="dxa"/>
          </w:tcPr>
          <w:p w14:paraId="13667A1D" w14:textId="27E4AAA1" w:rsidR="003B6AF3" w:rsidRPr="00D32E21" w:rsidRDefault="00000000"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q</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5D676EA5" w14:textId="6D2E8584"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Proportion of the population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11A66714" w14:textId="2BD07D80"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0.207</w:t>
            </w:r>
          </w:p>
        </w:tc>
        <w:tc>
          <w:tcPr>
            <w:tcW w:w="1916" w:type="dxa"/>
          </w:tcPr>
          <w:p w14:paraId="00805166" w14:textId="0D78AC3B" w:rsidR="003B6AF3" w:rsidRPr="002D7CDC" w:rsidRDefault="003B6AF3" w:rsidP="003B6AF3">
            <w:pPr>
              <w:spacing w:before="100" w:beforeAutospacing="1" w:after="100" w:afterAutospacing="1" w:line="276" w:lineRule="auto"/>
              <w:rPr>
                <w:szCs w:val="20"/>
              </w:rPr>
            </w:pPr>
            <m:oMathPara>
              <m:oMath>
                <m:r>
                  <w:rPr>
                    <w:rFonts w:ascii="Cambria Math" w:hAnsi="Cambria Math"/>
                    <w:szCs w:val="20"/>
                  </w:rPr>
                  <m:t>1-</m:t>
                </m:r>
                <m:sSub>
                  <m:sSubPr>
                    <m:ctrlPr>
                      <w:rPr>
                        <w:rFonts w:ascii="Cambria Math" w:hAnsi="Cambria Math"/>
                        <w:i/>
                        <w:szCs w:val="20"/>
                      </w:rPr>
                    </m:ctrlPr>
                  </m:sSubPr>
                  <m:e>
                    <m:r>
                      <w:rPr>
                        <w:rFonts w:ascii="Cambria Math" w:hAnsi="Cambria Math"/>
                        <w:szCs w:val="20"/>
                      </w:rPr>
                      <m:t>q</m:t>
                    </m:r>
                  </m:e>
                  <m:sub>
                    <m:r>
                      <w:rPr>
                        <w:rFonts w:ascii="Cambria Math" w:hAnsi="Cambria Math"/>
                        <w:szCs w:val="20"/>
                      </w:rPr>
                      <m:t>L</m:t>
                    </m:r>
                  </m:sub>
                </m:sSub>
              </m:oMath>
            </m:oMathPara>
          </w:p>
        </w:tc>
      </w:tr>
      <w:tr w:rsidR="003B6AF3" w14:paraId="094663E1" w14:textId="55BF60D6" w:rsidTr="003B6AF3">
        <w:tc>
          <w:tcPr>
            <w:tcW w:w="1202" w:type="dxa"/>
          </w:tcPr>
          <w:p w14:paraId="6DB40329" w14:textId="29B96333" w:rsidR="003B6AF3" w:rsidRPr="00D32E21" w:rsidRDefault="00000000"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L</m:t>
                    </m:r>
                  </m:sub>
                </m:sSub>
              </m:oMath>
            </m:oMathPara>
          </w:p>
        </w:tc>
        <w:tc>
          <w:tcPr>
            <w:tcW w:w="4108" w:type="dxa"/>
          </w:tcPr>
          <w:p w14:paraId="2DEA1C24" w14:textId="77E6BFD6"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L</m:t>
              </m:r>
            </m:oMath>
          </w:p>
        </w:tc>
        <w:tc>
          <w:tcPr>
            <w:tcW w:w="1800" w:type="dxa"/>
          </w:tcPr>
          <w:p w14:paraId="515A0672" w14:textId="786B7049"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1.989</w:t>
            </w:r>
          </w:p>
        </w:tc>
        <w:tc>
          <w:tcPr>
            <w:tcW w:w="1916" w:type="dxa"/>
          </w:tcPr>
          <w:p w14:paraId="29F2E715" w14:textId="5E660B9E" w:rsidR="003B6AF3" w:rsidRPr="002D7CDC" w:rsidRDefault="003B6AF3" w:rsidP="003B6AF3">
            <w:pPr>
              <w:spacing w:before="100" w:beforeAutospacing="1" w:after="100" w:afterAutospacing="1" w:line="276" w:lineRule="auto"/>
              <w:rPr>
                <w:szCs w:val="20"/>
              </w:rPr>
            </w:pPr>
            <w:r w:rsidRPr="002D7CDC">
              <w:rPr>
                <w:szCs w:val="20"/>
              </w:rPr>
              <w:fldChar w:fldCharType="begin"/>
            </w:r>
            <w:r w:rsidR="002D209E">
              <w:rPr>
                <w:szCs w:val="20"/>
              </w:rPr>
              <w:instrText xml:space="preserve"> ADDIN ZOTERO_ITEM CSL_CITATION {"citationID":"YDDOKxom","properties":{"formattedCitation":"[23]","plainCitation":"[23]","noteIndex":0},"citationItems":[{"id":324,"uris":["http://zotero.org/users/9663344/items/HWJPNYN8"],"itemData":{"id":324,"type":"article","abstract":"Introduction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2D209E">
              <w:rPr>
                <w:szCs w:val="20"/>
                <w:lang w:val="en-GB"/>
              </w:rPr>
              <w:t>[23]</w:t>
            </w:r>
            <w:r w:rsidRPr="002D7CDC">
              <w:rPr>
                <w:szCs w:val="20"/>
              </w:rPr>
              <w:fldChar w:fldCharType="end"/>
            </w:r>
          </w:p>
        </w:tc>
      </w:tr>
      <w:tr w:rsidR="003B6AF3" w14:paraId="14F16377" w14:textId="6697E0CD" w:rsidTr="003B6AF3">
        <w:tc>
          <w:tcPr>
            <w:tcW w:w="1202" w:type="dxa"/>
          </w:tcPr>
          <w:p w14:paraId="4711EC32" w14:textId="77BC8992" w:rsidR="003B6AF3" w:rsidRPr="00D32E21" w:rsidRDefault="00000000" w:rsidP="003B6AF3">
            <w:pPr>
              <w:spacing w:before="100" w:beforeAutospacing="1" w:after="100" w:afterAutospacing="1" w:line="276" w:lineRule="auto"/>
              <w:rPr>
                <w:rFonts w:ascii="Aptos" w:eastAsia="Times New Roman" w:hAnsi="Aptos" w:cs="Times New Roman"/>
                <w:i/>
                <w:color w:val="000000" w:themeColor="text1"/>
                <w:kern w:val="0"/>
                <w:szCs w:val="20"/>
                <w14:ligatures w14:val="none"/>
              </w:rPr>
            </w:pPr>
            <m:oMathPara>
              <m:oMath>
                <m:sSub>
                  <m:sSubPr>
                    <m:ctrlPr>
                      <w:rPr>
                        <w:rFonts w:ascii="Cambria Math" w:eastAsia="Times New Roman" w:hAnsi="Cambria Math" w:cs="Times New Roman"/>
                        <w:i/>
                        <w:color w:val="000000" w:themeColor="text1"/>
                        <w:kern w:val="0"/>
                        <w:szCs w:val="20"/>
                        <w14:ligatures w14:val="none"/>
                      </w:rPr>
                    </m:ctrlPr>
                  </m:sSubPr>
                  <m:e>
                    <m:r>
                      <w:rPr>
                        <w:rFonts w:ascii="Cambria Math" w:eastAsia="Times New Roman" w:hAnsi="Cambria Math" w:cs="Times New Roman"/>
                        <w:color w:val="000000" w:themeColor="text1"/>
                        <w:kern w:val="0"/>
                        <w:szCs w:val="20"/>
                        <w14:ligatures w14:val="none"/>
                      </w:rPr>
                      <m:t>c</m:t>
                    </m:r>
                  </m:e>
                  <m:sub>
                    <m:r>
                      <w:rPr>
                        <w:rFonts w:ascii="Cambria Math" w:eastAsia="Times New Roman" w:hAnsi="Cambria Math" w:cs="Times New Roman"/>
                        <w:color w:val="000000" w:themeColor="text1"/>
                        <w:kern w:val="0"/>
                        <w:szCs w:val="20"/>
                        <w14:ligatures w14:val="none"/>
                      </w:rPr>
                      <m:t>H</m:t>
                    </m:r>
                  </m:sub>
                </m:sSub>
              </m:oMath>
            </m:oMathPara>
          </w:p>
        </w:tc>
        <w:tc>
          <w:tcPr>
            <w:tcW w:w="4108" w:type="dxa"/>
          </w:tcPr>
          <w:p w14:paraId="159F223E" w14:textId="0C776B2D" w:rsidR="003B6AF3" w:rsidRDefault="003B6AF3" w:rsidP="003B6AF3">
            <w:pPr>
              <w:spacing w:before="100" w:beforeAutospacing="1" w:after="100" w:afterAutospacing="1" w:line="276" w:lineRule="auto"/>
              <w:jc w:val="both"/>
              <w:rPr>
                <w:rFonts w:eastAsia="Times New Roman" w:cs="Times New Roman"/>
                <w:color w:val="000000" w:themeColor="text1"/>
                <w:kern w:val="0"/>
                <w:szCs w:val="20"/>
                <w14:ligatures w14:val="none"/>
              </w:rPr>
            </w:pPr>
            <w:r>
              <w:rPr>
                <w:rFonts w:eastAsia="Times New Roman" w:cs="Times New Roman"/>
                <w:color w:val="000000" w:themeColor="text1"/>
                <w:kern w:val="0"/>
                <w:szCs w:val="20"/>
                <w14:ligatures w14:val="none"/>
              </w:rPr>
              <w:t xml:space="preserve">Annual rate of partner change in group </w:t>
            </w:r>
            <m:oMath>
              <m:r>
                <w:rPr>
                  <w:rFonts w:ascii="Cambria Math" w:eastAsia="Times New Roman" w:hAnsi="Cambria Math" w:cs="Times New Roman"/>
                  <w:color w:val="000000" w:themeColor="text1"/>
                  <w:kern w:val="0"/>
                  <w:szCs w:val="20"/>
                  <w14:ligatures w14:val="none"/>
                </w:rPr>
                <m:t>H</m:t>
              </m:r>
            </m:oMath>
          </w:p>
        </w:tc>
        <w:tc>
          <w:tcPr>
            <w:tcW w:w="1800" w:type="dxa"/>
          </w:tcPr>
          <w:p w14:paraId="39CBD2E9" w14:textId="4CBFAA16" w:rsidR="003B6AF3" w:rsidRDefault="003B6AF3" w:rsidP="003B6AF3">
            <w:pPr>
              <w:spacing w:before="100" w:beforeAutospacing="1" w:after="100" w:afterAutospacing="1" w:line="276" w:lineRule="auto"/>
              <w:rPr>
                <w:rFonts w:eastAsia="Times New Roman" w:cs="Times New Roman"/>
                <w:color w:val="000000" w:themeColor="text1"/>
                <w:kern w:val="0"/>
                <w:szCs w:val="20"/>
                <w14:ligatures w14:val="none"/>
              </w:rPr>
            </w:pPr>
            <w:r w:rsidRPr="002D7CDC">
              <w:rPr>
                <w:szCs w:val="20"/>
              </w:rPr>
              <w:t>14.866</w:t>
            </w:r>
          </w:p>
        </w:tc>
        <w:tc>
          <w:tcPr>
            <w:tcW w:w="1916" w:type="dxa"/>
          </w:tcPr>
          <w:p w14:paraId="6B97FFF2" w14:textId="6C4C8FB4" w:rsidR="003B6AF3" w:rsidRPr="002D7CDC" w:rsidRDefault="003B6AF3" w:rsidP="003B6AF3">
            <w:pPr>
              <w:spacing w:before="100" w:beforeAutospacing="1" w:after="100" w:afterAutospacing="1" w:line="276" w:lineRule="auto"/>
              <w:rPr>
                <w:szCs w:val="20"/>
              </w:rPr>
            </w:pPr>
            <w:r w:rsidRPr="002D7CDC">
              <w:rPr>
                <w:szCs w:val="20"/>
              </w:rPr>
              <w:fldChar w:fldCharType="begin"/>
            </w:r>
            <w:r w:rsidR="002D209E">
              <w:rPr>
                <w:szCs w:val="20"/>
              </w:rPr>
              <w:instrText xml:space="preserve"> ADDIN ZOTERO_ITEM CSL_CITATION {"citationID":"AMdQcV4O","properties":{"formattedCitation":"[23]","plainCitation":"[23]","noteIndex":0},"citationItems":[{"id":324,"uris":["http://zotero.org/users/9663344/items/HWJPNYN8"],"itemData":{"id":324,"type":"article","abstract":"Introduction Sexual behaviour data are essential for monitoring behavioural trends and designing effective sexual health interventions. However, in Singapore and Southeast Asia more broadly, most research has focused on key populations, leaving a decades-long research gap in the general adult population. To address this, characterised sexual behaviour patterns and examined associations with socio-demographic characteristics, engagement with sex workers, and STI positivity. Methods We conducted a nationwide cross-sectional online survey (September 2023 to July 2024). Of 2,876 respondents, 2,297 were eligible (aged 21 years and above with complete key demographic data). Participants reported socio-demographic characteristics and sexual behaviours within the past year, 6 months, and 3 months. Outcomes included fitted distributions of partner numbers across partnered activities (mutual masturbation, oral, vaginal, anal sex) and associations with socio-demographic factors, sex worker engagement, and self-reported STI positivity. Results Of participants, 51.5% were male, 84.4% were Singapore citizens, 69.6% were aged between 21-60. Individuals reporting sexual partners of the same sex had a higher probability of having 5 or more same-sex partners respectively in the past year (WSW: 28.4% mutual masturbation, 27.8% oral sex; MSM: 36.2% mutual masturbation, 34.5% oral sex). Engagement with sex workers was reported by 4.7% (95% CI, 3.7-6.2%) of females and 18.1% (16.1-20.4%) of males, with higher odds among individuals with at least 5 partners in the past year (e.g., vaginal sex AOR = 7.40, 95% CI, 4.03-13.58). Self-reported STI positivity was 13.1%, associated with having at least 5 partners in the past year (e.g., vaginal sex AOR = 5.03, 95% CI, 1.44-17.61) and ever engaging with sex workers (e.g., vaginal sex AOR = 3.16, 95% CI, 1.67-5.99), but not with barrier protection frequency. Conclusions Patterns varied by sex, sexual orientation, and risk behaviours, underscoring the need for context-specific behavioural data to inform STI modelling and public health interventions.","DOI":"10.1101/2025.09.16.25335841","language":"en","license":"© 2025, Posted by Cold Spring Harbor Laboratory. This pre-print is available under a Creative Commons License (Attribution 4.0 International), CC BY 4.0, as described at http://creativecommons.org/licenses/by/4.0/","note":"ISSN: 3067-2007\npage: 2025.09.16.25335841","publisher":"medRxiv","source":"medRxiv","title":"Partnership-based sexual behaviours among adults in Singapore","URL":"https://www.medrxiv.org/content/10.1101/2025.09.16.25335841v1","author":[{"family":"A","given":"Janhavi"},{"family":"Gan","given":"Gregory"},{"family":"Endo","given":"Akira"},{"family":"Tan","given":"Rayner Kay Jin"},{"family":"Howard","given":"Natasha"},{"family":"Prem","given":"Kiesha"},{"family":"Ho","given":"Michelle"},{"family":"Jin","given":"Shihui"},{"family":"Dickens","given":"Borame"}],"accessed":{"date-parts":[["2025",9,19]]},"issued":{"date-parts":[["2025",9,18]]}}}],"schema":"https://github.com/citation-style-language/schema/raw/master/csl-citation.json"} </w:instrText>
            </w:r>
            <w:r w:rsidRPr="002D7CDC">
              <w:rPr>
                <w:szCs w:val="20"/>
              </w:rPr>
              <w:fldChar w:fldCharType="separate"/>
            </w:r>
            <w:r w:rsidR="002D209E">
              <w:rPr>
                <w:szCs w:val="20"/>
                <w:lang w:val="en-GB"/>
              </w:rPr>
              <w:t>[23]</w:t>
            </w:r>
            <w:r w:rsidRPr="002D7CDC">
              <w:rPr>
                <w:szCs w:val="20"/>
              </w:rPr>
              <w:fldChar w:fldCharType="end"/>
            </w:r>
          </w:p>
        </w:tc>
      </w:tr>
    </w:tbl>
    <w:p w14:paraId="61060628" w14:textId="0CCB5AC6" w:rsidR="00DB3DC4" w:rsidRDefault="00DB3DC4" w:rsidP="00276DCE">
      <w:pPr>
        <w:spacing w:before="100" w:beforeAutospacing="1" w:after="100" w:afterAutospacing="1" w:line="276" w:lineRule="auto"/>
        <w:jc w:val="both"/>
        <w:rPr>
          <w:rFonts w:ascii="Times New Roman" w:hAnsi="Times New Roman" w:cs="Times New Roman"/>
          <w:color w:val="000000" w:themeColor="text1"/>
          <w:sz w:val="20"/>
          <w:szCs w:val="20"/>
          <w:lang w:val="en-US"/>
        </w:rPr>
      </w:pPr>
      <w:r w:rsidRPr="00DB3DC4">
        <w:rPr>
          <w:rFonts w:ascii="Times New Roman" w:hAnsi="Times New Roman" w:cs="Times New Roman"/>
          <w:color w:val="000000" w:themeColor="text1"/>
          <w:kern w:val="0"/>
          <w:sz w:val="20"/>
          <w:szCs w:val="20"/>
          <w14:ligatures w14:val="none"/>
        </w:rPr>
        <w:t>Compartmental model equations</w:t>
      </w:r>
      <w:r w:rsidR="00D06293">
        <w:rPr>
          <w:rFonts w:ascii="Times New Roman" w:hAnsi="Times New Roman" w:cs="Times New Roman"/>
          <w:color w:val="000000" w:themeColor="text1"/>
          <w:kern w:val="0"/>
          <w:sz w:val="20"/>
          <w:szCs w:val="20"/>
          <w14:ligatures w14:val="none"/>
        </w:rPr>
        <w:t xml:space="preserve"> (subscript denotes strat</w:t>
      </w:r>
      <w:r w:rsidR="00914662">
        <w:rPr>
          <w:rFonts w:ascii="Times New Roman" w:hAnsi="Times New Roman" w:cs="Times New Roman"/>
          <w:color w:val="000000" w:themeColor="text1"/>
          <w:kern w:val="0"/>
          <w:sz w:val="20"/>
          <w:szCs w:val="20"/>
          <w14:ligatures w14:val="none"/>
        </w:rPr>
        <w:t>um</w:t>
      </w:r>
      <w:r w:rsidR="00D06293">
        <w:rPr>
          <w:rFonts w:ascii="Times New Roman" w:hAnsi="Times New Roman" w:cs="Times New Roman"/>
          <w:color w:val="000000" w:themeColor="text1"/>
          <w:kern w:val="0"/>
          <w:sz w:val="20"/>
          <w:szCs w:val="20"/>
          <w14:ligatures w14:val="none"/>
        </w:rPr>
        <w:t xml:space="preserve"> </w:t>
      </w:r>
      <m:oMath>
        <m:r>
          <w:rPr>
            <w:rFonts w:ascii="Cambria Math" w:hAnsi="Cambria Math" w:cs="Times New Roman"/>
            <w:color w:val="000000" w:themeColor="text1"/>
            <w:sz w:val="20"/>
            <w:szCs w:val="20"/>
            <w:lang w:val="en-US"/>
          </w:rPr>
          <m:t>i∈</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N,D,V,M</m:t>
            </m:r>
          </m:e>
        </m:d>
      </m:oMath>
      <w:r w:rsidR="00D06293">
        <w:rPr>
          <w:rFonts w:ascii="Times New Roman" w:hAnsi="Times New Roman" w:cs="Times New Roman"/>
          <w:color w:val="000000" w:themeColor="text1"/>
          <w:sz w:val="20"/>
          <w:szCs w:val="20"/>
          <w:lang w:val="en-US"/>
        </w:rPr>
        <w:t xml:space="preserve"> and risk group </w:t>
      </w:r>
      <m:oMath>
        <m:r>
          <w:rPr>
            <w:rFonts w:ascii="Cambria Math" w:hAnsi="Cambria Math" w:cs="Times New Roman"/>
            <w:color w:val="000000" w:themeColor="text1"/>
            <w:sz w:val="20"/>
            <w:szCs w:val="20"/>
            <w:lang w:val="en-US"/>
          </w:rPr>
          <m:t>j∈</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H,L</m:t>
            </m:r>
          </m:e>
        </m:d>
      </m:oMath>
      <w:r w:rsidR="00D06293">
        <w:rPr>
          <w:rFonts w:ascii="Times New Roman" w:hAnsi="Times New Roman" w:cs="Times New Roman"/>
          <w:color w:val="000000" w:themeColor="text1"/>
          <w:sz w:val="20"/>
          <w:szCs w:val="20"/>
          <w:lang w:val="en-US"/>
        </w:rPr>
        <w:t>,</w:t>
      </w:r>
      <w:r w:rsidR="00A21F6D">
        <w:rPr>
          <w:rFonts w:ascii="Times New Roman" w:hAnsi="Times New Roman" w:cs="Times New Roman"/>
          <w:color w:val="000000" w:themeColor="text1"/>
          <w:sz w:val="20"/>
          <w:szCs w:val="20"/>
          <w:lang w:val="en-US"/>
        </w:rPr>
        <w:t xml:space="preserve"> separated by comma, </w:t>
      </w:r>
      <w:r w:rsidR="00D06293">
        <w:rPr>
          <w:rFonts w:ascii="Times New Roman" w:hAnsi="Times New Roman" w:cs="Times New Roman"/>
          <w:color w:val="000000" w:themeColor="text1"/>
          <w:sz w:val="20"/>
          <w:szCs w:val="20"/>
          <w:lang w:val="en-US"/>
        </w:rPr>
        <w:t xml:space="preserve">superscript denotes strain </w:t>
      </w:r>
      <m:oMath>
        <m:r>
          <w:rPr>
            <w:rFonts w:ascii="Cambria Math" w:hAnsi="Cambria Math" w:cs="Times New Roman"/>
            <w:color w:val="000000" w:themeColor="text1"/>
            <w:sz w:val="20"/>
            <w:szCs w:val="20"/>
            <w:lang w:val="en-US"/>
          </w:rPr>
          <m:t>k∈</m:t>
        </m:r>
        <m:d>
          <m:dPr>
            <m:begChr m:val="{"/>
            <m:endChr m:val="}"/>
            <m:ctrlPr>
              <w:rPr>
                <w:rFonts w:ascii="Cambria Math" w:hAnsi="Cambria Math" w:cs="Times New Roman"/>
                <w:i/>
                <w:color w:val="000000" w:themeColor="text1"/>
                <w:sz w:val="20"/>
                <w:szCs w:val="20"/>
                <w:lang w:val="en-US"/>
              </w:rPr>
            </m:ctrlPr>
          </m:dPr>
          <m:e>
            <m:r>
              <w:rPr>
                <w:rFonts w:ascii="Cambria Math" w:hAnsi="Cambria Math" w:cs="Times New Roman"/>
                <w:color w:val="000000" w:themeColor="text1"/>
                <w:sz w:val="20"/>
                <w:szCs w:val="20"/>
                <w:lang w:val="en-US"/>
              </w:rPr>
              <m:t>0, c, t, d2</m:t>
            </m:r>
          </m:e>
        </m:d>
      </m:oMath>
      <w:r w:rsidR="00D06293">
        <w:rPr>
          <w:rFonts w:ascii="Times New Roman" w:hAnsi="Times New Roman" w:cs="Times New Roman"/>
          <w:color w:val="000000" w:themeColor="text1"/>
          <w:sz w:val="20"/>
          <w:szCs w:val="20"/>
          <w:lang w:val="en-US"/>
        </w:rPr>
        <w:t>):</w:t>
      </w:r>
    </w:p>
    <w:p w14:paraId="222CBCA0" w14:textId="5A4C520A" w:rsidR="007C39C6" w:rsidRPr="002D7CDC" w:rsidRDefault="007C39C6" w:rsidP="007C39C6">
      <w:pPr>
        <w:pStyle w:val="NormalWeb"/>
        <w:spacing w:line="276" w:lineRule="auto"/>
        <w:jc w:val="both"/>
        <w:rPr>
          <w:sz w:val="20"/>
          <w:szCs w:val="20"/>
        </w:rPr>
      </w:pPr>
      <w:r w:rsidRPr="002D7CDC">
        <w:rPr>
          <w:sz w:val="20"/>
          <w:szCs w:val="20"/>
        </w:rPr>
        <w:t xml:space="preserve">The force of infection, defined as the rate at which susceptible individuals </w:t>
      </w:r>
      <w:r w:rsidR="00223F73">
        <w:rPr>
          <w:iCs/>
          <w:sz w:val="20"/>
          <w:szCs w:val="20"/>
          <w:lang w:val="en-US"/>
        </w:rPr>
        <w:t xml:space="preserve">with strain </w:t>
      </w:r>
      <m:oMath>
        <m:r>
          <w:rPr>
            <w:rFonts w:ascii="Cambria Math" w:hAnsi="Cambria Math"/>
            <w:sz w:val="20"/>
            <w:szCs w:val="20"/>
            <w:lang w:val="en-US"/>
          </w:rPr>
          <m:t>k</m:t>
        </m:r>
      </m:oMath>
      <w:r w:rsidR="00223F73">
        <w:rPr>
          <w:iCs/>
          <w:sz w:val="20"/>
          <w:szCs w:val="20"/>
          <w:lang w:val="en-US"/>
        </w:rPr>
        <w:t xml:space="preserve"> </w:t>
      </w:r>
      <w:r w:rsidRPr="002D7CDC">
        <w:rPr>
          <w:sz w:val="20"/>
          <w:szCs w:val="20"/>
        </w:rPr>
        <w:t xml:space="preserve">in sexual activity group </w:t>
      </w:r>
      <m:oMath>
        <m:r>
          <w:rPr>
            <w:rFonts w:ascii="Cambria Math" w:hAnsi="Cambria Math"/>
            <w:sz w:val="20"/>
            <w:szCs w:val="20"/>
          </w:rPr>
          <m:t>j</m:t>
        </m:r>
      </m:oMath>
      <w:r w:rsidRPr="002D7CDC">
        <w:rPr>
          <w:sz w:val="20"/>
          <w:szCs w:val="20"/>
        </w:rPr>
        <w:t xml:space="preserve"> acquire infection, </w:t>
      </w:r>
      <m:oMath>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w:t>
      </w:r>
      <w:r w:rsidRPr="002D7CDC">
        <w:rPr>
          <w:sz w:val="20"/>
          <w:szCs w:val="20"/>
        </w:rPr>
        <w:t>is determined by several factors: the annual rate of partner change within each group (</w:t>
      </w:r>
      <m:oMath>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oMath>
      <w:r w:rsidRPr="002D7CDC">
        <w:rPr>
          <w:sz w:val="20"/>
          <w:szCs w:val="20"/>
        </w:rPr>
        <w:t>); the level of assortativity in sexual mixing between groups (</w:t>
      </w:r>
      <m:oMath>
        <m:r>
          <w:rPr>
            <w:rFonts w:ascii="Cambria Math" w:hAnsi="Cambria Math"/>
            <w:sz w:val="20"/>
            <w:szCs w:val="20"/>
            <w:lang w:val="en-US"/>
          </w:rPr>
          <m:t>ϵ</m:t>
        </m:r>
      </m:oMath>
      <w:r w:rsidRPr="002D7CDC">
        <w:rPr>
          <w:sz w:val="20"/>
          <w:szCs w:val="20"/>
        </w:rPr>
        <w:t xml:space="preserve">, where </w:t>
      </w:r>
      <m:oMath>
        <m:r>
          <w:rPr>
            <w:rFonts w:ascii="Cambria Math" w:hAnsi="Cambria Math"/>
            <w:sz w:val="20"/>
            <w:szCs w:val="20"/>
            <w:lang w:val="en-US"/>
          </w:rPr>
          <m:t>ϵ</m:t>
        </m:r>
      </m:oMath>
      <w:r w:rsidRPr="002D7CDC">
        <w:rPr>
          <w:sz w:val="20"/>
          <w:szCs w:val="20"/>
        </w:rPr>
        <w:t xml:space="preserve"> = 0 represents proportionate mixing and </w:t>
      </w:r>
      <m:oMath>
        <m:r>
          <w:rPr>
            <w:rFonts w:ascii="Cambria Math" w:hAnsi="Cambria Math"/>
            <w:sz w:val="20"/>
            <w:szCs w:val="20"/>
            <w:lang w:val="en-US"/>
          </w:rPr>
          <m:t>ϵ</m:t>
        </m:r>
      </m:oMath>
      <w:r w:rsidRPr="002D7CDC">
        <w:rPr>
          <w:sz w:val="20"/>
          <w:szCs w:val="20"/>
        </w:rPr>
        <w:t xml:space="preserve"> = 1 represents fully assortative mixing); </w:t>
      </w:r>
      <w:r w:rsidRPr="002D7CDC">
        <w:rPr>
          <w:iCs/>
          <w:sz w:val="20"/>
          <w:szCs w:val="20"/>
          <w:lang w:val="en-US"/>
        </w:rPr>
        <w:t xml:space="preserve">the total number of contagious individuals </w:t>
      </w:r>
      <w:r w:rsidR="00091063">
        <w:rPr>
          <w:iCs/>
          <w:sz w:val="20"/>
          <w:szCs w:val="20"/>
          <w:lang w:val="en-US"/>
        </w:rPr>
        <w:t xml:space="preserve">with strain </w:t>
      </w:r>
      <m:oMath>
        <m:r>
          <w:rPr>
            <w:rFonts w:ascii="Cambria Math" w:hAnsi="Cambria Math"/>
            <w:sz w:val="20"/>
            <w:szCs w:val="20"/>
            <w:lang w:val="en-US"/>
          </w:rPr>
          <m:t>k</m:t>
        </m:r>
      </m:oMath>
      <w:r w:rsidR="00091063">
        <w:rPr>
          <w:iCs/>
          <w:sz w:val="20"/>
          <w:szCs w:val="20"/>
          <w:lang w:val="en-US"/>
        </w:rPr>
        <w:t xml:space="preserve"> </w:t>
      </w:r>
      <w:r w:rsidRPr="002D7CDC">
        <w:rPr>
          <w:iCs/>
          <w:sz w:val="20"/>
          <w:szCs w:val="20"/>
          <w:lang w:val="en-US"/>
        </w:rPr>
        <w:t xml:space="preserve">in group </w:t>
      </w:r>
      <m:oMath>
        <m:r>
          <w:rPr>
            <w:rFonts w:ascii="Cambria Math" w:hAnsi="Cambria Math"/>
            <w:sz w:val="20"/>
            <w:szCs w:val="20"/>
          </w:rPr>
          <m:t>j</m:t>
        </m:r>
      </m:oMath>
      <w:r w:rsidRPr="002D7CDC">
        <w:rPr>
          <w:sz w:val="20"/>
          <w:szCs w:val="20"/>
        </w:rPr>
        <w:t xml:space="preserve"> (</w:t>
      </w:r>
      <m:oMath>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 xml:space="preserve">); the total population in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oMath>
      <w:r w:rsidRPr="002D7CDC">
        <w:rPr>
          <w:iCs/>
          <w:sz w:val="20"/>
          <w:szCs w:val="20"/>
          <w:lang w:val="en-US"/>
        </w:rPr>
        <w:t xml:space="preserve">; </w:t>
      </w:r>
      <w:r w:rsidRPr="002D7CDC">
        <w:rPr>
          <w:sz w:val="20"/>
          <w:szCs w:val="20"/>
        </w:rPr>
        <w:t xml:space="preserve">the prevalence of infectious individuals </w:t>
      </w:r>
      <w:r w:rsidR="00727618">
        <w:rPr>
          <w:iCs/>
          <w:sz w:val="20"/>
          <w:szCs w:val="20"/>
          <w:lang w:val="en-US"/>
        </w:rPr>
        <w:t xml:space="preserve">with strain </w:t>
      </w:r>
      <m:oMath>
        <m:r>
          <w:rPr>
            <w:rFonts w:ascii="Cambria Math" w:hAnsi="Cambria Math"/>
            <w:sz w:val="20"/>
            <w:szCs w:val="20"/>
            <w:lang w:val="en-US"/>
          </w:rPr>
          <m:t>k</m:t>
        </m:r>
      </m:oMath>
      <w:r w:rsidR="00727618">
        <w:rPr>
          <w:iCs/>
          <w:sz w:val="20"/>
          <w:szCs w:val="20"/>
          <w:lang w:val="en-US"/>
        </w:rPr>
        <w:t xml:space="preserve"> </w:t>
      </w:r>
      <w:r w:rsidRPr="002D7CDC">
        <w:rPr>
          <w:sz w:val="20"/>
          <w:szCs w:val="20"/>
        </w:rPr>
        <w:t>in each group (</w:t>
      </w:r>
      <m:oMath>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oMath>
      <w:r w:rsidRPr="002D7CDC">
        <w:rPr>
          <w:sz w:val="20"/>
          <w:szCs w:val="20"/>
        </w:rPr>
        <w:t xml:space="preserve">); the proportion of all partnerships in the population that include an individual from group </w:t>
      </w:r>
      <m:oMath>
        <m:r>
          <w:rPr>
            <w:rFonts w:ascii="Cambria Math" w:hAnsi="Cambria Math"/>
            <w:sz w:val="20"/>
            <w:szCs w:val="20"/>
          </w:rPr>
          <m:t>j</m:t>
        </m:r>
      </m:oMath>
      <w:r w:rsidRPr="002D7CDC">
        <w:rPr>
          <w:sz w:val="20"/>
          <w:szCs w:val="20"/>
        </w:rPr>
        <w:t xml:space="preserve"> (</w:t>
      </w:r>
      <m:oMath>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oMath>
      <w:r w:rsidRPr="002D7CDC">
        <w:rPr>
          <w:iCs/>
          <w:sz w:val="20"/>
          <w:szCs w:val="20"/>
          <w:lang w:val="en-US"/>
        </w:rPr>
        <w:t>)</w:t>
      </w:r>
      <w:r w:rsidRPr="002D7CDC">
        <w:rPr>
          <w:sz w:val="20"/>
          <w:szCs w:val="20"/>
        </w:rPr>
        <w:t>; and the transmission probability. The latter is modelled as time-varying, increasing linearly from the baseline transmission rate (</w:t>
      </w:r>
      <m:oMath>
        <m:r>
          <w:rPr>
            <w:rFonts w:ascii="Cambria Math" w:hAnsi="Cambria Math"/>
            <w:sz w:val="20"/>
            <w:szCs w:val="20"/>
            <w:lang w:val="en-US"/>
          </w:rPr>
          <m:t>β</m:t>
        </m:r>
      </m:oMath>
      <w:r w:rsidRPr="002D7CDC">
        <w:rPr>
          <w:sz w:val="20"/>
          <w:szCs w:val="20"/>
        </w:rPr>
        <w:t xml:space="preserve">) at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oMath>
      <w:r w:rsidRPr="002D7CDC">
        <w:rPr>
          <w:sz w:val="20"/>
          <w:szCs w:val="20"/>
        </w:rPr>
        <w:t xml:space="preserve">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=2004</m:t>
        </m:r>
      </m:oMath>
      <w:r w:rsidRPr="002D7CDC">
        <w:rPr>
          <w:sz w:val="20"/>
          <w:szCs w:val="20"/>
        </w:rPr>
        <w:t xml:space="preserve"> for Singapore and </w:t>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0</m:t>
            </m:r>
          </m:sub>
        </m:sSub>
        <m:r>
          <w:rPr>
            <w:rFonts w:ascii="Cambria Math" w:hAnsi="Cambria Math"/>
            <w:sz w:val="20"/>
            <w:szCs w:val="20"/>
          </w:rPr>
          <m:t>=2011</m:t>
        </m:r>
      </m:oMath>
      <w:r w:rsidRPr="002D7CDC">
        <w:rPr>
          <w:sz w:val="20"/>
          <w:szCs w:val="20"/>
        </w:rPr>
        <w:t xml:space="preserve"> for England), with an annual increment of </w:t>
      </w:r>
      <m:oMath>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oMath>
      <w:r w:rsidRPr="002D7CDC">
        <w:rPr>
          <w:sz w:val="20"/>
          <w:szCs w:val="20"/>
        </w:rPr>
        <w:t>. The resulting force of infection is expressed as:</w:t>
      </w:r>
    </w:p>
    <w:p w14:paraId="294D1A6C" w14:textId="7078FDEC" w:rsidR="007C39C6" w:rsidRPr="002D7CDC"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r>
                <w:rPr>
                  <w:rFonts w:ascii="Cambria Math" w:hAnsi="Cambria Math"/>
                  <w:sz w:val="20"/>
                  <w:szCs w:val="20"/>
                  <w:lang w:val="en-US"/>
                </w:rPr>
                <m:t>β</m:t>
              </m:r>
              <m:d>
                <m:dPr>
                  <m:ctrlPr>
                    <w:rPr>
                      <w:rFonts w:ascii="Cambria Math" w:hAnsi="Cambria Math"/>
                      <w:i/>
                      <w:iCs/>
                      <w:sz w:val="20"/>
                      <w:szCs w:val="20"/>
                      <w:lang w:val="en-US"/>
                    </w:rPr>
                  </m:ctrlPr>
                </m:dPr>
                <m:e>
                  <m:r>
                    <w:rPr>
                      <w:rFonts w:ascii="Cambria Math" w:hAnsi="Cambria Math"/>
                      <w:sz w:val="20"/>
                      <w:szCs w:val="20"/>
                      <w:lang w:val="en-US"/>
                    </w:rPr>
                    <m:t>1+</m:t>
                  </m:r>
                  <m:sSub>
                    <m:sSubPr>
                      <m:ctrlPr>
                        <w:rPr>
                          <w:rFonts w:ascii="Cambria Math" w:hAnsi="Cambria Math"/>
                          <w:i/>
                          <w:iCs/>
                          <w:sz w:val="20"/>
                          <w:szCs w:val="20"/>
                          <w:lang w:val="en-US"/>
                        </w:rPr>
                      </m:ctrlPr>
                    </m:sSubPr>
                    <m:e>
                      <m:r>
                        <w:rPr>
                          <w:rFonts w:ascii="Cambria Math" w:hAnsi="Cambria Math"/>
                          <w:sz w:val="20"/>
                          <w:szCs w:val="20"/>
                          <w:lang w:val="en-US"/>
                        </w:rPr>
                        <m:t>ϕ</m:t>
                      </m:r>
                    </m:e>
                    <m:sub>
                      <m:r>
                        <w:rPr>
                          <w:rFonts w:ascii="Cambria Math" w:hAnsi="Cambria Math"/>
                          <w:sz w:val="20"/>
                          <w:szCs w:val="20"/>
                          <w:lang w:val="en-US"/>
                        </w:rPr>
                        <m:t>β</m:t>
                      </m:r>
                    </m:sub>
                  </m:sSub>
                  <m:d>
                    <m:dPr>
                      <m:ctrlPr>
                        <w:rPr>
                          <w:rFonts w:ascii="Cambria Math" w:hAnsi="Cambria Math"/>
                          <w:i/>
                          <w:iCs/>
                          <w:sz w:val="20"/>
                          <w:szCs w:val="20"/>
                          <w:lang w:val="en-US"/>
                        </w:rPr>
                      </m:ctrlPr>
                    </m:dPr>
                    <m:e>
                      <m:r>
                        <w:rPr>
                          <w:rFonts w:ascii="Cambria Math" w:hAnsi="Cambria Math"/>
                          <w:sz w:val="20"/>
                          <w:szCs w:val="20"/>
                          <w:lang w:val="en-US"/>
                        </w:rPr>
                        <m:t>t-</m:t>
                      </m:r>
                      <m:sSub>
                        <m:sSubPr>
                          <m:ctrlPr>
                            <w:rPr>
                              <w:rFonts w:ascii="Cambria Math" w:hAnsi="Cambria Math"/>
                              <w:i/>
                              <w:iCs/>
                              <w:sz w:val="20"/>
                              <w:szCs w:val="20"/>
                              <w:lang w:val="en-US"/>
                            </w:rPr>
                          </m:ctrlPr>
                        </m:sSubPr>
                        <m:e>
                          <m:r>
                            <w:rPr>
                              <w:rFonts w:ascii="Cambria Math" w:hAnsi="Cambria Math"/>
                              <w:sz w:val="20"/>
                              <w:szCs w:val="20"/>
                              <w:lang w:val="en-US"/>
                            </w:rPr>
                            <m:t>t</m:t>
                          </m:r>
                        </m:e>
                        <m:sub>
                          <m:r>
                            <w:rPr>
                              <w:rFonts w:ascii="Cambria Math" w:hAnsi="Cambria Math"/>
                              <w:sz w:val="20"/>
                              <w:szCs w:val="20"/>
                              <w:lang w:val="en-US"/>
                            </w:rPr>
                            <m:t>0</m:t>
                          </m:r>
                        </m:sub>
                      </m:sSub>
                    </m:e>
                  </m:d>
                </m:e>
              </m:d>
              <m:d>
                <m:dPr>
                  <m:ctrlPr>
                    <w:rPr>
                      <w:rFonts w:ascii="Cambria Math" w:hAnsi="Cambria Math"/>
                      <w:i/>
                      <w:iCs/>
                      <w:sz w:val="20"/>
                      <w:szCs w:val="20"/>
                      <w:lang w:val="en-US"/>
                    </w:rPr>
                  </m:ctrlPr>
                </m:dPr>
                <m:e>
                  <m:r>
                    <w:rPr>
                      <w:rFonts w:ascii="Cambria Math" w:hAnsi="Cambria Math"/>
                      <w:sz w:val="20"/>
                      <w:szCs w:val="20"/>
                      <w:lang w:val="en-US"/>
                    </w:rPr>
                    <m:t>ϵ</m:t>
                  </m:r>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1-ϵ</m:t>
                      </m:r>
                    </m:e>
                  </m:d>
                  <m:d>
                    <m:dPr>
                      <m:ctrlPr>
                        <w:rPr>
                          <w:rFonts w:ascii="Cambria Math" w:hAnsi="Cambria Math"/>
                          <w:i/>
                          <w:iCs/>
                          <w:sz w:val="20"/>
                          <w:szCs w:val="20"/>
                          <w:lang w:val="en-US"/>
                        </w:rPr>
                      </m:ctrlPr>
                    </m:dPr>
                    <m:e>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f>
                            <m:fPr>
                              <m:ctrlPr>
                                <w:rPr>
                                  <w:rFonts w:ascii="Cambria Math" w:hAnsi="Cambria Math"/>
                                  <w:i/>
                                  <w:iCs/>
                                  <w:sz w:val="20"/>
                                  <w:szCs w:val="20"/>
                                  <w:lang w:val="en-US"/>
                                </w:rPr>
                              </m:ctrlPr>
                            </m:fPr>
                            <m:num>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num>
                            <m:den>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e>
                      </m:nary>
                    </m:e>
                  </m:d>
                </m:e>
              </m:d>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1</m:t>
                  </m:r>
                </m:e>
              </m:d>
            </m:e>
          </m:eqArr>
          <m:r>
            <m:rPr>
              <m:sty m:val="p"/>
            </m:rPr>
            <w:rPr>
              <w:rFonts w:ascii="Cambria Math" w:hAnsi="Cambria Math"/>
              <w:sz w:val="20"/>
              <w:szCs w:val="20"/>
              <w:lang w:val="en-US"/>
            </w:rPr>
            <w:br/>
          </m:r>
        </m:oMath>
      </m:oMathPara>
      <w:r w:rsidR="007C39C6" w:rsidRPr="002D7CDC">
        <w:rPr>
          <w:iCs/>
          <w:sz w:val="20"/>
          <w:szCs w:val="20"/>
          <w:lang w:val="en-US"/>
        </w:rPr>
        <w:t>where</w:t>
      </w:r>
    </w:p>
    <w:p w14:paraId="0DFB61FA" w14:textId="5CA29B44" w:rsidR="007C39C6" w:rsidRPr="00092D96" w:rsidRDefault="00000000" w:rsidP="007C39C6">
      <w:pPr>
        <w:pStyle w:val="NormalWeb"/>
        <w:spacing w:line="276" w:lineRule="auto"/>
        <w:jc w:val="both"/>
        <w:rPr>
          <w:iCs/>
          <w:sz w:val="20"/>
          <w:szCs w:val="20"/>
          <w:lang w:val="en-US"/>
        </w:rPr>
      </w:pPr>
      <m:oMathPara>
        <m:oMath>
          <m:eqArr>
            <m:eqArrPr>
              <m:maxDist m:val="1"/>
              <m:ctrlPr>
                <w:rPr>
                  <w:rFonts w:ascii="Cambria Math" w:hAnsi="Cambria Math"/>
                  <w:i/>
                  <w:iCs/>
                  <w:sz w:val="20"/>
                  <w:szCs w:val="20"/>
                  <w:lang w:val="en-US"/>
                </w:rPr>
              </m:ctrlPr>
            </m:eqArrPr>
            <m:e>
              <m:r>
                <w:rPr>
                  <w:rFonts w:ascii="Cambria Math" w:hAnsi="Cambria Math"/>
                  <w:sz w:val="20"/>
                  <w:szCs w:val="20"/>
                  <w:lang w:val="en-US"/>
                </w:rPr>
                <m:t xml:space="preserve"> </m:t>
              </m:r>
              <m:sSub>
                <m:sSubPr>
                  <m:ctrlPr>
                    <w:rPr>
                      <w:rFonts w:ascii="Cambria Math" w:hAnsi="Cambria Math"/>
                      <w:i/>
                      <w:iCs/>
                      <w:sz w:val="20"/>
                      <w:szCs w:val="20"/>
                      <w:lang w:val="en-US"/>
                    </w:rPr>
                  </m:ctrlPr>
                </m:sSubPr>
                <m:e>
                  <m:r>
                    <w:rPr>
                      <w:rFonts w:ascii="Cambria Math" w:hAnsi="Cambria Math"/>
                      <w:sz w:val="20"/>
                      <w:szCs w:val="20"/>
                      <w:lang w:val="en-US"/>
                    </w:rPr>
                    <m:t>π</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f>
                <m:fPr>
                  <m:ctrlPr>
                    <w:rPr>
                      <w:rFonts w:ascii="Cambria Math" w:hAnsi="Cambria Math"/>
                      <w:i/>
                      <w:iCs/>
                      <w:sz w:val="20"/>
                      <w:szCs w:val="20"/>
                      <w:lang w:val="en-US"/>
                    </w:rPr>
                  </m:ctrlPr>
                </m:fPr>
                <m:num>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num>
                <m:den>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L,H</m:t>
                      </m:r>
                      <m:r>
                        <m:rPr>
                          <m:lit/>
                        </m:rPr>
                        <w:rPr>
                          <w:rFonts w:ascii="Cambria Math" w:hAnsi="Cambria Math"/>
                          <w:sz w:val="20"/>
                          <w:szCs w:val="20"/>
                          <w:lang w:val="en-US"/>
                        </w:rPr>
                        <m:t>}</m:t>
                      </m:r>
                    </m:sub>
                    <m:sup/>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i</m:t>
                          </m:r>
                        </m:sub>
                      </m:sSub>
                    </m:e>
                  </m:nary>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i</m:t>
                      </m:r>
                    </m:sub>
                  </m:sSub>
                  <m:d>
                    <m:dPr>
                      <m:ctrlPr>
                        <w:rPr>
                          <w:rFonts w:ascii="Cambria Math" w:hAnsi="Cambria Math"/>
                          <w:i/>
                          <w:iCs/>
                          <w:sz w:val="20"/>
                          <w:szCs w:val="20"/>
                          <w:lang w:val="en-US"/>
                        </w:rPr>
                      </m:ctrlPr>
                    </m:dPr>
                    <m:e>
                      <m:r>
                        <w:rPr>
                          <w:rFonts w:ascii="Cambria Math" w:hAnsi="Cambria Math"/>
                          <w:sz w:val="20"/>
                          <w:szCs w:val="20"/>
                          <w:lang w:val="en-US"/>
                        </w:rPr>
                        <m:t>t</m:t>
                      </m:r>
                    </m:e>
                  </m:d>
                </m:den>
              </m:f>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2</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p>
                <m:sSupPr>
                  <m:ctrlPr>
                    <w:rPr>
                      <w:rFonts w:ascii="Cambria Math" w:hAnsi="Cambria Math"/>
                      <w:i/>
                      <w:iCs/>
                      <w:sz w:val="20"/>
                      <w:szCs w:val="20"/>
                      <w:lang w:val="en-US"/>
                    </w:rPr>
                  </m:ctrlPr>
                </m:sSupPr>
                <m:e>
                  <m:sSub>
                    <m:sSubPr>
                      <m:ctrlPr>
                        <w:rPr>
                          <w:rFonts w:ascii="Cambria Math" w:hAnsi="Cambria Math"/>
                          <w:i/>
                          <w:iCs/>
                          <w:sz w:val="20"/>
                          <w:szCs w:val="20"/>
                          <w:lang w:val="en-US"/>
                        </w:rPr>
                      </m:ctrlPr>
                    </m:sSubPr>
                    <m:e>
                      <m:r>
                        <w:rPr>
                          <w:rFonts w:ascii="Cambria Math" w:hAnsi="Cambria Math"/>
                          <w:sz w:val="20"/>
                          <w:szCs w:val="20"/>
                          <w:lang w:val="en-US"/>
                        </w:rPr>
                        <m:t>C</m:t>
                      </m:r>
                    </m:e>
                    <m:sub>
                      <m:r>
                        <w:rPr>
                          <w:rFonts w:ascii="Cambria Math" w:hAnsi="Cambria Math"/>
                          <w:sz w:val="20"/>
                          <w:szCs w:val="20"/>
                          <w:lang w:val="en-US"/>
                        </w:rPr>
                        <m:t>j</m:t>
                      </m:r>
                    </m:sub>
                  </m:sSub>
                </m:e>
                <m:sup>
                  <m:r>
                    <w:rPr>
                      <w:rFonts w:ascii="Cambria Math" w:hAnsi="Cambria Math"/>
                      <w:sz w:val="20"/>
                      <w:szCs w:val="20"/>
                      <w:lang w:val="en-US"/>
                    </w:rPr>
                    <m:t>k</m:t>
                  </m:r>
                </m:sup>
              </m:s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3</m:t>
                  </m:r>
                </m:e>
              </m:d>
            </m:e>
          </m:eqArr>
          <m:r>
            <m:rPr>
              <m:sty m:val="p"/>
            </m:rPr>
            <w:rPr>
              <w:rFonts w:ascii="Cambria Math" w:hAnsi="Cambria Math"/>
              <w:sz w:val="20"/>
              <w:szCs w:val="20"/>
              <w:lang w:val="en-US"/>
            </w:rPr>
            <w:br/>
          </m:r>
        </m:oMath>
        <m:oMath>
          <m:eqArr>
            <m:eqArrPr>
              <m:maxDist m:val="1"/>
              <m:ctrlPr>
                <w:rPr>
                  <w:rFonts w:ascii="Cambria Math" w:hAnsi="Cambria Math"/>
                  <w:i/>
                  <w:iCs/>
                  <w:sz w:val="20"/>
                  <w:szCs w:val="20"/>
                  <w:lang w:val="en-US"/>
                </w:rPr>
              </m:ctrlPr>
            </m:eqArrPr>
            <m:e>
              <m:sSub>
                <m:sSubPr>
                  <m:ctrlPr>
                    <w:rPr>
                      <w:rFonts w:ascii="Cambria Math" w:hAnsi="Cambria Math"/>
                      <w:i/>
                      <w:iCs/>
                      <w:sz w:val="20"/>
                      <w:szCs w:val="20"/>
                      <w:lang w:val="en-US"/>
                    </w:rPr>
                  </m:ctrlPr>
                </m:sSubPr>
                <m:e>
                  <m:r>
                    <w:rPr>
                      <w:rFonts w:ascii="Cambria Math" w:hAnsi="Cambria Math"/>
                      <w:sz w:val="20"/>
                      <w:szCs w:val="20"/>
                      <w:lang w:val="en-US"/>
                    </w:rPr>
                    <m:t>N</m:t>
                  </m:r>
                </m:e>
                <m:sub>
                  <m:r>
                    <w:rPr>
                      <w:rFonts w:ascii="Cambria Math" w:hAnsi="Cambria Math"/>
                      <w:sz w:val="20"/>
                      <w:szCs w:val="20"/>
                      <w:lang w:val="en-US"/>
                    </w:rPr>
                    <m:t>j</m:t>
                  </m:r>
                </m:sub>
              </m:sSub>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supHide m:val="1"/>
                  <m:ctrlPr>
                    <w:rPr>
                      <w:rFonts w:ascii="Cambria Math" w:hAnsi="Cambria Math"/>
                      <w:i/>
                      <w:iCs/>
                      <w:sz w:val="20"/>
                      <w:szCs w:val="20"/>
                      <w:lang w:val="en-US"/>
                    </w:rPr>
                  </m:ctrlPr>
                </m:naryPr>
                <m:sub>
                  <m:r>
                    <w:rPr>
                      <w:rFonts w:ascii="Cambria Math" w:hAnsi="Cambria Math"/>
                      <w:sz w:val="20"/>
                      <w:szCs w:val="20"/>
                      <w:lang w:val="en-US"/>
                    </w:rPr>
                    <m:t>i∈</m:t>
                  </m:r>
                  <m:r>
                    <m:rPr>
                      <m:lit/>
                    </m:rPr>
                    <w:rPr>
                      <w:rFonts w:ascii="Cambria Math" w:hAnsi="Cambria Math"/>
                      <w:sz w:val="20"/>
                      <w:szCs w:val="20"/>
                      <w:lang w:val="en-US"/>
                    </w:rPr>
                    <m:t>{</m:t>
                  </m:r>
                  <m:r>
                    <w:rPr>
                      <w:rFonts w:ascii="Cambria Math" w:hAnsi="Cambria Math"/>
                      <w:sz w:val="20"/>
                      <w:szCs w:val="20"/>
                      <w:lang w:val="en-US"/>
                    </w:rPr>
                    <m:t>N,D,V,M</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U</m:t>
                          </m:r>
                        </m:e>
                        <m:sub>
                          <m:r>
                            <w:rPr>
                              <w:rFonts w:ascii="Cambria Math" w:hAnsi="Cambria Math"/>
                              <w:sz w:val="20"/>
                              <w:szCs w:val="20"/>
                              <w:lang w:val="en-US"/>
                            </w:rPr>
                            <m:t>i,j</m:t>
                          </m:r>
                        </m:sub>
                        <m:sup>
                          <m:r>
                            <w:rPr>
                              <w:rFonts w:ascii="Cambria Math" w:hAnsi="Cambria Math"/>
                              <w:sz w:val="20"/>
                              <w:szCs w:val="20"/>
                              <w:lang w:val="en-US"/>
                            </w:rPr>
                            <m:t xml:space="preserve"> </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nary>
                        <m:naryPr>
                          <m:chr m:val="∑"/>
                          <m:limLoc m:val="undOvr"/>
                          <m:supHide m:val="1"/>
                          <m:ctrlPr>
                            <w:rPr>
                              <w:rFonts w:ascii="Cambria Math" w:hAnsi="Cambria Math"/>
                              <w:i/>
                              <w:iCs/>
                              <w:sz w:val="20"/>
                              <w:szCs w:val="20"/>
                              <w:lang w:val="en-US"/>
                            </w:rPr>
                          </m:ctrlPr>
                        </m:naryPr>
                        <m:sub>
                          <m:r>
                            <w:rPr>
                              <w:rFonts w:ascii="Cambria Math" w:hAnsi="Cambria Math"/>
                              <w:sz w:val="20"/>
                              <w:szCs w:val="20"/>
                              <w:lang w:val="en-US"/>
                            </w:rPr>
                            <m:t>k∈</m:t>
                          </m:r>
                          <m:r>
                            <m:rPr>
                              <m:lit/>
                            </m:rPr>
                            <w:rPr>
                              <w:rFonts w:ascii="Cambria Math" w:hAnsi="Cambria Math"/>
                              <w:sz w:val="20"/>
                              <w:szCs w:val="20"/>
                              <w:lang w:val="en-US"/>
                            </w:rPr>
                            <m:t>{</m:t>
                          </m:r>
                          <m:r>
                            <w:rPr>
                              <w:rFonts w:ascii="Cambria Math" w:hAnsi="Cambria Math"/>
                              <w:color w:val="000000" w:themeColor="text1"/>
                              <w:sz w:val="20"/>
                              <w:szCs w:val="20"/>
                              <w:lang w:val="en-US"/>
                            </w:rPr>
                            <m:t>0, c, t, d2</m:t>
                          </m:r>
                          <m:r>
                            <m:rPr>
                              <m:lit/>
                            </m:rPr>
                            <w:rPr>
                              <w:rFonts w:ascii="Cambria Math" w:hAnsi="Cambria Math"/>
                              <w:sz w:val="20"/>
                              <w:szCs w:val="20"/>
                              <w:lang w:val="en-US"/>
                            </w:rPr>
                            <m:t>}</m:t>
                          </m:r>
                        </m:sub>
                        <m:sup/>
                        <m:e>
                          <m:d>
                            <m:dPr>
                              <m:ctrlPr>
                                <w:rPr>
                                  <w:rFonts w:ascii="Cambria Math" w:hAnsi="Cambria Math"/>
                                  <w:i/>
                                  <w:iCs/>
                                  <w:sz w:val="20"/>
                                  <w:szCs w:val="20"/>
                                  <w:lang w:val="en-US"/>
                                </w:rPr>
                              </m:ctrlPr>
                            </m:dPr>
                            <m:e>
                              <m:sSubSup>
                                <m:sSubSupPr>
                                  <m:ctrlPr>
                                    <w:rPr>
                                      <w:rFonts w:ascii="Cambria Math" w:hAnsi="Cambria Math"/>
                                      <w:i/>
                                      <w:iCs/>
                                      <w:sz w:val="20"/>
                                      <w:szCs w:val="20"/>
                                      <w:lang w:val="en-US"/>
                                    </w:rPr>
                                  </m:ctrlPr>
                                </m:sSubSupPr>
                                <m:e>
                                  <m:r>
                                    <w:rPr>
                                      <w:rFonts w:ascii="Cambria Math" w:hAnsi="Cambria Math"/>
                                      <w:sz w:val="20"/>
                                      <w:szCs w:val="20"/>
                                      <w:lang w:val="en-US"/>
                                    </w:rPr>
                                    <m:t>E</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A</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S</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r>
                                <w:rPr>
                                  <w:rFonts w:ascii="Cambria Math" w:hAnsi="Cambria Math"/>
                                  <w:sz w:val="20"/>
                                  <w:szCs w:val="20"/>
                                  <w:lang w:val="en-US"/>
                                </w:rPr>
                                <m:t>+</m:t>
                              </m:r>
                              <m:sSubSup>
                                <m:sSubSupPr>
                                  <m:ctrlPr>
                                    <w:rPr>
                                      <w:rFonts w:ascii="Cambria Math" w:hAnsi="Cambria Math"/>
                                      <w:i/>
                                      <w:iCs/>
                                      <w:sz w:val="20"/>
                                      <w:szCs w:val="20"/>
                                      <w:lang w:val="en-US"/>
                                    </w:rPr>
                                  </m:ctrlPr>
                                </m:sSubSupPr>
                                <m:e>
                                  <m:r>
                                    <w:rPr>
                                      <w:rFonts w:ascii="Cambria Math" w:hAnsi="Cambria Math"/>
                                      <w:sz w:val="20"/>
                                      <w:szCs w:val="20"/>
                                      <w:lang w:val="en-US"/>
                                    </w:rPr>
                                    <m:t>T</m:t>
                                  </m:r>
                                </m:e>
                                <m:sub>
                                  <m:r>
                                    <w:rPr>
                                      <w:rFonts w:ascii="Cambria Math" w:hAnsi="Cambria Math"/>
                                      <w:sz w:val="20"/>
                                      <w:szCs w:val="20"/>
                                      <w:lang w:val="en-US"/>
                                    </w:rPr>
                                    <m:t>i,j</m:t>
                                  </m:r>
                                </m:sub>
                                <m:sup>
                                  <m:r>
                                    <w:rPr>
                                      <w:rFonts w:ascii="Cambria Math" w:hAnsi="Cambria Math"/>
                                      <w:sz w:val="20"/>
                                      <w:szCs w:val="20"/>
                                      <w:lang w:val="en-US"/>
                                    </w:rPr>
                                    <m:t>k</m:t>
                                  </m:r>
                                </m:sup>
                              </m:sSubSup>
                              <m:d>
                                <m:dPr>
                                  <m:ctrlPr>
                                    <w:rPr>
                                      <w:rFonts w:ascii="Cambria Math" w:hAnsi="Cambria Math"/>
                                      <w:i/>
                                      <w:iCs/>
                                      <w:sz w:val="20"/>
                                      <w:szCs w:val="20"/>
                                      <w:lang w:val="en-US"/>
                                    </w:rPr>
                                  </m:ctrlPr>
                                </m:dPr>
                                <m:e>
                                  <m:r>
                                    <w:rPr>
                                      <w:rFonts w:ascii="Cambria Math" w:hAnsi="Cambria Math"/>
                                      <w:sz w:val="20"/>
                                      <w:szCs w:val="20"/>
                                      <w:lang w:val="en-US"/>
                                    </w:rPr>
                                    <m:t>t</m:t>
                                  </m:r>
                                </m:e>
                              </m:d>
                            </m:e>
                          </m:d>
                        </m:e>
                      </m:nary>
                    </m:e>
                  </m:d>
                </m:e>
              </m:nary>
              <m:r>
                <w:rPr>
                  <w:rFonts w:ascii="Cambria Math" w:hAnsi="Cambria Math"/>
                  <w:sz w:val="20"/>
                  <w:szCs w:val="20"/>
                  <w:lang w:val="en-US"/>
                </w:rPr>
                <m:t>#</m:t>
              </m:r>
              <m:d>
                <m:dPr>
                  <m:ctrlPr>
                    <w:rPr>
                      <w:rFonts w:ascii="Cambria Math" w:hAnsi="Cambria Math"/>
                      <w:i/>
                      <w:iCs/>
                      <w:sz w:val="20"/>
                      <w:szCs w:val="20"/>
                      <w:lang w:val="en-US"/>
                    </w:rPr>
                  </m:ctrlPr>
                </m:dPr>
                <m:e>
                  <m:r>
                    <w:rPr>
                      <w:rFonts w:ascii="Cambria Math" w:hAnsi="Cambria Math"/>
                      <w:sz w:val="20"/>
                      <w:szCs w:val="20"/>
                      <w:lang w:val="en-US"/>
                    </w:rPr>
                    <m:t>4</m:t>
                  </m:r>
                </m:e>
              </m:d>
            </m:e>
          </m:eqArr>
        </m:oMath>
      </m:oMathPara>
    </w:p>
    <w:p w14:paraId="7FEA64E5" w14:textId="77777777" w:rsidR="007C39C6" w:rsidRPr="002D7CDC"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The screening rate, </w:t>
      </w:r>
      <m:oMath>
        <m:sSub>
          <m:sSubPr>
            <m:ctrlPr>
              <w:rPr>
                <w:rFonts w:ascii="Cambria Math" w:hAnsi="Cambria Math" w:cs="Times New Roman"/>
                <w:i/>
                <w:color w:val="000000"/>
                <w:sz w:val="20"/>
                <w:szCs w:val="20"/>
                <w:lang w:val="en-GB"/>
              </w:rPr>
            </m:ctrlPr>
          </m:sSubPr>
          <m:e>
            <m:r>
              <w:rPr>
                <w:rFonts w:ascii="Cambria Math" w:hAnsi="Cambria Math" w:cs="Times New Roman"/>
                <w:color w:val="000000"/>
                <w:sz w:val="20"/>
                <w:szCs w:val="20"/>
                <w:lang w:val="en-GB"/>
              </w:rPr>
              <m:t>η</m:t>
            </m:r>
            <m:ctrlPr>
              <w:rPr>
                <w:rFonts w:ascii="Cambria Math" w:hAnsi="Cambria Math" w:cs="Times New Roman"/>
                <w:color w:val="000000"/>
                <w:sz w:val="20"/>
                <w:szCs w:val="20"/>
                <w:lang w:val="en-GB"/>
              </w:rPr>
            </m:ctrlPr>
          </m:e>
          <m:sub>
            <m:r>
              <w:rPr>
                <w:rFonts w:ascii="Cambria Math" w:hAnsi="Cambria Math" w:cs="Times New Roman"/>
                <w:color w:val="000000"/>
                <w:sz w:val="20"/>
                <w:szCs w:val="20"/>
                <w:lang w:val="en-GB"/>
              </w:rPr>
              <m:t>j</m:t>
            </m:r>
          </m:sub>
        </m:sSub>
        <m:d>
          <m:dPr>
            <m:ctrlPr>
              <w:rPr>
                <w:rFonts w:ascii="Cambria Math" w:hAnsi="Cambria Math" w:cs="Times New Roman"/>
                <w:i/>
                <w:color w:val="000000"/>
                <w:sz w:val="20"/>
                <w:szCs w:val="20"/>
                <w:lang w:val="en-GB"/>
              </w:rPr>
            </m:ctrlPr>
          </m:dPr>
          <m:e>
            <m:r>
              <w:rPr>
                <w:rFonts w:ascii="Cambria Math" w:hAnsi="Cambria Math" w:cs="Times New Roman"/>
                <w:color w:val="000000"/>
                <w:sz w:val="20"/>
                <w:szCs w:val="20"/>
                <w:lang w:val="en-GB"/>
              </w:rPr>
              <m:t>t</m:t>
            </m:r>
          </m:e>
        </m:d>
      </m:oMath>
      <w:r w:rsidRPr="002D7CDC">
        <w:rPr>
          <w:rFonts w:ascii="Times New Roman" w:hAnsi="Times New Roman" w:cs="Times New Roman"/>
          <w:color w:val="000000"/>
          <w:sz w:val="20"/>
          <w:szCs w:val="20"/>
          <w:lang w:val="en-GB"/>
        </w:rPr>
        <w:t xml:space="preserve">, </w:t>
      </w:r>
      <w:r w:rsidRPr="002D7CDC">
        <w:rPr>
          <w:rFonts w:ascii="Times New Roman" w:hAnsi="Times New Roman" w:cs="Times New Roman"/>
          <w:sz w:val="20"/>
          <w:szCs w:val="20"/>
        </w:rPr>
        <w:t xml:space="preserve">defined as testing in the absence of symptoms and thus applicable to asymptomatic or uninfected individuals, varies by sexual activity group. For both groups, the screening rate increases linearly over time, rising by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oMath>
      <w:r w:rsidRPr="002D7CDC">
        <w:rPr>
          <w:rFonts w:ascii="Times New Roman" w:hAnsi="Times New Roman" w:cs="Times New Roman"/>
          <w:sz w:val="20"/>
          <w:szCs w:val="20"/>
        </w:rPr>
        <w:t xml:space="preserve"> each year from the initial rate at </w:t>
      </w:r>
      <m:oMath>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oMath>
      <w:r w:rsidRPr="002D7CDC">
        <w:rPr>
          <w:rFonts w:ascii="Times New Roman" w:hAnsi="Times New Roman" w:cs="Times New Roman"/>
          <w:sz w:val="20"/>
          <w:szCs w:val="20"/>
        </w:rPr>
        <w:t>, as follows:</w:t>
      </w:r>
    </w:p>
    <w:p w14:paraId="5E2DA46B" w14:textId="77777777" w:rsidR="007C39C6" w:rsidRPr="002D7CDC" w:rsidRDefault="00000000" w:rsidP="007C39C6">
      <w:pPr>
        <w:spacing w:before="100" w:beforeAutospacing="1" w:after="100" w:afterAutospacing="1" w:line="276" w:lineRule="auto"/>
        <w:jc w:val="both"/>
        <w:rPr>
          <w:rFonts w:ascii="Times New Roman" w:hAnsi="Times New Roman" w:cs="Times New Roman"/>
          <w:iCs/>
          <w:sz w:val="20"/>
          <w:szCs w:val="20"/>
          <w:lang w:val="en-US"/>
        </w:rPr>
      </w:pPr>
      <m:oMathPara>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d>
                <m:dPr>
                  <m:ctrlPr>
                    <w:rPr>
                      <w:rFonts w:ascii="Cambria Math" w:hAnsi="Cambria Math" w:cs="Times New Roman"/>
                      <w:i/>
                      <w:iCs/>
                      <w:sz w:val="20"/>
                      <w:szCs w:val="20"/>
                      <w:lang w:val="en-US"/>
                    </w:rPr>
                  </m:ctrlPr>
                </m:dPr>
                <m:e>
                  <m:r>
                    <w:rPr>
                      <w:rFonts w:ascii="Cambria Math" w:hAnsi="Cambria Math" w:cs="Times New Roman"/>
                      <w:sz w:val="20"/>
                      <w:szCs w:val="20"/>
                      <w:lang w:val="en-US"/>
                    </w:rPr>
                    <m:t>1+</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ϕ</m:t>
                      </m:r>
                    </m:e>
                    <m:sub>
                      <m:r>
                        <w:rPr>
                          <w:rFonts w:ascii="Cambria Math" w:hAnsi="Cambria Math" w:cs="Times New Roman"/>
                          <w:sz w:val="20"/>
                          <w:szCs w:val="20"/>
                          <w:lang w:val="en-US"/>
                        </w:rPr>
                        <m:t>η</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t</m:t>
                          </m:r>
                        </m:e>
                        <m:sub>
                          <m:r>
                            <w:rPr>
                              <w:rFonts w:ascii="Cambria Math" w:hAnsi="Cambria Math" w:cs="Times New Roman"/>
                              <w:sz w:val="20"/>
                              <w:szCs w:val="20"/>
                              <w:lang w:val="en-US"/>
                            </w:rPr>
                            <m:t>0</m:t>
                          </m:r>
                        </m:sub>
                      </m:sSub>
                    </m:e>
                  </m:d>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5</m:t>
                  </m:r>
                </m:e>
              </m:d>
            </m:e>
          </m:eqArr>
          <m:r>
            <m:rPr>
              <m:sty m:val="p"/>
            </m:rPr>
            <w:rPr>
              <w:rFonts w:ascii="Cambria Math" w:hAnsi="Cambria Math" w:cs="Times New Roman"/>
              <w:sz w:val="20"/>
              <w:szCs w:val="20"/>
              <w:lang w:val="en-US"/>
            </w:rPr>
            <w:br/>
          </m:r>
        </m:oMath>
        <m:oMath>
          <m:eqArr>
            <m:eqArrPr>
              <m:maxDist m:val="1"/>
              <m:ctrlPr>
                <w:rPr>
                  <w:rFonts w:ascii="Cambria Math" w:hAnsi="Cambria Math" w:cs="Times New Roman"/>
                  <w:i/>
                  <w:iCs/>
                  <w:sz w:val="20"/>
                  <w:szCs w:val="20"/>
                  <w:lang w:val="en-US"/>
                </w:rPr>
              </m:ctrlPr>
            </m:eqArrPr>
            <m:e>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L</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=ω</m:t>
              </m:r>
              <m:sSub>
                <m:sSubPr>
                  <m:ctrlPr>
                    <w:rPr>
                      <w:rFonts w:ascii="Cambria Math" w:hAnsi="Cambria Math" w:cs="Times New Roman"/>
                      <w:i/>
                      <w:iCs/>
                      <w:sz w:val="20"/>
                      <w:szCs w:val="20"/>
                      <w:lang w:val="en-US"/>
                    </w:rPr>
                  </m:ctrlPr>
                </m:sSubPr>
                <m:e>
                  <m:r>
                    <w:rPr>
                      <w:rFonts w:ascii="Cambria Math" w:hAnsi="Cambria Math" w:cs="Times New Roman"/>
                      <w:sz w:val="20"/>
                      <w:szCs w:val="20"/>
                      <w:lang w:val="en-US"/>
                    </w:rPr>
                    <m:t>η</m:t>
                  </m:r>
                </m:e>
                <m:sub>
                  <m:r>
                    <w:rPr>
                      <w:rFonts w:ascii="Cambria Math" w:hAnsi="Cambria Math" w:cs="Times New Roman"/>
                      <w:sz w:val="20"/>
                      <w:szCs w:val="20"/>
                      <w:lang w:val="en-US"/>
                    </w:rPr>
                    <m:t>H</m:t>
                  </m:r>
                </m:sub>
              </m:sSub>
              <m:d>
                <m:dPr>
                  <m:ctrlPr>
                    <w:rPr>
                      <w:rFonts w:ascii="Cambria Math" w:hAnsi="Cambria Math" w:cs="Times New Roman"/>
                      <w:i/>
                      <w:iCs/>
                      <w:sz w:val="20"/>
                      <w:szCs w:val="20"/>
                      <w:lang w:val="en-US"/>
                    </w:rPr>
                  </m:ctrlPr>
                </m:dPr>
                <m:e>
                  <m:r>
                    <w:rPr>
                      <w:rFonts w:ascii="Cambria Math" w:hAnsi="Cambria Math" w:cs="Times New Roman"/>
                      <w:sz w:val="20"/>
                      <w:szCs w:val="20"/>
                      <w:lang w:val="en-US"/>
                    </w:rPr>
                    <m:t>t</m:t>
                  </m:r>
                </m:e>
              </m:d>
              <m:r>
                <w:rPr>
                  <w:rFonts w:ascii="Cambria Math" w:hAnsi="Cambria Math" w:cs="Times New Roman"/>
                  <w:sz w:val="20"/>
                  <w:szCs w:val="20"/>
                  <w:lang w:val="en-US"/>
                </w:rPr>
                <m:t>#</m:t>
              </m:r>
              <m:d>
                <m:dPr>
                  <m:ctrlPr>
                    <w:rPr>
                      <w:rFonts w:ascii="Cambria Math" w:hAnsi="Cambria Math" w:cs="Times New Roman"/>
                      <w:i/>
                      <w:iCs/>
                      <w:sz w:val="20"/>
                      <w:szCs w:val="20"/>
                      <w:lang w:val="en-US"/>
                    </w:rPr>
                  </m:ctrlPr>
                </m:dPr>
                <m:e>
                  <m:r>
                    <w:rPr>
                      <w:rFonts w:ascii="Cambria Math" w:hAnsi="Cambria Math" w:cs="Times New Roman"/>
                      <w:sz w:val="20"/>
                      <w:szCs w:val="20"/>
                      <w:lang w:val="en-US"/>
                    </w:rPr>
                    <m:t>6</m:t>
                  </m:r>
                </m:e>
              </m:d>
            </m:e>
          </m:eqArr>
        </m:oMath>
      </m:oMathPara>
    </w:p>
    <w:p w14:paraId="24B0800A" w14:textId="799AF018" w:rsidR="007C39C6" w:rsidRDefault="007C39C6" w:rsidP="007C39C6">
      <w:pPr>
        <w:spacing w:before="100" w:beforeAutospacing="1" w:after="100" w:afterAutospacing="1" w:line="276" w:lineRule="auto"/>
        <w:jc w:val="both"/>
        <w:rPr>
          <w:rFonts w:ascii="Times New Roman" w:hAnsi="Times New Roman" w:cs="Times New Roman"/>
          <w:sz w:val="20"/>
          <w:szCs w:val="20"/>
        </w:rPr>
      </w:pPr>
      <w:r w:rsidRPr="002D7CDC">
        <w:rPr>
          <w:rFonts w:ascii="Times New Roman" w:hAnsi="Times New Roman" w:cs="Times New Roman"/>
          <w:sz w:val="20"/>
          <w:szCs w:val="20"/>
        </w:rPr>
        <w:t xml:space="preserve">To account for differences in behaviour, a factor </w:t>
      </w:r>
      <m:oMath>
        <m:r>
          <w:rPr>
            <w:rFonts w:ascii="Cambria Math" w:hAnsi="Cambria Math" w:cs="Times New Roman"/>
            <w:sz w:val="20"/>
            <w:szCs w:val="20"/>
          </w:rPr>
          <m:t>0&lt;ω&lt;1</m:t>
        </m:r>
      </m:oMath>
      <w:r w:rsidRPr="002D7CDC">
        <w:rPr>
          <w:rFonts w:ascii="Times New Roman" w:hAnsi="Times New Roman" w:cs="Times New Roman"/>
          <w:sz w:val="20"/>
          <w:szCs w:val="20"/>
        </w:rPr>
        <w:t xml:space="preserve"> is applied, reflecting that individuals in the low-activity group undergo screening less frequently than those in the high-activity group</w:t>
      </w:r>
      <w:r>
        <w:rPr>
          <w:rFonts w:ascii="Times New Roman" w:hAnsi="Times New Roman" w:cs="Times New Roman"/>
          <w:sz w:val="20"/>
          <w:szCs w:val="20"/>
        </w:rPr>
        <w:t>.</w:t>
      </w:r>
    </w:p>
    <w:p w14:paraId="57AAAAE3" w14:textId="77777777" w:rsidR="00CD3E9D" w:rsidRPr="00DB3DC4" w:rsidRDefault="00CD3E9D" w:rsidP="007C39C6">
      <w:p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p>
    <w:p w14:paraId="7358F8A1" w14:textId="29DD0C25" w:rsidR="00DB3DC4" w:rsidRPr="00DB3DC4" w:rsidRDefault="00DB3DC4" w:rsidP="00DB3DC4">
      <w:pPr>
        <w:pStyle w:val="ListParagraph"/>
        <w:numPr>
          <w:ilvl w:val="0"/>
          <w:numId w:val="5"/>
        </w:numPr>
        <w:spacing w:before="100" w:beforeAutospacing="1" w:after="100" w:afterAutospacing="1" w:line="276" w:lineRule="auto"/>
        <w:jc w:val="both"/>
        <w:rPr>
          <w:rFonts w:ascii="Times New Roman" w:hAnsi="Times New Roman" w:cs="Times New Roman"/>
          <w:color w:val="000000" w:themeColor="text1"/>
          <w:kern w:val="0"/>
          <w:sz w:val="20"/>
          <w:szCs w:val="20"/>
          <w14:ligatures w14:val="none"/>
        </w:rPr>
      </w:pPr>
      <w:r w:rsidRPr="00DB3DC4">
        <w:rPr>
          <w:rFonts w:ascii="Times New Roman" w:hAnsi="Times New Roman" w:cs="Times New Roman"/>
          <w:color w:val="000000" w:themeColor="text1"/>
          <w:kern w:val="0"/>
          <w:sz w:val="20"/>
          <w:szCs w:val="20"/>
          <w14:ligatures w14:val="none"/>
        </w:rPr>
        <w:lastRenderedPageBreak/>
        <w:t>For “No Intervention” (N):</w:t>
      </w:r>
    </w:p>
    <w:p w14:paraId="69E2D4A7" w14:textId="020F594B" w:rsidR="00F14CE2" w:rsidRPr="00F14CE2" w:rsidRDefault="00000000" w:rsidP="00F14CE2">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q</m:t>
                  </m:r>
                </m:e>
                <m:sub>
                  <m:r>
                    <w:rPr>
                      <w:rFonts w:ascii="Cambria Math" w:eastAsia="Times New Roman" w:hAnsi="Cambria Math" w:cs="Times New Roman"/>
                      <w:color w:val="000000" w:themeColor="text1"/>
                      <w:kern w:val="0"/>
                      <w:sz w:val="20"/>
                      <w:szCs w:val="20"/>
                      <w14:ligatures w14:val="none"/>
                    </w:rPr>
                    <m:t>j</m:t>
                  </m:r>
                </m:sub>
              </m:sSub>
              <m:r>
                <w:rPr>
                  <w:rFonts w:ascii="Cambria Math" w:eastAsia="Times New Roman" w:hAnsi="Cambria Math" w:cs="Times New Roman"/>
                  <w:color w:val="000000" w:themeColor="text1"/>
                  <w:kern w:val="0"/>
                  <w:sz w:val="20"/>
                  <w:szCs w:val="20"/>
                  <w14:ligatures w14:val="none"/>
                </w:rPr>
                <m:t>α+ρ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e>
              </m:d>
            </m:e>
          </m:eqArr>
          <m:r>
            <m:rPr>
              <m:sty m:val="p"/>
            </m:rP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Times New Roman" w:hAnsi="Cambria Math" w:cs="Times New Roman"/>
                      <w:i/>
                      <w:color w:val="000000" w:themeColor="text1"/>
                      <w:kern w:val="0"/>
                      <w:sz w:val="20"/>
                      <w:szCs w:val="20"/>
                      <w14:ligatures w14:val="none"/>
                    </w:rPr>
                  </m:ctrlPr>
                </m:num>
                <m:den>
                  <m:r>
                    <w:rPr>
                      <w:rFonts w:ascii="Cambria Math" w:eastAsia="Times New Roman" w:hAnsi="Cambria Math" w:cs="Times New Roman"/>
                      <w:color w:val="000000" w:themeColor="text1"/>
                      <w:kern w:val="0"/>
                      <w:sz w:val="20"/>
                      <w:szCs w:val="20"/>
                      <w14:ligatures w14:val="none"/>
                    </w:rPr>
                    <m:t>dt</m:t>
                  </m:r>
                  <m:ctrlPr>
                    <w:rPr>
                      <w:rFonts w:ascii="Cambria Math" w:eastAsia="Times New Roman" w:hAnsi="Cambria Math" w:cs="Times New Roman"/>
                      <w:i/>
                      <w:color w:val="000000" w:themeColor="text1"/>
                      <w:kern w:val="0"/>
                      <w:sz w:val="20"/>
                      <w:szCs w:val="20"/>
                      <w14:ligatures w14:val="none"/>
                    </w:rPr>
                  </m:ctrlP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r>
                <m:rPr>
                  <m:sty m:val="p"/>
                </m:rP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m:rPr>
                      <m:sty m:val="p"/>
                    </m:rPr>
                    <w:rPr>
                      <w:rFonts w:ascii="Cambria Math" w:eastAsia="Times New Roman" w:hAnsi="Cambria Math" w:cs="Times New Roman"/>
                      <w:color w:val="000000" w:themeColor="text1"/>
                      <w:kern w:val="0"/>
                      <w:sz w:val="20"/>
                      <w:szCs w:val="20"/>
                      <w14:ligatures w14:val="none"/>
                    </w:rPr>
                    <m:t>ρ</m:t>
                  </m:r>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ctrlPr>
                        <w:rPr>
                          <w:rFonts w:ascii="Cambria Math" w:eastAsia="Times New Roman" w:hAnsi="Cambria Math" w:cs="Times New Roman"/>
                          <w:i/>
                          <w:color w:val="000000" w:themeColor="text1"/>
                          <w:kern w:val="0"/>
                          <w:sz w:val="20"/>
                          <w:szCs w:val="20"/>
                          <w14:ligatures w14:val="none"/>
                        </w:rPr>
                      </m:ctrlPr>
                    </m:num>
                    <m:den>
                      <m:r>
                        <m:rPr>
                          <m:sty m:val="p"/>
                        </m:rPr>
                        <w:rPr>
                          <w:rFonts w:ascii="Cambria Math" w:eastAsia="Times New Roman" w:hAnsi="Cambria Math" w:cs="Times New Roman"/>
                          <w:color w:val="000000" w:themeColor="text1"/>
                          <w:kern w:val="0"/>
                          <w:sz w:val="20"/>
                          <w:szCs w:val="20"/>
                          <w14:ligatures w14:val="none"/>
                        </w:rPr>
                        <m:t>γ</m:t>
                      </m:r>
                      <m:ctrlPr>
                        <w:rPr>
                          <w:rFonts w:ascii="Cambria Math" w:eastAsia="Times New Roman" w:hAnsi="Cambria Math" w:cs="Times New Roman"/>
                          <w:i/>
                          <w:color w:val="000000" w:themeColor="text1"/>
                          <w:kern w:val="0"/>
                          <w:sz w:val="20"/>
                          <w:szCs w:val="20"/>
                          <w14:ligatures w14:val="none"/>
                        </w:rPr>
                      </m:ctrlP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m:rPr>
                      <m:sty m:val="p"/>
                    </m:rP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N,j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17</m:t>
                  </m:r>
                </m:e>
              </m:d>
            </m:e>
          </m:eqArr>
        </m:oMath>
      </m:oMathPara>
    </w:p>
    <w:p w14:paraId="430E62D5" w14:textId="4620CFEF" w:rsidR="00D337FB" w:rsidRPr="004033EF" w:rsidRDefault="00D337FB" w:rsidP="00D337FB">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 (D):</w:t>
      </w:r>
    </w:p>
    <w:p w14:paraId="2A03ACF1" w14:textId="66A4BC21" w:rsidR="00620092" w:rsidRPr="002C3F2C"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18</m:t>
                  </m:r>
                </m:e>
              </m:d>
            </m:e>
          </m:eqArr>
          <m:r>
            <m:rPr>
              <m:sty m:val="p"/>
            </m:rPr>
            <w:rPr>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0</m:t>
                  </m:r>
                </m:sup>
              </m:sSubSup>
              <m:r>
                <w:rPr>
                  <w:rFonts w:ascii="Cambria Math" w:eastAsia="Times New Roman" w:hAnsi="Cambria Math" w:cs="Times New Roman"/>
                  <w:color w:val="000000" w:themeColor="text1"/>
                  <w:kern w:val="0"/>
                  <w:sz w:val="20"/>
                  <w:szCs w:val="20"/>
                  <w14:ligatures w14:val="none"/>
                </w:rPr>
                <m:t>(t)+σψ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29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D,j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34</m:t>
                  </m:r>
                </m:e>
              </m:d>
            </m:e>
          </m:eqArr>
        </m:oMath>
      </m:oMathPara>
    </w:p>
    <w:p w14:paraId="602E1DFB" w14:textId="39BA81EA" w:rsidR="002C3F2C" w:rsidRPr="002C3F2C" w:rsidRDefault="002C3F2C" w:rsidP="002C3F2C">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“Doxy-PEP+4CMenB” (V):</w:t>
      </w:r>
    </w:p>
    <w:p w14:paraId="00B3CD2A" w14:textId="096001EB" w:rsidR="00870795" w:rsidRPr="00535D63" w:rsidRDefault="00000000" w:rsidP="00276DCE">
      <w:p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D,j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 xml:space="preserve"> -(</m:t>
                  </m:r>
                  <m:d>
                    <m:dPr>
                      <m:ctrlPr>
                        <w:rPr>
                          <w:rFonts w:ascii="Cambria Math" w:eastAsia="Times New Roman" w:hAnsi="Cambria Math" w:cs="Times New Roman"/>
                          <w:i/>
                          <w:color w:val="000000" w:themeColor="text1"/>
                          <w:kern w:val="0"/>
                          <w:sz w:val="20"/>
                          <w:szCs w:val="20"/>
                          <w14:ligatures w14:val="none"/>
                        </w:rPr>
                      </m:ctrlPr>
                    </m:d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 xml:space="preserve">+ </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39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DengXian" w:hAnsi="Cambria Math" w:cs="Times New Roman"/>
                      <w:i/>
                      <w:iCs/>
                      <w:color w:val="000000" w:themeColor="text1"/>
                      <w:kern w:val="0"/>
                      <w:sz w:val="20"/>
                      <w:szCs w:val="20"/>
                      <w14:ligatures w14:val="none"/>
                    </w:rPr>
                  </m:ctrlPr>
                </m:sSubPr>
                <m:e>
                  <m:r>
                    <w:rPr>
                      <w:rFonts w:ascii="Cambria Math" w:eastAsia="DengXian" w:hAnsi="Cambria Math" w:cs="Times New Roman"/>
                      <w:color w:val="000000" w:themeColor="text1"/>
                      <w:kern w:val="0"/>
                      <w:sz w:val="20"/>
                      <w:szCs w:val="20"/>
                      <w14:ligatures w14:val="none"/>
                    </w:rPr>
                    <m:t>e</m:t>
                  </m:r>
                </m:e>
                <m:sub>
                  <m:r>
                    <w:rPr>
                      <w:rFonts w:ascii="Cambria Math" w:eastAsia="DengXian" w:hAnsi="Cambria Math" w:cs="Times New Roman"/>
                      <w:color w:val="000000" w:themeColor="text1"/>
                      <w:kern w:val="0"/>
                      <w:sz w:val="20"/>
                      <w:szCs w:val="20"/>
                      <w14:ligatures w14:val="none"/>
                    </w:rPr>
                    <m:t>vd</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49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w</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51</m:t>
                  </m:r>
                </m:e>
              </m:d>
            </m:e>
          </m:eqArr>
        </m:oMath>
      </m:oMathPara>
    </w:p>
    <w:p w14:paraId="21B8B8FF" w14:textId="649570B1" w:rsidR="00535D63" w:rsidRPr="00D817F5" w:rsidRDefault="00535D63" w:rsidP="00276DCE">
      <w:pPr>
        <w:pStyle w:val="ListParagraph"/>
        <w:numPr>
          <w:ilvl w:val="0"/>
          <w:numId w:val="5"/>
        </w:numPr>
        <w:spacing w:before="100" w:beforeAutospacing="1" w:after="100" w:afterAutospacing="1" w:line="276" w:lineRule="auto"/>
        <w:jc w:val="both"/>
        <w:rPr>
          <w:rFonts w:ascii="Times New Roman" w:eastAsia="Times New Roman" w:hAnsi="Times New Roman" w:cs="Times New Roman"/>
          <w:i/>
          <w:color w:val="000000" w:themeColor="text1"/>
          <w:kern w:val="0"/>
          <w:sz w:val="20"/>
          <w:szCs w:val="20"/>
          <w14:ligatures w14:val="none"/>
        </w:rPr>
      </w:pPr>
      <w:r>
        <w:rPr>
          <w:rFonts w:ascii="Times New Roman" w:eastAsia="Times New Roman" w:hAnsi="Times New Roman" w:cs="Times New Roman"/>
          <w:iCs/>
          <w:color w:val="000000" w:themeColor="text1"/>
          <w:kern w:val="0"/>
          <w:sz w:val="20"/>
          <w:szCs w:val="20"/>
          <w14:ligatures w14:val="none"/>
        </w:rPr>
        <w:t>For “4CMenB” (M):</w:t>
      </w:r>
    </w:p>
    <w:p w14:paraId="2B59E6CA" w14:textId="52B20A2A" w:rsidR="00577E90" w:rsidRPr="00577E90" w:rsidRDefault="00000000" w:rsidP="00276DCE">
      <w:pPr>
        <w:spacing w:before="100" w:beforeAutospacing="1" w:after="100" w:afterAutospacing="1" w:line="276" w:lineRule="auto"/>
        <w:jc w:val="both"/>
        <w:rPr>
          <w:rFonts w:ascii="Times New Roman" w:eastAsia="Times New Roman" w:hAnsi="Times New Roman" w:cs="Times New Roman"/>
          <w:b/>
          <w:bCs/>
          <w:i/>
          <w:color w:val="000000" w:themeColor="text1"/>
          <w:kern w:val="0"/>
          <w:sz w:val="20"/>
          <w:szCs w:val="20"/>
          <w14:ligatures w14:val="none"/>
        </w:rPr>
        <w:sectPr w:rsidR="00577E90" w:rsidRPr="00577E90">
          <w:pgSz w:w="11906" w:h="16838"/>
          <w:pgMar w:top="1440" w:right="1440" w:bottom="1440" w:left="1440" w:header="708" w:footer="708" w:gutter="0"/>
          <w:cols w:space="708"/>
          <w:docGrid w:linePitch="360"/>
        </w:sectPr>
      </w:pPr>
      <m:oMathPara>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V,j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r>
                <w:rPr>
                  <w:rFonts w:ascii="Cambria Math" w:eastAsia="Times New Roman" w:hAnsi="Cambria Math" w:cs="Times New Roman"/>
                  <w:color w:val="000000" w:themeColor="text1"/>
                  <w:kern w:val="0"/>
                  <w:sz w:val="20"/>
                  <w:szCs w:val="20"/>
                  <w14:ligatures w14:val="none"/>
                </w:rPr>
                <m:t>+ρ</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1-ϕ</m:t>
                  </m:r>
                </m:e>
              </m:d>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r>
                <w:rPr>
                  <w:rFonts w:ascii="Cambria Math" w:eastAsia="Times New Roman" w:hAnsi="Cambria Math" w:cs="Times New Roman"/>
                  <w:color w:val="000000" w:themeColor="text1"/>
                  <w:kern w:val="0"/>
                  <w:sz w:val="20"/>
                  <w:szCs w:val="20"/>
                  <w14:ligatures w14:val="none"/>
                </w:rPr>
                <m:t>+ ν</m:t>
              </m:r>
              <m:d>
                <m:dPr>
                  <m:ctrlPr>
                    <w:rPr>
                      <w:rFonts w:ascii="Cambria Math" w:eastAsia="Times New Roman" w:hAnsi="Cambria Math" w:cs="Times New Roman"/>
                      <w:i/>
                      <w:color w:val="000000" w:themeColor="text1"/>
                      <w:kern w:val="0"/>
                      <w:sz w:val="20"/>
                      <w:szCs w:val="20"/>
                      <w14:ligatures w14:val="none"/>
                    </w:rPr>
                  </m:ctrlPr>
                </m:dPr>
                <m:e>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e>
              </m:d>
              <m:ctrlPr>
                <w:rPr>
                  <w:rFonts w:ascii="Cambria Math" w:eastAsia="Cambria Math" w:hAnsi="Cambria Math" w:cs="Cambria Math"/>
                  <w:i/>
                  <w:color w:val="000000" w:themeColor="text1"/>
                  <w:kern w:val="0"/>
                  <w:sz w:val="20"/>
                  <w:szCs w:val="20"/>
                  <w14:ligatures w14:val="none"/>
                </w:rPr>
              </m:ctrlPr>
            </m:e>
            <m:e>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λ</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p</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0</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N,j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c</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c</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58</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59</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c</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0</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60</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t</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t</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61</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62</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63</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64</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m:t>
                  </m:r>
                </m:sub>
              </m:sSub>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f</m:t>
                  </m:r>
                </m:e>
                <m:sub>
                  <m:r>
                    <w:rPr>
                      <w:rFonts w:ascii="Cambria Math" w:eastAsia="Times New Roman" w:hAnsi="Cambria Math" w:cs="Times New Roman"/>
                      <w:color w:val="000000" w:themeColor="text1"/>
                      <w:kern w:val="0"/>
                      <w:sz w:val="20"/>
                      <w:szCs w:val="20"/>
                      <w14:ligatures w14:val="none"/>
                    </w:rPr>
                    <m:t>d2</m:t>
                  </m:r>
                </m:sub>
              </m:sSub>
              <m:sSup>
                <m:sSupPr>
                  <m:ctrlPr>
                    <w:rPr>
                      <w:rFonts w:ascii="Cambria Math" w:eastAsia="Times New Roman" w:hAnsi="Cambria Math" w:cs="Times New Roman"/>
                      <w:i/>
                      <w:kern w:val="0"/>
                      <w:sz w:val="20"/>
                      <w:szCs w:val="20"/>
                      <w:lang w:val="en-US"/>
                      <w14:ligatures w14:val="none"/>
                    </w:rPr>
                  </m:ctrlPr>
                </m:sSupPr>
                <m:e>
                  <m:sSub>
                    <m:sSubPr>
                      <m:ctrlPr>
                        <w:rPr>
                          <w:rFonts w:ascii="Cambria Math" w:hAnsi="Cambria Math"/>
                          <w:i/>
                          <w:sz w:val="20"/>
                          <w:szCs w:val="20"/>
                          <w:lang w:val="en-US"/>
                        </w:rPr>
                      </m:ctrlPr>
                    </m:sSubPr>
                    <m:e>
                      <m:r>
                        <w:rPr>
                          <w:rFonts w:ascii="Cambria Math" w:hAnsi="Cambria Math"/>
                          <w:sz w:val="20"/>
                          <w:szCs w:val="20"/>
                          <w:lang w:val="en-US"/>
                        </w:rPr>
                        <m:t>λ</m:t>
                      </m:r>
                    </m:e>
                    <m:sub>
                      <m:r>
                        <w:rPr>
                          <w:rFonts w:ascii="Cambria Math" w:hAnsi="Cambria Math"/>
                          <w:sz w:val="20"/>
                          <w:szCs w:val="20"/>
                          <w:lang w:val="en-US"/>
                        </w:rPr>
                        <m:t>j</m:t>
                      </m:r>
                    </m:sub>
                  </m:sSub>
                </m:e>
                <m:sup>
                  <m:r>
                    <w:rPr>
                      <w:rFonts w:ascii="Cambria Math" w:hAnsi="Cambria Math"/>
                      <w:sz w:val="20"/>
                      <w:szCs w:val="20"/>
                      <w:lang w:val="en-US"/>
                    </w:rPr>
                    <m:t>d2</m:t>
                  </m:r>
                </m:sup>
              </m:s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U</m:t>
                  </m:r>
                </m:e>
                <m:sub>
                  <m:r>
                    <w:rPr>
                      <w:rFonts w:ascii="Cambria Math" w:eastAsia="Times New Roman" w:hAnsi="Cambria Math" w:cs="Times New Roman"/>
                      <w:color w:val="000000" w:themeColor="text1"/>
                      <w:kern w:val="0"/>
                      <w:sz w:val="20"/>
                      <w:szCs w:val="20"/>
                      <w14:ligatures w14:val="none"/>
                    </w:rPr>
                    <m:t>M,j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σ+</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65</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1-ψ</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ν+</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+ϕρ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66</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=σψ</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E</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μ+</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67</m:t>
                  </m:r>
                </m:e>
              </m:d>
            </m:e>
          </m:eqArr>
          <m:r>
            <m:rPr>
              <m:sty m:val="p"/>
            </m:rPr>
            <w:rPr>
              <w:rFonts w:ascii="Times New Roman" w:eastAsia="Times New Roman" w:hAnsi="Times New Roman" w:cs="Times New Roman"/>
              <w:color w:val="000000" w:themeColor="text1"/>
              <w:kern w:val="0"/>
              <w:sz w:val="20"/>
              <w:szCs w:val="20"/>
              <w14:ligatures w14:val="none"/>
            </w:rPr>
            <w:br/>
          </m:r>
        </m:oMath>
        <m:oMath>
          <m:eqArr>
            <m:eqArrPr>
              <m:maxDist m:val="1"/>
              <m:ctrlPr>
                <w:rPr>
                  <w:rFonts w:ascii="Cambria Math" w:eastAsia="Times New Roman" w:hAnsi="Cambria Math" w:cs="Times New Roman"/>
                  <w:i/>
                  <w:color w:val="000000" w:themeColor="text1"/>
                  <w:kern w:val="0"/>
                  <w:sz w:val="20"/>
                  <w:szCs w:val="20"/>
                  <w14:ligatures w14:val="none"/>
                </w:rPr>
              </m:ctrlPr>
            </m:eqArrPr>
            <m:e>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d</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num>
                <m:den>
                  <m:r>
                    <w:rPr>
                      <w:rFonts w:ascii="Cambria Math" w:eastAsia="Times New Roman" w:hAnsi="Cambria Math" w:cs="Times New Roman"/>
                      <w:color w:val="000000" w:themeColor="text1"/>
                      <w:kern w:val="0"/>
                      <w:sz w:val="20"/>
                      <w:szCs w:val="20"/>
                      <w14:ligatures w14:val="none"/>
                    </w:rPr>
                    <m:t>dt</m:t>
                  </m:r>
                </m:den>
              </m:f>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η</m:t>
                  </m:r>
                </m:e>
                <m:sub>
                  <m:r>
                    <w:rPr>
                      <w:rFonts w:ascii="Cambria Math" w:eastAsia="Times New Roman" w:hAnsi="Cambria Math" w:cs="Times New Roman"/>
                      <w:color w:val="000000" w:themeColor="text1"/>
                      <w:kern w:val="0"/>
                      <w:sz w:val="20"/>
                      <w:szCs w:val="20"/>
                      <w14:ligatures w14:val="none"/>
                    </w:rPr>
                    <m:t>j</m:t>
                  </m:r>
                </m:sub>
              </m:sSub>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A</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+μ</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S</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ρ+</m:t>
                  </m:r>
                  <m:f>
                    <m:fPr>
                      <m:ctrlPr>
                        <w:rPr>
                          <w:rFonts w:ascii="Cambria Math" w:eastAsia="Times New Roman" w:hAnsi="Cambria Math" w:cs="Times New Roman"/>
                          <w:i/>
                          <w:color w:val="000000" w:themeColor="text1"/>
                          <w:kern w:val="0"/>
                          <w:sz w:val="20"/>
                          <w:szCs w:val="20"/>
                          <w14:ligatures w14:val="none"/>
                        </w:rPr>
                      </m:ctrlPr>
                    </m:fPr>
                    <m:num>
                      <m:r>
                        <w:rPr>
                          <w:rFonts w:ascii="Cambria Math" w:eastAsia="Times New Roman" w:hAnsi="Cambria Math" w:cs="Times New Roman"/>
                          <w:color w:val="000000" w:themeColor="text1"/>
                          <w:kern w:val="0"/>
                          <w:sz w:val="20"/>
                          <w:szCs w:val="20"/>
                          <w14:ligatures w14:val="none"/>
                        </w:rPr>
                        <m:t>1</m:t>
                      </m:r>
                    </m:num>
                    <m:den>
                      <m:r>
                        <w:rPr>
                          <w:rFonts w:ascii="Cambria Math" w:eastAsia="Times New Roman" w:hAnsi="Cambria Math" w:cs="Times New Roman"/>
                          <w:color w:val="000000" w:themeColor="text1"/>
                          <w:kern w:val="0"/>
                          <w:sz w:val="20"/>
                          <w:szCs w:val="20"/>
                          <w14:ligatures w14:val="none"/>
                        </w:rPr>
                        <m:t>γ</m:t>
                      </m:r>
                    </m:den>
                  </m:f>
                </m:e>
              </m:d>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n</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V,j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ξ</m:t>
                  </m:r>
                </m:e>
                <m:sub>
                  <m:r>
                    <w:rPr>
                      <w:rFonts w:ascii="Cambria Math" w:eastAsia="Times New Roman" w:hAnsi="Cambria Math" w:cs="Times New Roman"/>
                      <w:color w:val="000000" w:themeColor="text1"/>
                      <w:kern w:val="0"/>
                      <w:sz w:val="20"/>
                      <w:szCs w:val="20"/>
                      <w14:ligatures w14:val="none"/>
                    </w:rPr>
                    <m:t>d</m:t>
                  </m:r>
                </m:sub>
              </m:sSub>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d2</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sSub>
                <m:sSubPr>
                  <m:ctrlPr>
                    <w:rPr>
                      <w:rFonts w:ascii="Cambria Math" w:eastAsia="Times New Roman" w:hAnsi="Cambria Math" w:cs="Times New Roman"/>
                      <w:i/>
                      <w:color w:val="000000" w:themeColor="text1"/>
                      <w:kern w:val="0"/>
                      <w:sz w:val="20"/>
                      <w:szCs w:val="20"/>
                      <w14:ligatures w14:val="none"/>
                    </w:rPr>
                  </m:ctrlPr>
                </m:sSubPr>
                <m:e>
                  <m:r>
                    <w:rPr>
                      <w:rFonts w:ascii="Cambria Math" w:eastAsia="Times New Roman" w:hAnsi="Cambria Math" w:cs="Times New Roman"/>
                      <w:color w:val="000000" w:themeColor="text1"/>
                      <w:kern w:val="0"/>
                      <w:sz w:val="20"/>
                      <w:szCs w:val="20"/>
                      <w14:ligatures w14:val="none"/>
                    </w:rPr>
                    <m:t>ω</m:t>
                  </m:r>
                </m:e>
                <m:sub>
                  <m:r>
                    <w:rPr>
                      <w:rFonts w:ascii="Cambria Math" w:eastAsia="Times New Roman" w:hAnsi="Cambria Math" w:cs="Times New Roman"/>
                      <w:color w:val="000000" w:themeColor="text1"/>
                      <w:kern w:val="0"/>
                      <w:sz w:val="20"/>
                      <w:szCs w:val="20"/>
                      <w14:ligatures w14:val="none"/>
                    </w:rPr>
                    <m:t>c</m:t>
                  </m:r>
                </m:sub>
              </m:sSub>
              <m:r>
                <w:rPr>
                  <w:rFonts w:ascii="Cambria Math" w:eastAsia="Times New Roman" w:hAnsi="Cambria Math" w:cs="Times New Roman"/>
                  <w:color w:val="000000" w:themeColor="text1"/>
                  <w:kern w:val="0"/>
                  <w:sz w:val="20"/>
                  <w:szCs w:val="20"/>
                  <w14:ligatures w14:val="none"/>
                </w:rPr>
                <m:t>ρ</m:t>
              </m:r>
              <m:sSubSup>
                <m:sSubSupPr>
                  <m:ctrlPr>
                    <w:rPr>
                      <w:rFonts w:ascii="Cambria Math" w:eastAsia="Times New Roman" w:hAnsi="Cambria Math" w:cs="Times New Roman"/>
                      <w:i/>
                      <w:color w:val="000000" w:themeColor="text1"/>
                      <w:kern w:val="0"/>
                      <w:sz w:val="20"/>
                      <w:szCs w:val="20"/>
                      <w14:ligatures w14:val="none"/>
                    </w:rPr>
                  </m:ctrlPr>
                </m:sSubSupPr>
                <m:e>
                  <m:r>
                    <w:rPr>
                      <w:rFonts w:ascii="Cambria Math" w:eastAsia="Times New Roman" w:hAnsi="Cambria Math" w:cs="Times New Roman"/>
                      <w:color w:val="000000" w:themeColor="text1"/>
                      <w:kern w:val="0"/>
                      <w:sz w:val="20"/>
                      <w:szCs w:val="20"/>
                      <w14:ligatures w14:val="none"/>
                    </w:rPr>
                    <m:t>T</m:t>
                  </m:r>
                </m:e>
                <m:sub>
                  <m:r>
                    <w:rPr>
                      <w:rFonts w:ascii="Cambria Math" w:eastAsia="Times New Roman" w:hAnsi="Cambria Math" w:cs="Times New Roman"/>
                      <w:color w:val="000000" w:themeColor="text1"/>
                      <w:kern w:val="0"/>
                      <w:sz w:val="20"/>
                      <w:szCs w:val="20"/>
                      <w14:ligatures w14:val="none"/>
                    </w:rPr>
                    <m:t>M,j</m:t>
                  </m:r>
                </m:sub>
                <m:sup>
                  <m:r>
                    <w:rPr>
                      <w:rFonts w:ascii="Cambria Math" w:eastAsia="Times New Roman" w:hAnsi="Cambria Math" w:cs="Times New Roman"/>
                      <w:color w:val="000000" w:themeColor="text1"/>
                      <w:kern w:val="0"/>
                      <w:sz w:val="20"/>
                      <w:szCs w:val="20"/>
                      <w14:ligatures w14:val="none"/>
                    </w:rPr>
                    <m:t>t</m:t>
                  </m:r>
                </m:sup>
              </m:sSubSup>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t</m:t>
                  </m:r>
                </m:e>
              </m:d>
              <m:r>
                <w:rPr>
                  <w:rFonts w:ascii="Cambria Math" w:eastAsia="Times New Roman" w:hAnsi="Cambria Math" w:cs="Times New Roman"/>
                  <w:color w:val="000000" w:themeColor="text1"/>
                  <w:kern w:val="0"/>
                  <w:sz w:val="20"/>
                  <w:szCs w:val="20"/>
                  <w14:ligatures w14:val="none"/>
                </w:rPr>
                <m:t>#</m:t>
              </m:r>
              <m:d>
                <m:dPr>
                  <m:ctrlPr>
                    <w:rPr>
                      <w:rFonts w:ascii="Cambria Math" w:eastAsia="Times New Roman" w:hAnsi="Cambria Math" w:cs="Times New Roman"/>
                      <w:i/>
                      <w:color w:val="000000" w:themeColor="text1"/>
                      <w:kern w:val="0"/>
                      <w:sz w:val="20"/>
                      <w:szCs w:val="20"/>
                      <w14:ligatures w14:val="none"/>
                    </w:rPr>
                  </m:ctrlPr>
                </m:dPr>
                <m:e>
                  <m:r>
                    <w:rPr>
                      <w:rFonts w:ascii="Cambria Math" w:eastAsia="Times New Roman" w:hAnsi="Cambria Math" w:cs="Times New Roman"/>
                      <w:color w:val="000000" w:themeColor="text1"/>
                      <w:kern w:val="0"/>
                      <w:sz w:val="20"/>
                      <w:szCs w:val="20"/>
                      <w14:ligatures w14:val="none"/>
                    </w:rPr>
                    <m:t>68</m:t>
                  </m:r>
                </m:e>
              </m:d>
            </m:e>
          </m:eqArr>
        </m:oMath>
      </m:oMathPara>
    </w:p>
    <w:p w14:paraId="7848A7C5" w14:textId="5094848F" w:rsidR="00E168B3" w:rsidRPr="00A37609" w:rsidRDefault="000011E7" w:rsidP="00276DCE">
      <w:pPr>
        <w:spacing w:before="100" w:beforeAutospacing="1" w:after="100" w:afterAutospacing="1" w:line="276" w:lineRule="auto"/>
        <w:jc w:val="both"/>
        <w:rPr>
          <w:rFonts w:ascii="Times New Roman" w:eastAsia="Times New Roman" w:hAnsi="Times New Roman" w:cs="Times New Roman"/>
          <w:b/>
          <w:bCs/>
          <w:color w:val="000000" w:themeColor="text1"/>
          <w:kern w:val="0"/>
          <w:sz w:val="20"/>
          <w:szCs w:val="20"/>
          <w14:ligatures w14:val="none"/>
        </w:rPr>
      </w:pPr>
      <w:r w:rsidRPr="001C5B10">
        <w:rPr>
          <w:rFonts w:ascii="Times New Roman" w:eastAsia="Times New Roman" w:hAnsi="Times New Roman" w:cs="Times New Roman"/>
          <w:b/>
          <w:bCs/>
          <w:color w:val="000000" w:themeColor="text1"/>
          <w:kern w:val="0"/>
          <w:sz w:val="20"/>
          <w:szCs w:val="20"/>
          <w14:ligatures w14:val="none"/>
        </w:rPr>
        <w:lastRenderedPageBreak/>
        <w:t>Reference:</w:t>
      </w:r>
    </w:p>
    <w:p w14:paraId="679D17B4" w14:textId="77777777" w:rsidR="00E97704" w:rsidRPr="00E97704" w:rsidRDefault="00802477" w:rsidP="00E97704">
      <w:pPr>
        <w:pStyle w:val="Bibliography"/>
        <w:rPr>
          <w:rFonts w:ascii="Times New Roman" w:hAnsi="Times New Roman" w:cs="Times New Roman"/>
          <w:color w:val="000000"/>
          <w:sz w:val="20"/>
          <w:lang w:val="en-US"/>
        </w:rPr>
      </w:pPr>
      <w:r w:rsidRPr="00E5154E">
        <w:rPr>
          <w:rFonts w:eastAsia="Times New Roman"/>
          <w:color w:val="000000" w:themeColor="text1"/>
          <w:sz w:val="20"/>
          <w:szCs w:val="20"/>
          <w14:ligatures w14:val="none"/>
        </w:rPr>
        <w:fldChar w:fldCharType="begin"/>
      </w:r>
      <w:r w:rsidR="00E97704">
        <w:rPr>
          <w:rFonts w:eastAsia="Times New Roman"/>
          <w:color w:val="000000" w:themeColor="text1"/>
          <w:sz w:val="20"/>
          <w:szCs w:val="20"/>
          <w14:ligatures w14:val="none"/>
        </w:rPr>
        <w:instrText xml:space="preserve"> ADDIN ZOTERO_BIBL {"uncited":[],"omitted":[],"custom":[]} CSL_BIBLIOGRAPHY </w:instrText>
      </w:r>
      <w:r w:rsidRPr="00E5154E">
        <w:rPr>
          <w:rFonts w:eastAsia="Times New Roman"/>
          <w:color w:val="000000" w:themeColor="text1"/>
          <w:sz w:val="20"/>
          <w:szCs w:val="20"/>
          <w14:ligatures w14:val="none"/>
        </w:rPr>
        <w:fldChar w:fldCharType="separate"/>
      </w:r>
      <w:r w:rsidR="00E97704" w:rsidRPr="00E97704">
        <w:rPr>
          <w:rFonts w:ascii="Times New Roman" w:hAnsi="Times New Roman" w:cs="Times New Roman"/>
          <w:color w:val="000000"/>
          <w:sz w:val="20"/>
          <w:lang w:val="en-US"/>
        </w:rPr>
        <w:t>[1]</w:t>
      </w:r>
      <w:r w:rsidR="00E97704" w:rsidRPr="00E97704">
        <w:rPr>
          <w:rFonts w:ascii="Times New Roman" w:hAnsi="Times New Roman" w:cs="Times New Roman"/>
          <w:color w:val="000000"/>
          <w:sz w:val="20"/>
          <w:lang w:val="en-US"/>
        </w:rPr>
        <w:tab/>
        <w:t>J. Saunders, J. Deering, C. Dewsnap, R. Drayton, and J. Gilmore, “UK National Guideline for the Use of Doxycycline Post-Exposure Prophylaxis (DoxyPEP) for the Prevention of Syphilis”.</w:t>
      </w:r>
    </w:p>
    <w:p w14:paraId="10A347A2"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[2]</w:t>
      </w:r>
      <w:r w:rsidRPr="00E97704">
        <w:rPr>
          <w:rFonts w:ascii="Times New Roman" w:hAnsi="Times New Roman" w:cs="Times New Roman"/>
          <w:color w:val="000000"/>
          <w:sz w:val="20"/>
          <w:lang w:val="en-US"/>
        </w:rPr>
        <w:tab/>
        <w:t xml:space="preserve">D. M. Whiley, J. A. Tickner, R. L. Kundu, T. R. Hogan, S. J. van Hal, and M. M. Lahra, “Selection of Neisseria gonorrhoeae ceftriaxone resistance using doxycycline post-exposure prophylaxis,” </w:t>
      </w:r>
      <w:r w:rsidRPr="00E97704">
        <w:rPr>
          <w:rFonts w:ascii="Times New Roman" w:hAnsi="Times New Roman" w:cs="Times New Roman"/>
          <w:i/>
          <w:iCs/>
          <w:color w:val="000000"/>
          <w:sz w:val="20"/>
          <w:lang w:val="en-US"/>
        </w:rPr>
        <w:t>Lancet Infect. Dis.</w:t>
      </w:r>
      <w:r w:rsidRPr="00E97704">
        <w:rPr>
          <w:rFonts w:ascii="Times New Roman" w:hAnsi="Times New Roman" w:cs="Times New Roman"/>
          <w:color w:val="000000"/>
          <w:sz w:val="20"/>
          <w:lang w:val="en-US"/>
        </w:rPr>
        <w:t>, vol. 23, no. 8, pp. e268–e269, Aug. 2023, doi: 10.1016/S1473-3099(23)00359-6.</w:t>
      </w:r>
    </w:p>
    <w:p w14:paraId="62FFD343"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[3]</w:t>
      </w:r>
      <w:r w:rsidRPr="00E97704">
        <w:rPr>
          <w:rFonts w:ascii="Times New Roman" w:hAnsi="Times New Roman" w:cs="Times New Roman"/>
          <w:color w:val="000000"/>
          <w:sz w:val="20"/>
          <w:lang w:val="en-US"/>
        </w:rPr>
        <w:tab/>
        <w:t xml:space="preserve">M. E. DeWitt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“Promise and peril: doxycycline prophylaxis and the spread of resistance among diverse populations,” </w:t>
      </w:r>
      <w:r w:rsidRPr="00E97704">
        <w:rPr>
          <w:rFonts w:ascii="Times New Roman" w:hAnsi="Times New Roman" w:cs="Times New Roman"/>
          <w:i/>
          <w:iCs/>
          <w:color w:val="000000"/>
          <w:sz w:val="20"/>
          <w:lang w:val="en-US"/>
        </w:rPr>
        <w:t>Lancet Microbe</w:t>
      </w:r>
      <w:r w:rsidRPr="00E97704">
        <w:rPr>
          <w:rFonts w:ascii="Times New Roman" w:hAnsi="Times New Roman" w:cs="Times New Roman"/>
          <w:color w:val="000000"/>
          <w:sz w:val="20"/>
          <w:lang w:val="en-US"/>
        </w:rPr>
        <w:t>, vol. 0, no. 0, Aug. 2025, doi: 10.1016/j.lanmic.2025.101222.</w:t>
      </w:r>
    </w:p>
    <w:p w14:paraId="0B58A123"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[4]</w:t>
      </w:r>
      <w:r w:rsidRPr="00E97704">
        <w:rPr>
          <w:rFonts w:ascii="Times New Roman" w:hAnsi="Times New Roman" w:cs="Times New Roman"/>
          <w:color w:val="000000"/>
          <w:sz w:val="20"/>
          <w:lang w:val="en-US"/>
        </w:rPr>
        <w:tab/>
        <w:t>“GRASP report: data to August 2024,” UK Health Security Agency. Accessed: Oct. 29, 2025. [Online]. Available: https://www.gov.uk/government/publications/gonococcal-resistance-to-antimicrobials-surveillance-programme-grasp-report/grasp-report-data-to-august-2024</w:t>
      </w:r>
    </w:p>
    <w:p w14:paraId="622A6F7D"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[5]</w:t>
      </w:r>
      <w:r w:rsidRPr="00E97704">
        <w:rPr>
          <w:rFonts w:ascii="Times New Roman" w:hAnsi="Times New Roman" w:cs="Times New Roman"/>
          <w:color w:val="000000"/>
          <w:sz w:val="20"/>
          <w:lang w:val="en-US"/>
        </w:rPr>
        <w:tab/>
        <w:t xml:space="preserve">K. K. K. Ko, M. T. W. Chio, S. S. Goh, A. L. Tan, T. H. Koh, and N. B. Abdul Rahman, “First Case of Ceftriaxone-Resistant Multidrug-Resistant Neisseria gonorrhoeae in Singapore,” </w:t>
      </w:r>
      <w:r w:rsidRPr="00E97704">
        <w:rPr>
          <w:rFonts w:ascii="Times New Roman" w:hAnsi="Times New Roman" w:cs="Times New Roman"/>
          <w:i/>
          <w:iCs/>
          <w:color w:val="000000"/>
          <w:sz w:val="20"/>
          <w:lang w:val="en-US"/>
        </w:rPr>
        <w:t>Antimicrob. Agents Chemother.</w:t>
      </w:r>
      <w:r w:rsidRPr="00E97704">
        <w:rPr>
          <w:rFonts w:ascii="Times New Roman" w:hAnsi="Times New Roman" w:cs="Times New Roman"/>
          <w:color w:val="000000"/>
          <w:sz w:val="20"/>
          <w:lang w:val="en-US"/>
        </w:rPr>
        <w:t>, vol. 63, no. 5, pp. e02624-18, Apr. 2019, doi: 10.1128/AAC.02624-18.</w:t>
      </w:r>
    </w:p>
    <w:p w14:paraId="1103FBF5"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[6]</w:t>
      </w:r>
      <w:r w:rsidRPr="00E97704">
        <w:rPr>
          <w:rFonts w:ascii="Times New Roman" w:hAnsi="Times New Roman" w:cs="Times New Roman"/>
          <w:color w:val="000000"/>
          <w:sz w:val="20"/>
          <w:lang w:val="en-US"/>
        </w:rPr>
        <w:tab/>
        <w:t xml:space="preserve">C. Kenyon, “Doxycycline Postexposure Prophylaxis Could Accelerate the Emergence of Gonococcal Ceftriaxone Resistance,” </w:t>
      </w:r>
      <w:r w:rsidRPr="00E97704">
        <w:rPr>
          <w:rFonts w:ascii="Times New Roman" w:hAnsi="Times New Roman" w:cs="Times New Roman"/>
          <w:i/>
          <w:iCs/>
          <w:color w:val="000000"/>
          <w:sz w:val="20"/>
          <w:lang w:val="en-US"/>
        </w:rPr>
        <w:t>JAMA Intern. Med.</w:t>
      </w:r>
      <w:r w:rsidRPr="00E97704">
        <w:rPr>
          <w:rFonts w:ascii="Times New Roman" w:hAnsi="Times New Roman" w:cs="Times New Roman"/>
          <w:color w:val="000000"/>
          <w:sz w:val="20"/>
          <w:lang w:val="en-US"/>
        </w:rPr>
        <w:t>, vol. 185, no. 8, p. 1051, Aug. 2025, doi: 10.1001/jamainternmed.2025.0984.</w:t>
      </w:r>
    </w:p>
    <w:p w14:paraId="60E5AEE8"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[7]</w:t>
      </w:r>
      <w:r w:rsidRPr="00E97704">
        <w:rPr>
          <w:rFonts w:ascii="Times New Roman" w:hAnsi="Times New Roman" w:cs="Times New Roman"/>
          <w:color w:val="000000"/>
          <w:sz w:val="20"/>
          <w:lang w:val="en-US"/>
        </w:rPr>
        <w:tab/>
        <w:t xml:space="preserve">L. Geng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“Potential public health impacts of gonorrhea vaccination programmes under declining incidences: A modeling study,” </w:t>
      </w:r>
      <w:r w:rsidRPr="00E97704">
        <w:rPr>
          <w:rFonts w:ascii="Times New Roman" w:hAnsi="Times New Roman" w:cs="Times New Roman"/>
          <w:i/>
          <w:iCs/>
          <w:color w:val="000000"/>
          <w:sz w:val="20"/>
          <w:lang w:val="en-US"/>
        </w:rPr>
        <w:t>PLoS Med.</w:t>
      </w:r>
      <w:r w:rsidRPr="00E97704">
        <w:rPr>
          <w:rFonts w:ascii="Times New Roman" w:hAnsi="Times New Roman" w:cs="Times New Roman"/>
          <w:color w:val="000000"/>
          <w:sz w:val="20"/>
          <w:lang w:val="en-US"/>
        </w:rPr>
        <w:t>, vol. 22, no. 2, p. e1004521, Feb. 2025, doi: 10.1371/journal.pmed.1004521.</w:t>
      </w:r>
    </w:p>
    <w:p w14:paraId="6673F05E"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[8]</w:t>
      </w:r>
      <w:r w:rsidRPr="00E97704">
        <w:rPr>
          <w:rFonts w:ascii="Times New Roman" w:hAnsi="Times New Roman" w:cs="Times New Roman"/>
          <w:color w:val="000000"/>
          <w:sz w:val="20"/>
          <w:lang w:val="en-US"/>
        </w:rPr>
        <w:tab/>
        <w:t xml:space="preserve">L. K. Whittles, X. Didelot, and P. J. White, “Public health impact and cost-effectiveness of gonorrhoea vaccination: an integrated transmission-dynamic health-economic modelling analysis,” </w:t>
      </w:r>
      <w:r w:rsidRPr="00E97704">
        <w:rPr>
          <w:rFonts w:ascii="Times New Roman" w:hAnsi="Times New Roman" w:cs="Times New Roman"/>
          <w:i/>
          <w:iCs/>
          <w:color w:val="000000"/>
          <w:sz w:val="20"/>
          <w:lang w:val="en-US"/>
        </w:rPr>
        <w:t>Lancet Infect. Dis.</w:t>
      </w:r>
      <w:r w:rsidRPr="00E97704">
        <w:rPr>
          <w:rFonts w:ascii="Times New Roman" w:hAnsi="Times New Roman" w:cs="Times New Roman"/>
          <w:color w:val="000000"/>
          <w:sz w:val="20"/>
          <w:lang w:val="en-US"/>
        </w:rPr>
        <w:t>, vol. 22, no. 7, pp. 1030–1041, July 2022, doi: 10.1016/S1473-3099(21)00744-1.</w:t>
      </w:r>
    </w:p>
    <w:p w14:paraId="08D92A2E"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[9]</w:t>
      </w:r>
      <w:r w:rsidRPr="00E97704">
        <w:rPr>
          <w:rFonts w:ascii="Times New Roman" w:hAnsi="Times New Roman" w:cs="Times New Roman"/>
          <w:color w:val="000000"/>
          <w:sz w:val="20"/>
          <w:lang w:val="en-US"/>
        </w:rPr>
        <w:tab/>
        <w:t xml:space="preserve">S. N. Ladhani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“Use of a meningococcal group B vaccine (4CMenB) in populations at high risk of gonorrhoea in the UK,” </w:t>
      </w:r>
      <w:r w:rsidRPr="00E97704">
        <w:rPr>
          <w:rFonts w:ascii="Times New Roman" w:hAnsi="Times New Roman" w:cs="Times New Roman"/>
          <w:i/>
          <w:iCs/>
          <w:color w:val="000000"/>
          <w:sz w:val="20"/>
          <w:lang w:val="en-US"/>
        </w:rPr>
        <w:t>Lancet Infect. Dis.</w:t>
      </w:r>
      <w:r w:rsidRPr="00E97704">
        <w:rPr>
          <w:rFonts w:ascii="Times New Roman" w:hAnsi="Times New Roman" w:cs="Times New Roman"/>
          <w:color w:val="000000"/>
          <w:sz w:val="20"/>
          <w:lang w:val="en-US"/>
        </w:rPr>
        <w:t>, vol. 24, no. 9, pp. e576–e583, Sept. 2024, doi: 10.1016/S1473-3099(24)00031-8.</w:t>
      </w:r>
    </w:p>
    <w:p w14:paraId="0E33ECFF"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[10]</w:t>
      </w:r>
      <w:r w:rsidRPr="00E97704">
        <w:rPr>
          <w:rFonts w:ascii="Times New Roman" w:hAnsi="Times New Roman" w:cs="Times New Roman"/>
          <w:color w:val="000000"/>
          <w:sz w:val="20"/>
          <w:lang w:val="en-US"/>
        </w:rPr>
        <w:tab/>
        <w:t xml:space="preserve">A. R. Tuite, T. L. Gift, H. W. Chesson, K. Hsu, J. A. Salomon, and Y. H. Grad, “Impact of Rapid Susceptibility Testing and Antibiotic Selection Strategy on the Emergence and Spread of Antibiotic Resistance in Gonorrhea,” </w:t>
      </w:r>
      <w:r w:rsidRPr="00E97704">
        <w:rPr>
          <w:rFonts w:ascii="Times New Roman" w:hAnsi="Times New Roman" w:cs="Times New Roman"/>
          <w:i/>
          <w:iCs/>
          <w:color w:val="000000"/>
          <w:sz w:val="20"/>
          <w:lang w:val="en-US"/>
        </w:rPr>
        <w:t>J. Infect. Dis.</w:t>
      </w:r>
      <w:r w:rsidRPr="00E97704">
        <w:rPr>
          <w:rFonts w:ascii="Times New Roman" w:hAnsi="Times New Roman" w:cs="Times New Roman"/>
          <w:color w:val="000000"/>
          <w:sz w:val="20"/>
          <w:lang w:val="en-US"/>
        </w:rPr>
        <w:t>, vol. 216, no. 9, pp. 1141–1149, Nov. 2017, doi: 10.1093/infdis/jix450.</w:t>
      </w:r>
    </w:p>
    <w:p w14:paraId="7917B4A5"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[11]</w:t>
      </w:r>
      <w:r w:rsidRPr="00E97704">
        <w:rPr>
          <w:rFonts w:ascii="Times New Roman" w:hAnsi="Times New Roman" w:cs="Times New Roman"/>
          <w:color w:val="000000"/>
          <w:sz w:val="20"/>
          <w:lang w:val="en-US"/>
        </w:rPr>
        <w:tab/>
        <w:t xml:space="preserve">E. Reichert, R. Yaesoubi, M. M. Rönn, T. L. Gift, J. A. Salomon, and Y. H. Grad, “Resistance-minimising strategies for introducing a novel antibiotic for gonorrhoea treatment: a mathematical modelling study,” </w:t>
      </w:r>
      <w:r w:rsidRPr="00E97704">
        <w:rPr>
          <w:rFonts w:ascii="Times New Roman" w:hAnsi="Times New Roman" w:cs="Times New Roman"/>
          <w:i/>
          <w:iCs/>
          <w:color w:val="000000"/>
          <w:sz w:val="20"/>
          <w:lang w:val="en-US"/>
        </w:rPr>
        <w:t>Lancet Microbe</w:t>
      </w:r>
      <w:r w:rsidRPr="00E97704">
        <w:rPr>
          <w:rFonts w:ascii="Times New Roman" w:hAnsi="Times New Roman" w:cs="Times New Roman"/>
          <w:color w:val="000000"/>
          <w:sz w:val="20"/>
          <w:lang w:val="en-US"/>
        </w:rPr>
        <w:t>, vol. 4, no. 10, pp. e781–e789, Oct. 2023, doi: 10.1016/S2666-5247(23)00145-3.</w:t>
      </w:r>
    </w:p>
    <w:p w14:paraId="1D7A1F1F"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[12]</w:t>
      </w:r>
      <w:r w:rsidRPr="00E97704">
        <w:rPr>
          <w:rFonts w:ascii="Times New Roman" w:hAnsi="Times New Roman" w:cs="Times New Roman"/>
          <w:color w:val="000000"/>
          <w:sz w:val="20"/>
          <w:lang w:val="en-US"/>
        </w:rPr>
        <w:tab/>
        <w:t xml:space="preserve">E. Reichert and Y. H. Grad, “Effects of doxycycline post-exposure prophylaxis for prevention of sexually transmitted infections on gonorrhoea prevalence and antimicrobial resistance among men who have sex with men in the USA: a modelling study,” </w:t>
      </w:r>
      <w:r w:rsidRPr="00E97704">
        <w:rPr>
          <w:rFonts w:ascii="Times New Roman" w:hAnsi="Times New Roman" w:cs="Times New Roman"/>
          <w:i/>
          <w:iCs/>
          <w:color w:val="000000"/>
          <w:sz w:val="20"/>
          <w:lang w:val="en-US"/>
        </w:rPr>
        <w:t>Lancet Microbe</w:t>
      </w:r>
      <w:r w:rsidRPr="00E97704">
        <w:rPr>
          <w:rFonts w:ascii="Times New Roman" w:hAnsi="Times New Roman" w:cs="Times New Roman"/>
          <w:color w:val="000000"/>
          <w:sz w:val="20"/>
          <w:lang w:val="en-US"/>
        </w:rPr>
        <w:t>, vol. 5, no. 11, p. 100926, Nov. 2024, doi: 10.1016/s2666-5247(24)00168-x.</w:t>
      </w:r>
    </w:p>
    <w:p w14:paraId="7108A16E"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[13]</w:t>
      </w:r>
      <w:r w:rsidRPr="00E97704">
        <w:rPr>
          <w:rFonts w:ascii="Times New Roman" w:hAnsi="Times New Roman" w:cs="Times New Roman"/>
          <w:color w:val="000000"/>
          <w:sz w:val="20"/>
          <w:lang w:val="en-US"/>
        </w:rPr>
        <w:tab/>
        <w:t xml:space="preserve">L. K. Whittles, P. J. White, and X. Didelot, “Assessment of the Potential of Vaccination to Combat Antibiotic Resistance in Gonorrhea: A Modeling Analysis to Determine Preferred Product Characteristics,” </w:t>
      </w:r>
      <w:r w:rsidRPr="00E97704">
        <w:rPr>
          <w:rFonts w:ascii="Times New Roman" w:hAnsi="Times New Roman" w:cs="Times New Roman"/>
          <w:i/>
          <w:iCs/>
          <w:color w:val="000000"/>
          <w:sz w:val="20"/>
          <w:lang w:val="en-US"/>
        </w:rPr>
        <w:t>Clin. Infect. Dis.</w:t>
      </w:r>
      <w:r w:rsidRPr="00E97704">
        <w:rPr>
          <w:rFonts w:ascii="Times New Roman" w:hAnsi="Times New Roman" w:cs="Times New Roman"/>
          <w:color w:val="000000"/>
          <w:sz w:val="20"/>
          <w:lang w:val="en-US"/>
        </w:rPr>
        <w:t>, vol. 71, no. 8, pp. 1912–1919, Nov. 2020, doi: 10.1093/cid/ciz1241.</w:t>
      </w:r>
    </w:p>
    <w:p w14:paraId="7325E980"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[14]</w:t>
      </w:r>
      <w:r w:rsidRPr="00E97704">
        <w:rPr>
          <w:rFonts w:ascii="Times New Roman" w:hAnsi="Times New Roman" w:cs="Times New Roman"/>
          <w:color w:val="000000"/>
          <w:sz w:val="20"/>
          <w:lang w:val="en-US"/>
        </w:rPr>
        <w:tab/>
        <w:t xml:space="preserve">L. K. Whittles, P. J. White, and X. Didelot, “Estimating the fitness cost and benefit of cefixime resistance in Neisseria gonorrhoeae to inform prescription policy: A modelling study,” </w:t>
      </w:r>
      <w:r w:rsidRPr="00E97704">
        <w:rPr>
          <w:rFonts w:ascii="Times New Roman" w:hAnsi="Times New Roman" w:cs="Times New Roman"/>
          <w:i/>
          <w:iCs/>
          <w:color w:val="000000"/>
          <w:sz w:val="20"/>
          <w:lang w:val="en-US"/>
        </w:rPr>
        <w:t>PLOS Med.</w:t>
      </w:r>
      <w:r w:rsidRPr="00E97704">
        <w:rPr>
          <w:rFonts w:ascii="Times New Roman" w:hAnsi="Times New Roman" w:cs="Times New Roman"/>
          <w:color w:val="000000"/>
          <w:sz w:val="20"/>
          <w:lang w:val="en-US"/>
        </w:rPr>
        <w:t>, vol. 14, no. 10, p. e1002416, Oct. 2017, doi: 10.1371/journal.pmed.1002416.</w:t>
      </w:r>
    </w:p>
    <w:p w14:paraId="107BCCF6"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[15]</w:t>
      </w:r>
      <w:r w:rsidRPr="00E97704">
        <w:rPr>
          <w:rFonts w:ascii="Times New Roman" w:hAnsi="Times New Roman" w:cs="Times New Roman"/>
          <w:color w:val="000000"/>
          <w:sz w:val="20"/>
          <w:lang w:val="en-US"/>
        </w:rPr>
        <w:tab/>
        <w:t xml:space="preserve">H. Fifer, J. Saunders, S. Soni, S. T. Sadiq, and M. FitzGerald, “2018 UK national guideline for the management of infection with Neisseria gonorrhoeae,” </w:t>
      </w:r>
      <w:r w:rsidRPr="00E97704">
        <w:rPr>
          <w:rFonts w:ascii="Times New Roman" w:hAnsi="Times New Roman" w:cs="Times New Roman"/>
          <w:i/>
          <w:iCs/>
          <w:color w:val="000000"/>
          <w:sz w:val="20"/>
          <w:lang w:val="en-US"/>
        </w:rPr>
        <w:t>Int. J. STD AIDS</w:t>
      </w:r>
      <w:r w:rsidRPr="00E97704">
        <w:rPr>
          <w:rFonts w:ascii="Times New Roman" w:hAnsi="Times New Roman" w:cs="Times New Roman"/>
          <w:color w:val="000000"/>
          <w:sz w:val="20"/>
          <w:lang w:val="en-US"/>
        </w:rPr>
        <w:t>, vol. 31, no. 1, pp. 4–15, Jan. 2020, doi: 10.1177/0956462419886775.</w:t>
      </w:r>
    </w:p>
    <w:p w14:paraId="7872BDC6"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[16]</w:t>
      </w:r>
      <w:r w:rsidRPr="00E97704">
        <w:rPr>
          <w:rFonts w:ascii="Times New Roman" w:hAnsi="Times New Roman" w:cs="Times New Roman"/>
          <w:color w:val="000000"/>
          <w:sz w:val="20"/>
          <w:lang w:val="en-US"/>
        </w:rPr>
        <w:tab/>
        <w:t>“GRASP report: data to September 2025,” UK Health Security Agency. Accessed: Nov. 20, 2025. [Online]. Available: https://www.gov.uk/government/publications/gonococcal-resistance-to-antimicrobials-surveillance-programme-grasp-report/grasp-report-data-to-september-2025</w:t>
      </w:r>
    </w:p>
    <w:p w14:paraId="64E74EE9"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[17]</w:t>
      </w:r>
      <w:r w:rsidRPr="00E97704">
        <w:rPr>
          <w:rFonts w:ascii="Times New Roman" w:hAnsi="Times New Roman" w:cs="Times New Roman"/>
          <w:color w:val="000000"/>
          <w:sz w:val="20"/>
          <w:lang w:val="en-US"/>
        </w:rPr>
        <w:tab/>
        <w:t xml:space="preserve">R. Platt, P. A. Rice, and W. M. McCormack, “Risk of acquiring gonorrhea and prevalence of abnormal adnexal findings among women recently exposed to gonorrhea,” </w:t>
      </w:r>
      <w:r w:rsidRPr="00E97704">
        <w:rPr>
          <w:rFonts w:ascii="Times New Roman" w:hAnsi="Times New Roman" w:cs="Times New Roman"/>
          <w:i/>
          <w:iCs/>
          <w:color w:val="000000"/>
          <w:sz w:val="20"/>
          <w:lang w:val="en-US"/>
        </w:rPr>
        <w:t>JAMA</w:t>
      </w:r>
      <w:r w:rsidRPr="00E97704">
        <w:rPr>
          <w:rFonts w:ascii="Times New Roman" w:hAnsi="Times New Roman" w:cs="Times New Roman"/>
          <w:color w:val="000000"/>
          <w:sz w:val="20"/>
          <w:lang w:val="en-US"/>
        </w:rPr>
        <w:t>, vol. 250, no. 23, pp. 3205–3209, Dec. 1983.</w:t>
      </w:r>
    </w:p>
    <w:p w14:paraId="18CB35C3"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[18]</w:t>
      </w:r>
      <w:r w:rsidRPr="00E97704">
        <w:rPr>
          <w:rFonts w:ascii="Times New Roman" w:hAnsi="Times New Roman" w:cs="Times New Roman"/>
          <w:color w:val="000000"/>
          <w:sz w:val="20"/>
          <w:lang w:val="en-US"/>
        </w:rPr>
        <w:tab/>
        <w:t xml:space="preserve">K. A. Schmidt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“Experimental gonococcal urethritis and reinfection with homologous gonococci in male volunteers,” </w:t>
      </w:r>
      <w:r w:rsidRPr="00E97704">
        <w:rPr>
          <w:rFonts w:ascii="Times New Roman" w:hAnsi="Times New Roman" w:cs="Times New Roman"/>
          <w:i/>
          <w:iCs/>
          <w:color w:val="000000"/>
          <w:sz w:val="20"/>
          <w:lang w:val="en-US"/>
        </w:rPr>
        <w:t>Sex. Transm. Dis.</w:t>
      </w:r>
      <w:r w:rsidRPr="00E97704">
        <w:rPr>
          <w:rFonts w:ascii="Times New Roman" w:hAnsi="Times New Roman" w:cs="Times New Roman"/>
          <w:color w:val="000000"/>
          <w:sz w:val="20"/>
          <w:lang w:val="en-US"/>
        </w:rPr>
        <w:t>, vol. 28, no. 10, pp. 555–564, Oct. 2001, doi: 10.1097/00007435-200110000-00001.</w:t>
      </w:r>
    </w:p>
    <w:p w14:paraId="46DA29A5"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[19]</w:t>
      </w:r>
      <w:r w:rsidRPr="00E97704">
        <w:rPr>
          <w:rFonts w:ascii="Times New Roman" w:hAnsi="Times New Roman" w:cs="Times New Roman"/>
          <w:color w:val="000000"/>
          <w:sz w:val="20"/>
          <w:lang w:val="en-US"/>
        </w:rPr>
        <w:tab/>
        <w:t xml:space="preserve">C. B. Hosenfeld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“Repeat infection with Chlamydia and gonorrhea among females: a systematic review of the literature,” </w:t>
      </w:r>
      <w:r w:rsidRPr="00E97704">
        <w:rPr>
          <w:rFonts w:ascii="Times New Roman" w:hAnsi="Times New Roman" w:cs="Times New Roman"/>
          <w:i/>
          <w:iCs/>
          <w:color w:val="000000"/>
          <w:sz w:val="20"/>
          <w:lang w:val="en-US"/>
        </w:rPr>
        <w:t>Sex. Transm. Dis.</w:t>
      </w:r>
      <w:r w:rsidRPr="00E97704">
        <w:rPr>
          <w:rFonts w:ascii="Times New Roman" w:hAnsi="Times New Roman" w:cs="Times New Roman"/>
          <w:color w:val="000000"/>
          <w:sz w:val="20"/>
          <w:lang w:val="en-US"/>
        </w:rPr>
        <w:t>, vol. 36, no. 8, pp. 478–489, Aug. 2009, doi: 10.1097/OLQ.0b013e3181a2a933.</w:t>
      </w:r>
    </w:p>
    <w:p w14:paraId="3A7C746F"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lastRenderedPageBreak/>
        <w:t>[20]</w:t>
      </w:r>
      <w:r w:rsidRPr="00E97704">
        <w:rPr>
          <w:rFonts w:ascii="Times New Roman" w:hAnsi="Times New Roman" w:cs="Times New Roman"/>
          <w:color w:val="000000"/>
          <w:sz w:val="20"/>
          <w:lang w:val="en-US"/>
        </w:rPr>
        <w:tab/>
        <w:t xml:space="preserve">J.-M. Molina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“Doxycycline prophylaxis and meningococcal group B vaccine to prevent bacterial sexually transmitted infections in France (ANRS 174 DOXYVAC): a multicentre, open-label, randomised trial with a 2 × 2 factorial design,” </w:t>
      </w:r>
      <w:r w:rsidRPr="00E97704">
        <w:rPr>
          <w:rFonts w:ascii="Times New Roman" w:hAnsi="Times New Roman" w:cs="Times New Roman"/>
          <w:i/>
          <w:iCs/>
          <w:color w:val="000000"/>
          <w:sz w:val="20"/>
          <w:lang w:val="en-US"/>
        </w:rPr>
        <w:t>Lancet Infect. Dis.</w:t>
      </w:r>
      <w:r w:rsidRPr="00E97704">
        <w:rPr>
          <w:rFonts w:ascii="Times New Roman" w:hAnsi="Times New Roman" w:cs="Times New Roman"/>
          <w:color w:val="000000"/>
          <w:sz w:val="20"/>
          <w:lang w:val="en-US"/>
        </w:rPr>
        <w:t>, vol. 24, no. 10, pp. 1093–1104, Oct. 2024, doi: 10.1016/S1473-3099(24)00236-6.</w:t>
      </w:r>
    </w:p>
    <w:p w14:paraId="538BA9D4"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[21]</w:t>
      </w:r>
      <w:r w:rsidRPr="00E97704">
        <w:rPr>
          <w:rFonts w:ascii="Times New Roman" w:hAnsi="Times New Roman" w:cs="Times New Roman"/>
          <w:color w:val="000000"/>
          <w:sz w:val="20"/>
          <w:lang w:val="en-US"/>
        </w:rPr>
        <w:tab/>
        <w:t xml:space="preserve">J. Zhang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“Discontinuation, suboptimal adherence, and reinitiation of oral HIV pre-exposure prophylaxis: a global systematic review and meta-analysis,” </w:t>
      </w:r>
      <w:r w:rsidRPr="00E97704">
        <w:rPr>
          <w:rFonts w:ascii="Times New Roman" w:hAnsi="Times New Roman" w:cs="Times New Roman"/>
          <w:i/>
          <w:iCs/>
          <w:color w:val="000000"/>
          <w:sz w:val="20"/>
          <w:lang w:val="en-US"/>
        </w:rPr>
        <w:t>Lancet HIV</w:t>
      </w:r>
      <w:r w:rsidRPr="00E97704">
        <w:rPr>
          <w:rFonts w:ascii="Times New Roman" w:hAnsi="Times New Roman" w:cs="Times New Roman"/>
          <w:color w:val="000000"/>
          <w:sz w:val="20"/>
          <w:lang w:val="en-US"/>
        </w:rPr>
        <w:t>, vol. 9, no. 4, pp. e254–e268, Apr. 2022, doi: 10.1016/S2352-3018(22)00030-3.</w:t>
      </w:r>
    </w:p>
    <w:p w14:paraId="2FFF0C3F"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[22]</w:t>
      </w:r>
      <w:r w:rsidRPr="00E97704">
        <w:rPr>
          <w:rFonts w:ascii="Times New Roman" w:hAnsi="Times New Roman" w:cs="Times New Roman"/>
          <w:color w:val="000000"/>
          <w:sz w:val="20"/>
          <w:lang w:val="en-US"/>
        </w:rPr>
        <w:tab/>
        <w:t xml:space="preserve">Z. Wang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“Long-Run Public Health Impact of Doxycycline Post-Exposure Prophylaxis and Behavioural Factors on Syphilis Transmission: A Modelling Study in Singapore and England,” July 28, 2025, </w:t>
      </w:r>
      <w:r w:rsidRPr="00E97704">
        <w:rPr>
          <w:rFonts w:ascii="Times New Roman" w:hAnsi="Times New Roman" w:cs="Times New Roman"/>
          <w:i/>
          <w:iCs/>
          <w:color w:val="000000"/>
          <w:sz w:val="20"/>
          <w:lang w:val="en-US"/>
        </w:rPr>
        <w:t>medRxiv</w:t>
      </w:r>
      <w:r w:rsidRPr="00E97704">
        <w:rPr>
          <w:rFonts w:ascii="Times New Roman" w:hAnsi="Times New Roman" w:cs="Times New Roman"/>
          <w:color w:val="000000"/>
          <w:sz w:val="20"/>
          <w:lang w:val="en-US"/>
        </w:rPr>
        <w:t>. doi: 10.1101/2025.07.28.25332286.</w:t>
      </w:r>
    </w:p>
    <w:p w14:paraId="6685ABBE" w14:textId="77777777" w:rsidR="00E97704" w:rsidRPr="00E97704" w:rsidRDefault="00E97704" w:rsidP="00E97704">
      <w:pPr>
        <w:pStyle w:val="Bibliography"/>
        <w:rPr>
          <w:rFonts w:ascii="Times New Roman" w:hAnsi="Times New Roman" w:cs="Times New Roman"/>
          <w:color w:val="000000"/>
          <w:sz w:val="20"/>
          <w:lang w:val="en-US"/>
        </w:rPr>
      </w:pPr>
      <w:r w:rsidRPr="00E97704">
        <w:rPr>
          <w:rFonts w:ascii="Times New Roman" w:hAnsi="Times New Roman" w:cs="Times New Roman"/>
          <w:color w:val="000000"/>
          <w:sz w:val="20"/>
          <w:lang w:val="en-US"/>
        </w:rPr>
        <w:t>[23]</w:t>
      </w:r>
      <w:r w:rsidRPr="00E97704">
        <w:rPr>
          <w:rFonts w:ascii="Times New Roman" w:hAnsi="Times New Roman" w:cs="Times New Roman"/>
          <w:color w:val="000000"/>
          <w:sz w:val="20"/>
          <w:lang w:val="en-US"/>
        </w:rPr>
        <w:tab/>
        <w:t xml:space="preserve">J. A </w:t>
      </w:r>
      <w:r w:rsidRPr="00E97704">
        <w:rPr>
          <w:rFonts w:ascii="Times New Roman" w:hAnsi="Times New Roman" w:cs="Times New Roman"/>
          <w:i/>
          <w:iCs/>
          <w:color w:val="000000"/>
          <w:sz w:val="20"/>
          <w:lang w:val="en-US"/>
        </w:rPr>
        <w:t>et al.</w:t>
      </w:r>
      <w:r w:rsidRPr="00E97704">
        <w:rPr>
          <w:rFonts w:ascii="Times New Roman" w:hAnsi="Times New Roman" w:cs="Times New Roman"/>
          <w:color w:val="000000"/>
          <w:sz w:val="20"/>
          <w:lang w:val="en-US"/>
        </w:rPr>
        <w:t xml:space="preserve">, “Partnership-based sexual behaviours among adults in Singapore,” Sept. 18, 2025, </w:t>
      </w:r>
      <w:r w:rsidRPr="00E97704">
        <w:rPr>
          <w:rFonts w:ascii="Times New Roman" w:hAnsi="Times New Roman" w:cs="Times New Roman"/>
          <w:i/>
          <w:iCs/>
          <w:color w:val="000000"/>
          <w:sz w:val="20"/>
          <w:lang w:val="en-US"/>
        </w:rPr>
        <w:t>medRxiv</w:t>
      </w:r>
      <w:r w:rsidRPr="00E97704">
        <w:rPr>
          <w:rFonts w:ascii="Times New Roman" w:hAnsi="Times New Roman" w:cs="Times New Roman"/>
          <w:color w:val="000000"/>
          <w:sz w:val="20"/>
          <w:lang w:val="en-US"/>
        </w:rPr>
        <w:t>. doi: 10.1101/2025.09.16.25335841.</w:t>
      </w:r>
    </w:p>
    <w:p w14:paraId="5AC95642" w14:textId="311A9694" w:rsidR="00802477" w:rsidRPr="00E5154E" w:rsidRDefault="00802477" w:rsidP="00E97704">
      <w:pPr>
        <w:pStyle w:val="Bibliography"/>
        <w:rPr>
          <w:rFonts w:ascii="Times New Roman" w:eastAsia="Times New Roman" w:hAnsi="Times New Roman" w:cs="Times New Roman"/>
          <w:color w:val="000000" w:themeColor="text1"/>
          <w:kern w:val="0"/>
          <w:sz w:val="20"/>
          <w:szCs w:val="20"/>
          <w14:ligatures w14:val="none"/>
        </w:rPr>
      </w:pPr>
      <w:r w:rsidRPr="00E5154E">
        <w:rPr>
          <w:rFonts w:ascii="Times New Roman" w:eastAsia="Times New Roman" w:hAnsi="Times New Roman" w:cs="Times New Roman"/>
          <w:color w:val="000000" w:themeColor="text1"/>
          <w:kern w:val="0"/>
          <w:sz w:val="20"/>
          <w:szCs w:val="20"/>
          <w14:ligatures w14:val="none"/>
        </w:rPr>
        <w:fldChar w:fldCharType="end"/>
      </w:r>
    </w:p>
    <w:p w14:paraId="09887875" w14:textId="34CA54EE" w:rsidR="006A5D60" w:rsidRPr="00E5154E" w:rsidRDefault="006A5D60" w:rsidP="00E5154E">
      <w:pPr>
        <w:spacing w:before="100" w:beforeAutospacing="1" w:after="100" w:afterAutospacing="1" w:line="276" w:lineRule="auto"/>
        <w:jc w:val="both"/>
        <w:rPr>
          <w:rFonts w:ascii="Times New Roman" w:hAnsi="Times New Roman" w:cs="Times New Roman"/>
          <w:color w:val="000000" w:themeColor="text1"/>
          <w:sz w:val="20"/>
          <w:szCs w:val="20"/>
        </w:rPr>
      </w:pPr>
    </w:p>
    <w:sectPr w:rsidR="006A5D60" w:rsidRPr="00E5154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WANG ZIHAO#" w:date="2025-10-29T22:49:00Z" w:initials="#Z">
    <w:p w14:paraId="14578B13" w14:textId="77777777" w:rsidR="00FD2D8F" w:rsidRDefault="00FD2D8F" w:rsidP="00FD2D8F">
      <w:r>
        <w:rPr>
          <w:rStyle w:val="CommentReference"/>
        </w:rPr>
        <w:annotationRef/>
      </w:r>
      <w:r>
        <w:rPr>
          <w:sz w:val="20"/>
          <w:szCs w:val="20"/>
        </w:rPr>
        <w:t>Mean 4.75 days</w:t>
      </w:r>
    </w:p>
  </w:comment>
  <w:comment w:id="2" w:author="#WANG ZIHAO#" w:date="2025-10-29T22:50:00Z" w:initials="#Z">
    <w:p w14:paraId="2A195FD6" w14:textId="77777777" w:rsidR="00FD2D8F" w:rsidRDefault="00FD2D8F" w:rsidP="00FD2D8F">
      <w:r>
        <w:rPr>
          <w:rStyle w:val="CommentReference"/>
        </w:rPr>
        <w:annotationRef/>
      </w:r>
      <w:r>
        <w:rPr>
          <w:sz w:val="20"/>
          <w:szCs w:val="20"/>
        </w:rPr>
        <w:t>Mean 2.68 days</w:t>
      </w:r>
    </w:p>
  </w:comment>
  <w:comment w:id="3" w:author="#WANG ZIHAO#" w:date="2025-10-29T22:50:00Z" w:initials="#Z">
    <w:p w14:paraId="068A2806" w14:textId="77777777" w:rsidR="00FD2D8F" w:rsidRDefault="00FD2D8F" w:rsidP="00FD2D8F">
      <w:r>
        <w:rPr>
          <w:rStyle w:val="CommentReference"/>
        </w:rPr>
        <w:annotationRef/>
      </w:r>
      <w:r>
        <w:rPr>
          <w:sz w:val="20"/>
          <w:szCs w:val="20"/>
        </w:rPr>
        <w:t>Mean 7 days</w:t>
      </w:r>
    </w:p>
  </w:comment>
  <w:comment w:id="4" w:author="#WANG ZIHAO#" w:date="2025-10-29T22:50:00Z" w:initials="#Z">
    <w:p w14:paraId="696F2B4E" w14:textId="77777777" w:rsidR="00FD2D8F" w:rsidRDefault="00FD2D8F" w:rsidP="00FD2D8F">
      <w:r>
        <w:rPr>
          <w:rStyle w:val="CommentReference"/>
        </w:rPr>
        <w:annotationRef/>
      </w:r>
      <w:r>
        <w:rPr>
          <w:sz w:val="20"/>
          <w:szCs w:val="20"/>
        </w:rPr>
        <w:t>Mean 159 days</w:t>
      </w:r>
    </w:p>
  </w:comment>
  <w:comment w:id="5" w:author="#WANG ZIHAO#" w:date="2025-10-29T22:01:00Z" w:initials="#Z">
    <w:p w14:paraId="3266266F" w14:textId="71110EB4" w:rsidR="008576F9" w:rsidRDefault="008576F9" w:rsidP="008576F9">
      <w:r>
        <w:rPr>
          <w:rStyle w:val="CommentReference"/>
        </w:rPr>
        <w:annotationRef/>
      </w:r>
      <w:r>
        <w:rPr>
          <w:sz w:val="20"/>
          <w:szCs w:val="20"/>
        </w:rPr>
        <w:t>Global uncertainty analysis/sensitivity analysis</w:t>
      </w:r>
    </w:p>
  </w:comment>
  <w:comment w:id="6" w:author="#WANG ZIHAO#" w:date="2025-10-29T21:48:00Z" w:initials="#Z">
    <w:p w14:paraId="6F4A64AE" w14:textId="036E0776" w:rsidR="00804703" w:rsidRDefault="00804703" w:rsidP="00804703">
      <w:r>
        <w:rPr>
          <w:rStyle w:val="CommentReference"/>
        </w:rPr>
        <w:annotationRef/>
      </w:r>
      <w:r>
        <w:rPr>
          <w:sz w:val="20"/>
          <w:szCs w:val="20"/>
        </w:rPr>
        <w:t>no cases of ceftriaxone resistance yet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578B13" w15:done="1"/>
  <w15:commentEx w15:paraId="2A195FD6" w15:done="1"/>
  <w15:commentEx w15:paraId="068A2806" w15:done="1"/>
  <w15:commentEx w15:paraId="696F2B4E" w15:done="1"/>
  <w15:commentEx w15:paraId="3266266F" w15:done="1"/>
  <w15:commentEx w15:paraId="6F4A64A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946732" w16cex:dateUtc="2025-10-29T14:49:00Z"/>
  <w16cex:commentExtensible w16cex:durableId="1F81EC8A" w16cex:dateUtc="2025-10-29T14:50:00Z"/>
  <w16cex:commentExtensible w16cex:durableId="63962855" w16cex:dateUtc="2025-10-29T14:50:00Z"/>
  <w16cex:commentExtensible w16cex:durableId="13405781" w16cex:dateUtc="2025-10-29T14:50:00Z"/>
  <w16cex:commentExtensible w16cex:durableId="624228D1" w16cex:dateUtc="2025-10-29T14:01:00Z"/>
  <w16cex:commentExtensible w16cex:durableId="13FC96A3" w16cex:dateUtc="2025-10-29T13: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578B13" w16cid:durableId="6B946732"/>
  <w16cid:commentId w16cid:paraId="2A195FD6" w16cid:durableId="1F81EC8A"/>
  <w16cid:commentId w16cid:paraId="068A2806" w16cid:durableId="63962855"/>
  <w16cid:commentId w16cid:paraId="696F2B4E" w16cid:durableId="13405781"/>
  <w16cid:commentId w16cid:paraId="3266266F" w16cid:durableId="624228D1"/>
  <w16cid:commentId w16cid:paraId="6F4A64AE" w16cid:durableId="13FC96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2AB5B" w14:textId="77777777" w:rsidR="00C3510D" w:rsidRDefault="00C3510D" w:rsidP="00BA2AB7">
      <w:pPr>
        <w:spacing w:after="0" w:line="240" w:lineRule="auto"/>
      </w:pPr>
      <w:r>
        <w:separator/>
      </w:r>
    </w:p>
  </w:endnote>
  <w:endnote w:type="continuationSeparator" w:id="0">
    <w:p w14:paraId="54096EBA" w14:textId="77777777" w:rsidR="00C3510D" w:rsidRDefault="00C3510D" w:rsidP="00BA2A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E7667" w14:textId="77777777" w:rsidR="00C3510D" w:rsidRDefault="00C3510D" w:rsidP="00BA2AB7">
      <w:pPr>
        <w:spacing w:after="0" w:line="240" w:lineRule="auto"/>
      </w:pPr>
      <w:r>
        <w:separator/>
      </w:r>
    </w:p>
  </w:footnote>
  <w:footnote w:type="continuationSeparator" w:id="0">
    <w:p w14:paraId="03704C5D" w14:textId="77777777" w:rsidR="00C3510D" w:rsidRDefault="00C3510D" w:rsidP="00BA2AB7">
      <w:pPr>
        <w:spacing w:after="0" w:line="240" w:lineRule="auto"/>
      </w:pPr>
      <w:r>
        <w:continuationSeparator/>
      </w:r>
    </w:p>
  </w:footnote>
  <w:footnote w:id="1">
    <w:p w14:paraId="35D8A0C6" w14:textId="4EF99CED" w:rsidR="00E5498B" w:rsidRPr="00523A73" w:rsidRDefault="00E5498B">
      <w:pPr>
        <w:pStyle w:val="FootnoteText"/>
        <w:rPr>
          <w:rFonts w:ascii="Times New Roman" w:hAnsi="Times New Roman" w:cs="Times New Roman"/>
          <w:sz w:val="16"/>
          <w:szCs w:val="16"/>
        </w:rPr>
      </w:pPr>
      <w:r w:rsidRPr="00523A73">
        <w:rPr>
          <w:rStyle w:val="FootnoteReference"/>
          <w:rFonts w:ascii="Times New Roman" w:hAnsi="Times New Roman" w:cs="Times New Roman"/>
          <w:sz w:val="16"/>
          <w:szCs w:val="16"/>
        </w:rPr>
        <w:footnoteRef/>
      </w:r>
      <w:r w:rsidRPr="00523A73">
        <w:rPr>
          <w:rFonts w:ascii="Times New Roman" w:hAnsi="Times New Roman" w:cs="Times New Roman"/>
          <w:sz w:val="16"/>
          <w:szCs w:val="16"/>
        </w:rPr>
        <w:t xml:space="preserve"> MIC </w:t>
      </w:r>
      <m:oMath>
        <m:r>
          <w:rPr>
            <w:rFonts w:ascii="Cambria Math" w:hAnsi="Cambria Math" w:cs="Times New Roman"/>
            <w:sz w:val="16"/>
            <w:szCs w:val="16"/>
          </w:rPr>
          <m:t>≥</m:t>
        </m:r>
      </m:oMath>
      <w:r w:rsidRPr="00523A73">
        <w:rPr>
          <w:rFonts w:ascii="Times New Roman" w:hAnsi="Times New Roman" w:cs="Times New Roman"/>
          <w:sz w:val="16"/>
          <w:szCs w:val="16"/>
        </w:rPr>
        <w:t xml:space="preserve"> 2mg/L</w:t>
      </w:r>
    </w:p>
  </w:footnote>
  <w:footnote w:id="2">
    <w:p w14:paraId="1FE4FA1B" w14:textId="4446451B" w:rsidR="00E5498B" w:rsidRPr="00523A73" w:rsidRDefault="00E5498B">
      <w:pPr>
        <w:pStyle w:val="FootnoteText"/>
        <w:rPr>
          <w:rFonts w:ascii="Times New Roman" w:hAnsi="Times New Roman" w:cs="Times New Roman"/>
          <w:sz w:val="16"/>
          <w:szCs w:val="16"/>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w:t>
      </w:r>
      <w:r w:rsidRPr="00523A73">
        <w:rPr>
          <w:rFonts w:ascii="Times New Roman" w:hAnsi="Times New Roman" w:cs="Times New Roman"/>
          <w:sz w:val="16"/>
          <w:szCs w:val="16"/>
        </w:rPr>
        <w:t>Data from 2020</w:t>
      </w:r>
      <w:r>
        <w:rPr>
          <w:rFonts w:ascii="Times New Roman" w:hAnsi="Times New Roman" w:cs="Times New Roman"/>
          <w:sz w:val="16"/>
          <w:szCs w:val="16"/>
        </w:rPr>
        <w:t xml:space="preserve"> - </w:t>
      </w:r>
      <w:r w:rsidRPr="00523A73">
        <w:rPr>
          <w:rFonts w:ascii="Times New Roman" w:hAnsi="Times New Roman" w:cs="Times New Roman"/>
          <w:sz w:val="16"/>
          <w:szCs w:val="16"/>
        </w:rPr>
        <w:t>2021 were excluded due to sampling biases during COVID-19.</w:t>
      </w:r>
    </w:p>
  </w:footnote>
  <w:footnote w:id="3">
    <w:p w14:paraId="535A06E0" w14:textId="6556FF06" w:rsidR="00E5498B" w:rsidRPr="009A302F" w:rsidRDefault="00E5498B">
      <w:pPr>
        <w:pStyle w:val="FootnoteText"/>
        <w:rPr>
          <w:lang w:val="en-US"/>
        </w:rPr>
      </w:pPr>
      <w:r w:rsidRPr="00523A73">
        <w:rPr>
          <w:rStyle w:val="FootnoteReference"/>
          <w:rFonts w:ascii="Times New Roman" w:hAnsi="Times New Roman" w:cs="Times New Roman"/>
          <w:sz w:val="16"/>
          <w:szCs w:val="16"/>
        </w:rPr>
        <w:t>***</w:t>
      </w:r>
      <w:r w:rsidRPr="00523A73">
        <w:rPr>
          <w:rFonts w:ascii="Times New Roman" w:hAnsi="Times New Roman" w:cs="Times New Roman"/>
          <w:sz w:val="16"/>
          <w:szCs w:val="16"/>
        </w:rPr>
        <w:t xml:space="preserve"> MIC </w:t>
      </w:r>
      <m:oMath>
        <m:r>
          <w:rPr>
            <w:rFonts w:ascii="Cambria Math" w:hAnsi="Cambria Math" w:cs="Times New Roman"/>
            <w:sz w:val="16"/>
            <w:szCs w:val="16"/>
          </w:rPr>
          <m:t>&gt;</m:t>
        </m:r>
      </m:oMath>
      <w:r w:rsidRPr="00523A73">
        <w:rPr>
          <w:rFonts w:ascii="Times New Roman" w:hAnsi="Times New Roman" w:cs="Times New Roman"/>
          <w:sz w:val="16"/>
          <w:szCs w:val="16"/>
        </w:rPr>
        <w:t xml:space="preserve"> 0.5mg/L</w:t>
      </w:r>
    </w:p>
  </w:footnote>
  <w:footnote w:id="4">
    <w:p w14:paraId="36C2C945" w14:textId="39DD578C" w:rsidR="00BA2AB7" w:rsidRPr="00BA2AB7" w:rsidRDefault="00BA2AB7" w:rsidP="001C0CAA">
      <w:pPr>
        <w:pStyle w:val="FootnoteText"/>
        <w:jc w:val="both"/>
        <w:rPr>
          <w:lang w:val="en-US"/>
        </w:rPr>
      </w:pPr>
      <w:r>
        <w:rPr>
          <w:rStyle w:val="FootnoteReference"/>
        </w:rPr>
        <w:footnoteRef/>
      </w:r>
      <w:r>
        <w:t xml:space="preserve"> </w:t>
      </w:r>
      <w:r w:rsidRPr="00F477CC">
        <w:rPr>
          <w:rFonts w:ascii="Times New Roman" w:hAnsi="Times New Roman" w:cs="Times New Roman"/>
          <w:sz w:val="18"/>
          <w:szCs w:val="18"/>
          <w:lang w:val="en-US"/>
        </w:rPr>
        <w:t>Assume</w:t>
      </w:r>
      <w:r w:rsidR="00F477CC" w:rsidRPr="00F477CC">
        <w:rPr>
          <w:rFonts w:ascii="Times New Roman" w:hAnsi="Times New Roman" w:cs="Times New Roman"/>
          <w:sz w:val="18"/>
          <w:szCs w:val="18"/>
          <w:lang w:val="en-US"/>
        </w:rPr>
        <w:t>d</w:t>
      </w:r>
      <w:r w:rsidRPr="00F477CC">
        <w:rPr>
          <w:rFonts w:ascii="Times New Roman" w:hAnsi="Times New Roman" w:cs="Times New Roman"/>
          <w:sz w:val="18"/>
          <w:szCs w:val="18"/>
          <w:lang w:val="en-US"/>
        </w:rPr>
        <w:t xml:space="preserve"> </w:t>
      </w:r>
      <w:r w:rsidRPr="00F477CC">
        <w:rPr>
          <w:rFonts w:ascii="Times New Roman" w:hAnsi="Times New Roman" w:cs="Times New Roman"/>
          <w:sz w:val="18"/>
          <w:szCs w:val="18"/>
        </w:rPr>
        <w:t>each intervention reduces infection risk independently such that their combined efficacy is modelled multiplicatively</w:t>
      </w:r>
      <w:r w:rsidR="00F477CC" w:rsidRPr="00F477CC">
        <w:rPr>
          <w:rFonts w:ascii="Times New Roman" w:hAnsi="Times New Roman" w:cs="Times New Roman"/>
          <w:sz w:val="18"/>
          <w:szCs w:val="18"/>
        </w:rPr>
        <w:t xml:space="preserve">, i.e., </w:t>
      </w:r>
      <m:oMath>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vd</m:t>
            </m:r>
          </m:sub>
        </m:sSub>
        <m:r>
          <w:rPr>
            <w:rFonts w:ascii="Cambria Math" w:hAnsi="Cambria Math" w:cs="Times New Roman"/>
            <w:sz w:val="18"/>
            <w:szCs w:val="18"/>
          </w:rPr>
          <m:t>=1-</m:t>
        </m:r>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d</m:t>
                </m:r>
              </m:sub>
            </m:sSub>
          </m:e>
        </m:d>
        <m:d>
          <m:dPr>
            <m:ctrlPr>
              <w:rPr>
                <w:rFonts w:ascii="Cambria Math" w:hAnsi="Cambria Math" w:cs="Times New Roman"/>
                <w:i/>
                <w:sz w:val="18"/>
                <w:szCs w:val="18"/>
              </w:rPr>
            </m:ctrlPr>
          </m:dPr>
          <m:e>
            <m:r>
              <w:rPr>
                <w:rFonts w:ascii="Cambria Math" w:hAnsi="Cambria Math" w:cs="Times New Roman"/>
                <w:sz w:val="18"/>
                <w:szCs w:val="18"/>
              </w:rPr>
              <m:t>1-</m:t>
            </m:r>
            <m:sSub>
              <m:sSubPr>
                <m:ctrlPr>
                  <w:rPr>
                    <w:rFonts w:ascii="Cambria Math" w:hAnsi="Cambria Math" w:cs="Times New Roman"/>
                    <w:i/>
                    <w:sz w:val="18"/>
                    <w:szCs w:val="18"/>
                  </w:rPr>
                </m:ctrlPr>
              </m:sSubPr>
              <m:e>
                <m:r>
                  <w:rPr>
                    <w:rFonts w:ascii="Cambria Math" w:hAnsi="Cambria Math" w:cs="Times New Roman"/>
                    <w:sz w:val="18"/>
                    <w:szCs w:val="18"/>
                  </w:rPr>
                  <m:t>e</m:t>
                </m:r>
              </m:e>
              <m:sub>
                <m:r>
                  <w:rPr>
                    <w:rFonts w:ascii="Cambria Math" w:hAnsi="Cambria Math" w:cs="Times New Roman"/>
                    <w:sz w:val="18"/>
                    <w:szCs w:val="18"/>
                  </w:rPr>
                  <m:t>v</m:t>
                </m:r>
              </m:sub>
            </m:sSub>
          </m:e>
        </m:d>
      </m:oMath>
      <w:r w:rsidR="00F477CC" w:rsidRPr="00F477CC">
        <w:rPr>
          <w:rFonts w:ascii="Times New Roman" w:hAnsi="Times New Roman" w:cs="Times New Roman"/>
          <w:sz w:val="18"/>
          <w:szCs w:val="18"/>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92279"/>
    <w:multiLevelType w:val="hybridMultilevel"/>
    <w:tmpl w:val="D83AE364"/>
    <w:lvl w:ilvl="0" w:tplc="FFFFFFFF">
      <w:start w:val="1"/>
      <w:numFmt w:val="lowerLetter"/>
      <w:lvlText w:val="%1."/>
      <w:lvlJc w:val="left"/>
      <w:pPr>
        <w:ind w:left="720" w:hanging="360"/>
      </w:pPr>
      <w:rPr>
        <w:rFonts w:hint="default"/>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3347421"/>
    <w:multiLevelType w:val="hybridMultilevel"/>
    <w:tmpl w:val="2E001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F0531A0"/>
    <w:multiLevelType w:val="multilevel"/>
    <w:tmpl w:val="0C64C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EA301D"/>
    <w:multiLevelType w:val="hybridMultilevel"/>
    <w:tmpl w:val="0CEAF142"/>
    <w:lvl w:ilvl="0" w:tplc="087AA312">
      <w:start w:val="1"/>
      <w:numFmt w:val="decimal"/>
      <w:lvlText w:val="%1."/>
      <w:lvlJc w:val="left"/>
      <w:pPr>
        <w:ind w:left="1020" w:hanging="360"/>
      </w:pPr>
    </w:lvl>
    <w:lvl w:ilvl="1" w:tplc="8A4E6D10">
      <w:start w:val="1"/>
      <w:numFmt w:val="decimal"/>
      <w:lvlText w:val="%2."/>
      <w:lvlJc w:val="left"/>
      <w:pPr>
        <w:ind w:left="1020" w:hanging="360"/>
      </w:pPr>
    </w:lvl>
    <w:lvl w:ilvl="2" w:tplc="7E922120">
      <w:start w:val="1"/>
      <w:numFmt w:val="decimal"/>
      <w:lvlText w:val="%3."/>
      <w:lvlJc w:val="left"/>
      <w:pPr>
        <w:ind w:left="1020" w:hanging="360"/>
      </w:pPr>
    </w:lvl>
    <w:lvl w:ilvl="3" w:tplc="3A265344">
      <w:start w:val="1"/>
      <w:numFmt w:val="decimal"/>
      <w:lvlText w:val="%4."/>
      <w:lvlJc w:val="left"/>
      <w:pPr>
        <w:ind w:left="1020" w:hanging="360"/>
      </w:pPr>
    </w:lvl>
    <w:lvl w:ilvl="4" w:tplc="CBBA4A76">
      <w:start w:val="1"/>
      <w:numFmt w:val="decimal"/>
      <w:lvlText w:val="%5."/>
      <w:lvlJc w:val="left"/>
      <w:pPr>
        <w:ind w:left="1020" w:hanging="360"/>
      </w:pPr>
    </w:lvl>
    <w:lvl w:ilvl="5" w:tplc="F4EE0AA0">
      <w:start w:val="1"/>
      <w:numFmt w:val="decimal"/>
      <w:lvlText w:val="%6."/>
      <w:lvlJc w:val="left"/>
      <w:pPr>
        <w:ind w:left="1020" w:hanging="360"/>
      </w:pPr>
    </w:lvl>
    <w:lvl w:ilvl="6" w:tplc="E0EC3CF0">
      <w:start w:val="1"/>
      <w:numFmt w:val="decimal"/>
      <w:lvlText w:val="%7."/>
      <w:lvlJc w:val="left"/>
      <w:pPr>
        <w:ind w:left="1020" w:hanging="360"/>
      </w:pPr>
    </w:lvl>
    <w:lvl w:ilvl="7" w:tplc="28F21750">
      <w:start w:val="1"/>
      <w:numFmt w:val="decimal"/>
      <w:lvlText w:val="%8."/>
      <w:lvlJc w:val="left"/>
      <w:pPr>
        <w:ind w:left="1020" w:hanging="360"/>
      </w:pPr>
    </w:lvl>
    <w:lvl w:ilvl="8" w:tplc="B94C2B18">
      <w:start w:val="1"/>
      <w:numFmt w:val="decimal"/>
      <w:lvlText w:val="%9."/>
      <w:lvlJc w:val="left"/>
      <w:pPr>
        <w:ind w:left="1020" w:hanging="360"/>
      </w:pPr>
    </w:lvl>
  </w:abstractNum>
  <w:abstractNum w:abstractNumId="4" w15:restartNumberingAfterBreak="0">
    <w:nsid w:val="3DF817EA"/>
    <w:multiLevelType w:val="hybridMultilevel"/>
    <w:tmpl w:val="25C08A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FF472A"/>
    <w:multiLevelType w:val="hybridMultilevel"/>
    <w:tmpl w:val="72DE3DC2"/>
    <w:lvl w:ilvl="0" w:tplc="165AD0DE">
      <w:start w:val="1"/>
      <w:numFmt w:val="lowerLetter"/>
      <w:lvlText w:val="%1."/>
      <w:lvlJc w:val="left"/>
      <w:pPr>
        <w:ind w:left="720" w:hanging="360"/>
      </w:pPr>
      <w:rPr>
        <w:rFonts w:hint="default"/>
        <w:i w:val="0"/>
        <w:i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52722562">
    <w:abstractNumId w:val="2"/>
  </w:num>
  <w:num w:numId="2" w16cid:durableId="40520125">
    <w:abstractNumId w:val="4"/>
  </w:num>
  <w:num w:numId="3" w16cid:durableId="1504318238">
    <w:abstractNumId w:val="1"/>
  </w:num>
  <w:num w:numId="4" w16cid:durableId="1606230246">
    <w:abstractNumId w:val="3"/>
  </w:num>
  <w:num w:numId="5" w16cid:durableId="734740861">
    <w:abstractNumId w:val="5"/>
  </w:num>
  <w:num w:numId="6" w16cid:durableId="119387839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NG ZIHAO#">
    <w15:presenceInfo w15:providerId="AD" w15:userId="S::ZIHAO014@e.ntu.edu.sg::4f62dce8-3573-44f9-b9f0-3fdd1aae867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D60"/>
    <w:rsid w:val="00000367"/>
    <w:rsid w:val="00000B87"/>
    <w:rsid w:val="000011E7"/>
    <w:rsid w:val="00027E42"/>
    <w:rsid w:val="00050497"/>
    <w:rsid w:val="0005212D"/>
    <w:rsid w:val="00054123"/>
    <w:rsid w:val="000619E7"/>
    <w:rsid w:val="00075D2F"/>
    <w:rsid w:val="00083C2D"/>
    <w:rsid w:val="00085099"/>
    <w:rsid w:val="00091063"/>
    <w:rsid w:val="00092D96"/>
    <w:rsid w:val="000B0C7C"/>
    <w:rsid w:val="000B2196"/>
    <w:rsid w:val="000D0539"/>
    <w:rsid w:val="000D1389"/>
    <w:rsid w:val="000D3B8B"/>
    <w:rsid w:val="000D472A"/>
    <w:rsid w:val="000E2764"/>
    <w:rsid w:val="000E3930"/>
    <w:rsid w:val="001010DC"/>
    <w:rsid w:val="00117036"/>
    <w:rsid w:val="001418F7"/>
    <w:rsid w:val="0015330D"/>
    <w:rsid w:val="001607B0"/>
    <w:rsid w:val="0016426E"/>
    <w:rsid w:val="00166618"/>
    <w:rsid w:val="001725A7"/>
    <w:rsid w:val="0017364B"/>
    <w:rsid w:val="001A06DF"/>
    <w:rsid w:val="001A3A09"/>
    <w:rsid w:val="001B42F2"/>
    <w:rsid w:val="001C0CAA"/>
    <w:rsid w:val="001C2A98"/>
    <w:rsid w:val="001C3AEF"/>
    <w:rsid w:val="001C5B10"/>
    <w:rsid w:val="001C72D5"/>
    <w:rsid w:val="001D18D4"/>
    <w:rsid w:val="001E4905"/>
    <w:rsid w:val="001F071A"/>
    <w:rsid w:val="002007DE"/>
    <w:rsid w:val="00220104"/>
    <w:rsid w:val="002234CF"/>
    <w:rsid w:val="00223F73"/>
    <w:rsid w:val="00230338"/>
    <w:rsid w:val="0023165B"/>
    <w:rsid w:val="00243D2B"/>
    <w:rsid w:val="0025496A"/>
    <w:rsid w:val="00256035"/>
    <w:rsid w:val="00263500"/>
    <w:rsid w:val="00276DCE"/>
    <w:rsid w:val="00284461"/>
    <w:rsid w:val="002A0AB1"/>
    <w:rsid w:val="002C1F75"/>
    <w:rsid w:val="002C3F2C"/>
    <w:rsid w:val="002D209E"/>
    <w:rsid w:val="002E7667"/>
    <w:rsid w:val="00307F2B"/>
    <w:rsid w:val="00316933"/>
    <w:rsid w:val="00326421"/>
    <w:rsid w:val="003300DF"/>
    <w:rsid w:val="00331A4D"/>
    <w:rsid w:val="003323E8"/>
    <w:rsid w:val="00332AD8"/>
    <w:rsid w:val="00336842"/>
    <w:rsid w:val="00337290"/>
    <w:rsid w:val="00343145"/>
    <w:rsid w:val="00373D9B"/>
    <w:rsid w:val="00382719"/>
    <w:rsid w:val="00382F63"/>
    <w:rsid w:val="00393D45"/>
    <w:rsid w:val="003A66F0"/>
    <w:rsid w:val="003B6AF3"/>
    <w:rsid w:val="003C1DA1"/>
    <w:rsid w:val="003C1F45"/>
    <w:rsid w:val="003E7919"/>
    <w:rsid w:val="004033EF"/>
    <w:rsid w:val="00422602"/>
    <w:rsid w:val="004229CD"/>
    <w:rsid w:val="00424CFE"/>
    <w:rsid w:val="00466C02"/>
    <w:rsid w:val="00482565"/>
    <w:rsid w:val="0048457F"/>
    <w:rsid w:val="004F1CFD"/>
    <w:rsid w:val="004F3D14"/>
    <w:rsid w:val="00506AFF"/>
    <w:rsid w:val="00507315"/>
    <w:rsid w:val="00511992"/>
    <w:rsid w:val="0051618A"/>
    <w:rsid w:val="00521FE0"/>
    <w:rsid w:val="00523A73"/>
    <w:rsid w:val="0053170E"/>
    <w:rsid w:val="00535D63"/>
    <w:rsid w:val="005368DE"/>
    <w:rsid w:val="005473E4"/>
    <w:rsid w:val="00556849"/>
    <w:rsid w:val="00577E90"/>
    <w:rsid w:val="005B07EA"/>
    <w:rsid w:val="005B15BD"/>
    <w:rsid w:val="005B2DA0"/>
    <w:rsid w:val="005B3659"/>
    <w:rsid w:val="005C1307"/>
    <w:rsid w:val="005D0C68"/>
    <w:rsid w:val="005D5687"/>
    <w:rsid w:val="005E4A82"/>
    <w:rsid w:val="005F0A0A"/>
    <w:rsid w:val="006108A8"/>
    <w:rsid w:val="006173E0"/>
    <w:rsid w:val="00620092"/>
    <w:rsid w:val="00624970"/>
    <w:rsid w:val="00630081"/>
    <w:rsid w:val="006300FE"/>
    <w:rsid w:val="006425C4"/>
    <w:rsid w:val="00666618"/>
    <w:rsid w:val="00667406"/>
    <w:rsid w:val="0067174C"/>
    <w:rsid w:val="0067361D"/>
    <w:rsid w:val="00673DDD"/>
    <w:rsid w:val="00690AB2"/>
    <w:rsid w:val="0069221B"/>
    <w:rsid w:val="00694DF0"/>
    <w:rsid w:val="006A5D60"/>
    <w:rsid w:val="006B5BE6"/>
    <w:rsid w:val="006B751E"/>
    <w:rsid w:val="006C0BE4"/>
    <w:rsid w:val="006F3684"/>
    <w:rsid w:val="007024DB"/>
    <w:rsid w:val="00720BC0"/>
    <w:rsid w:val="00727618"/>
    <w:rsid w:val="00743CE1"/>
    <w:rsid w:val="00756C05"/>
    <w:rsid w:val="00757D3F"/>
    <w:rsid w:val="00776D62"/>
    <w:rsid w:val="007864C5"/>
    <w:rsid w:val="0079342B"/>
    <w:rsid w:val="007966E6"/>
    <w:rsid w:val="007C1062"/>
    <w:rsid w:val="007C39C6"/>
    <w:rsid w:val="007D28FF"/>
    <w:rsid w:val="007E5D03"/>
    <w:rsid w:val="007F5429"/>
    <w:rsid w:val="00802477"/>
    <w:rsid w:val="00804703"/>
    <w:rsid w:val="00806315"/>
    <w:rsid w:val="008235D5"/>
    <w:rsid w:val="008241F9"/>
    <w:rsid w:val="008550FB"/>
    <w:rsid w:val="008576F9"/>
    <w:rsid w:val="00870795"/>
    <w:rsid w:val="00877A9C"/>
    <w:rsid w:val="008C2AAA"/>
    <w:rsid w:val="008E5752"/>
    <w:rsid w:val="008F09CA"/>
    <w:rsid w:val="00900927"/>
    <w:rsid w:val="0090359A"/>
    <w:rsid w:val="00911EE4"/>
    <w:rsid w:val="00914662"/>
    <w:rsid w:val="00930553"/>
    <w:rsid w:val="00930B14"/>
    <w:rsid w:val="009324AB"/>
    <w:rsid w:val="00941308"/>
    <w:rsid w:val="009662DC"/>
    <w:rsid w:val="009701A4"/>
    <w:rsid w:val="00973822"/>
    <w:rsid w:val="009758E2"/>
    <w:rsid w:val="00976A2C"/>
    <w:rsid w:val="00986483"/>
    <w:rsid w:val="009A302F"/>
    <w:rsid w:val="009D5228"/>
    <w:rsid w:val="009E6324"/>
    <w:rsid w:val="009F77D3"/>
    <w:rsid w:val="00A03255"/>
    <w:rsid w:val="00A05668"/>
    <w:rsid w:val="00A21F6D"/>
    <w:rsid w:val="00A26C1F"/>
    <w:rsid w:val="00A37609"/>
    <w:rsid w:val="00A60259"/>
    <w:rsid w:val="00A6038C"/>
    <w:rsid w:val="00A64C35"/>
    <w:rsid w:val="00A96A92"/>
    <w:rsid w:val="00A97EEB"/>
    <w:rsid w:val="00AA3D24"/>
    <w:rsid w:val="00AA5371"/>
    <w:rsid w:val="00AB02ED"/>
    <w:rsid w:val="00AC07E2"/>
    <w:rsid w:val="00AE4378"/>
    <w:rsid w:val="00B11432"/>
    <w:rsid w:val="00B15A39"/>
    <w:rsid w:val="00B15DD7"/>
    <w:rsid w:val="00B62B04"/>
    <w:rsid w:val="00B71524"/>
    <w:rsid w:val="00BA2AB7"/>
    <w:rsid w:val="00BA61F4"/>
    <w:rsid w:val="00BC52CE"/>
    <w:rsid w:val="00BC6C09"/>
    <w:rsid w:val="00BD217F"/>
    <w:rsid w:val="00BF1374"/>
    <w:rsid w:val="00BF183C"/>
    <w:rsid w:val="00BF327B"/>
    <w:rsid w:val="00BF4E96"/>
    <w:rsid w:val="00C052D4"/>
    <w:rsid w:val="00C066BD"/>
    <w:rsid w:val="00C17699"/>
    <w:rsid w:val="00C2176F"/>
    <w:rsid w:val="00C22D10"/>
    <w:rsid w:val="00C252ED"/>
    <w:rsid w:val="00C3364D"/>
    <w:rsid w:val="00C3510D"/>
    <w:rsid w:val="00C60BB5"/>
    <w:rsid w:val="00CA08CF"/>
    <w:rsid w:val="00CA321D"/>
    <w:rsid w:val="00CA550C"/>
    <w:rsid w:val="00CD1078"/>
    <w:rsid w:val="00CD3E9D"/>
    <w:rsid w:val="00CD493A"/>
    <w:rsid w:val="00CD5894"/>
    <w:rsid w:val="00CD73B1"/>
    <w:rsid w:val="00CE173A"/>
    <w:rsid w:val="00CE437E"/>
    <w:rsid w:val="00CE782C"/>
    <w:rsid w:val="00D03073"/>
    <w:rsid w:val="00D06293"/>
    <w:rsid w:val="00D12B13"/>
    <w:rsid w:val="00D12E24"/>
    <w:rsid w:val="00D21988"/>
    <w:rsid w:val="00D32E21"/>
    <w:rsid w:val="00D337FB"/>
    <w:rsid w:val="00D76A07"/>
    <w:rsid w:val="00D77A83"/>
    <w:rsid w:val="00D817F5"/>
    <w:rsid w:val="00D81981"/>
    <w:rsid w:val="00D83ED0"/>
    <w:rsid w:val="00D95BD9"/>
    <w:rsid w:val="00DA5AB2"/>
    <w:rsid w:val="00DB0475"/>
    <w:rsid w:val="00DB3DC4"/>
    <w:rsid w:val="00DD1B60"/>
    <w:rsid w:val="00DD1CCA"/>
    <w:rsid w:val="00E020F1"/>
    <w:rsid w:val="00E168B3"/>
    <w:rsid w:val="00E5154E"/>
    <w:rsid w:val="00E536A7"/>
    <w:rsid w:val="00E5498B"/>
    <w:rsid w:val="00E54A4D"/>
    <w:rsid w:val="00E62364"/>
    <w:rsid w:val="00E716CC"/>
    <w:rsid w:val="00E7338C"/>
    <w:rsid w:val="00E97704"/>
    <w:rsid w:val="00EA3640"/>
    <w:rsid w:val="00EB17DD"/>
    <w:rsid w:val="00EE1CFB"/>
    <w:rsid w:val="00EE4B38"/>
    <w:rsid w:val="00F00AFE"/>
    <w:rsid w:val="00F02256"/>
    <w:rsid w:val="00F14CE2"/>
    <w:rsid w:val="00F176A5"/>
    <w:rsid w:val="00F477CC"/>
    <w:rsid w:val="00F5221A"/>
    <w:rsid w:val="00F63B65"/>
    <w:rsid w:val="00F7254F"/>
    <w:rsid w:val="00FD2D8F"/>
    <w:rsid w:val="00FE282D"/>
    <w:rsid w:val="00FE3A67"/>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5E354"/>
  <w15:chartTrackingRefBased/>
  <w15:docId w15:val="{CBD55EEA-0D9A-C849-8072-0EC1D66A3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C35"/>
  </w:style>
  <w:style w:type="paragraph" w:styleId="Heading1">
    <w:name w:val="heading 1"/>
    <w:basedOn w:val="Normal"/>
    <w:next w:val="Normal"/>
    <w:link w:val="Heading1Char"/>
    <w:uiPriority w:val="9"/>
    <w:qFormat/>
    <w:rsid w:val="006A5D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5D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5D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5D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5D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5D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5D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5D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5D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My Table"/>
    <w:basedOn w:val="TableNormal"/>
    <w:uiPriority w:val="39"/>
    <w:rsid w:val="0051618A"/>
    <w:pPr>
      <w:spacing w:after="0" w:line="240" w:lineRule="auto"/>
      <w:jc w:val="center"/>
    </w:pPr>
    <w:rPr>
      <w:rFonts w:ascii="Times New Roman" w:hAnsi="Times New Roman"/>
      <w:sz w:val="20"/>
    </w:rPr>
    <w:tblPr>
      <w:tblBorders>
        <w:top w:val="single" w:sz="4" w:space="0" w:color="auto"/>
        <w:bottom w:val="single" w:sz="4" w:space="0" w:color="auto"/>
      </w:tblBorders>
    </w:tblPr>
    <w:tcPr>
      <w:vAlign w:val="center"/>
    </w:tcPr>
  </w:style>
  <w:style w:type="character" w:customStyle="1" w:styleId="Heading1Char">
    <w:name w:val="Heading 1 Char"/>
    <w:basedOn w:val="DefaultParagraphFont"/>
    <w:link w:val="Heading1"/>
    <w:uiPriority w:val="9"/>
    <w:rsid w:val="006A5D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5D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5D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5D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5D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5D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5D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5D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5D60"/>
    <w:rPr>
      <w:rFonts w:eastAsiaTheme="majorEastAsia" w:cstheme="majorBidi"/>
      <w:color w:val="272727" w:themeColor="text1" w:themeTint="D8"/>
    </w:rPr>
  </w:style>
  <w:style w:type="paragraph" w:styleId="Title">
    <w:name w:val="Title"/>
    <w:basedOn w:val="Normal"/>
    <w:next w:val="Normal"/>
    <w:link w:val="TitleChar"/>
    <w:uiPriority w:val="10"/>
    <w:qFormat/>
    <w:rsid w:val="006A5D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5D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5D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5D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5D60"/>
    <w:pPr>
      <w:spacing w:before="160"/>
      <w:jc w:val="center"/>
    </w:pPr>
    <w:rPr>
      <w:i/>
      <w:iCs/>
      <w:color w:val="404040" w:themeColor="text1" w:themeTint="BF"/>
    </w:rPr>
  </w:style>
  <w:style w:type="character" w:customStyle="1" w:styleId="QuoteChar">
    <w:name w:val="Quote Char"/>
    <w:basedOn w:val="DefaultParagraphFont"/>
    <w:link w:val="Quote"/>
    <w:uiPriority w:val="29"/>
    <w:rsid w:val="006A5D60"/>
    <w:rPr>
      <w:i/>
      <w:iCs/>
      <w:color w:val="404040" w:themeColor="text1" w:themeTint="BF"/>
    </w:rPr>
  </w:style>
  <w:style w:type="paragraph" w:styleId="ListParagraph">
    <w:name w:val="List Paragraph"/>
    <w:basedOn w:val="Normal"/>
    <w:uiPriority w:val="34"/>
    <w:qFormat/>
    <w:rsid w:val="006A5D60"/>
    <w:pPr>
      <w:ind w:left="720"/>
      <w:contextualSpacing/>
    </w:pPr>
  </w:style>
  <w:style w:type="character" w:styleId="IntenseEmphasis">
    <w:name w:val="Intense Emphasis"/>
    <w:basedOn w:val="DefaultParagraphFont"/>
    <w:uiPriority w:val="21"/>
    <w:qFormat/>
    <w:rsid w:val="006A5D60"/>
    <w:rPr>
      <w:i/>
      <w:iCs/>
      <w:color w:val="0F4761" w:themeColor="accent1" w:themeShade="BF"/>
    </w:rPr>
  </w:style>
  <w:style w:type="paragraph" w:styleId="IntenseQuote">
    <w:name w:val="Intense Quote"/>
    <w:basedOn w:val="Normal"/>
    <w:next w:val="Normal"/>
    <w:link w:val="IntenseQuoteChar"/>
    <w:uiPriority w:val="30"/>
    <w:qFormat/>
    <w:rsid w:val="006A5D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5D60"/>
    <w:rPr>
      <w:i/>
      <w:iCs/>
      <w:color w:val="0F4761" w:themeColor="accent1" w:themeShade="BF"/>
    </w:rPr>
  </w:style>
  <w:style w:type="character" w:styleId="IntenseReference">
    <w:name w:val="Intense Reference"/>
    <w:basedOn w:val="DefaultParagraphFont"/>
    <w:uiPriority w:val="32"/>
    <w:qFormat/>
    <w:rsid w:val="006A5D60"/>
    <w:rPr>
      <w:b/>
      <w:bCs/>
      <w:smallCaps/>
      <w:color w:val="0F4761" w:themeColor="accent1" w:themeShade="BF"/>
      <w:spacing w:val="5"/>
    </w:rPr>
  </w:style>
  <w:style w:type="character" w:styleId="Emphasis">
    <w:name w:val="Emphasis"/>
    <w:basedOn w:val="DefaultParagraphFont"/>
    <w:uiPriority w:val="20"/>
    <w:qFormat/>
    <w:rsid w:val="006A5D60"/>
    <w:rPr>
      <w:i/>
      <w:iCs/>
    </w:rPr>
  </w:style>
  <w:style w:type="character" w:styleId="Strong">
    <w:name w:val="Strong"/>
    <w:basedOn w:val="DefaultParagraphFont"/>
    <w:uiPriority w:val="22"/>
    <w:qFormat/>
    <w:rsid w:val="006A5D60"/>
    <w:rPr>
      <w:b/>
      <w:bCs/>
    </w:rPr>
  </w:style>
  <w:style w:type="paragraph" w:styleId="NormalWeb">
    <w:name w:val="Normal (Web)"/>
    <w:basedOn w:val="Normal"/>
    <w:uiPriority w:val="99"/>
    <w:unhideWhenUsed/>
    <w:rsid w:val="006A5D6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243D2B"/>
    <w:rPr>
      <w:color w:val="666666"/>
    </w:rPr>
  </w:style>
  <w:style w:type="paragraph" w:styleId="Bibliography">
    <w:name w:val="Bibliography"/>
    <w:basedOn w:val="Normal"/>
    <w:next w:val="Normal"/>
    <w:uiPriority w:val="37"/>
    <w:unhideWhenUsed/>
    <w:rsid w:val="000011E7"/>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0D3B8B"/>
    <w:rPr>
      <w:sz w:val="16"/>
      <w:szCs w:val="16"/>
    </w:rPr>
  </w:style>
  <w:style w:type="paragraph" w:styleId="CommentText">
    <w:name w:val="annotation text"/>
    <w:basedOn w:val="Normal"/>
    <w:link w:val="CommentTextChar"/>
    <w:uiPriority w:val="99"/>
    <w:unhideWhenUsed/>
    <w:rsid w:val="000D3B8B"/>
    <w:pPr>
      <w:spacing w:line="240" w:lineRule="auto"/>
    </w:pPr>
    <w:rPr>
      <w:sz w:val="20"/>
      <w:szCs w:val="20"/>
    </w:rPr>
  </w:style>
  <w:style w:type="character" w:customStyle="1" w:styleId="CommentTextChar">
    <w:name w:val="Comment Text Char"/>
    <w:basedOn w:val="DefaultParagraphFont"/>
    <w:link w:val="CommentText"/>
    <w:uiPriority w:val="99"/>
    <w:rsid w:val="000D3B8B"/>
    <w:rPr>
      <w:sz w:val="20"/>
      <w:szCs w:val="20"/>
    </w:rPr>
  </w:style>
  <w:style w:type="paragraph" w:styleId="CommentSubject">
    <w:name w:val="annotation subject"/>
    <w:basedOn w:val="CommentText"/>
    <w:next w:val="CommentText"/>
    <w:link w:val="CommentSubjectChar"/>
    <w:uiPriority w:val="99"/>
    <w:semiHidden/>
    <w:unhideWhenUsed/>
    <w:rsid w:val="000D3B8B"/>
    <w:rPr>
      <w:b/>
      <w:bCs/>
    </w:rPr>
  </w:style>
  <w:style w:type="character" w:customStyle="1" w:styleId="CommentSubjectChar">
    <w:name w:val="Comment Subject Char"/>
    <w:basedOn w:val="CommentTextChar"/>
    <w:link w:val="CommentSubject"/>
    <w:uiPriority w:val="99"/>
    <w:semiHidden/>
    <w:rsid w:val="000D3B8B"/>
    <w:rPr>
      <w:b/>
      <w:bCs/>
      <w:sz w:val="20"/>
      <w:szCs w:val="20"/>
    </w:rPr>
  </w:style>
  <w:style w:type="paragraph" w:styleId="Revision">
    <w:name w:val="Revision"/>
    <w:hidden/>
    <w:uiPriority w:val="99"/>
    <w:semiHidden/>
    <w:rsid w:val="000D3B8B"/>
    <w:pPr>
      <w:spacing w:after="0" w:line="240" w:lineRule="auto"/>
    </w:pPr>
  </w:style>
  <w:style w:type="character" w:styleId="Hyperlink">
    <w:name w:val="Hyperlink"/>
    <w:basedOn w:val="DefaultParagraphFont"/>
    <w:uiPriority w:val="99"/>
    <w:unhideWhenUsed/>
    <w:rsid w:val="00673DDD"/>
    <w:rPr>
      <w:color w:val="467886" w:themeColor="hyperlink"/>
      <w:u w:val="single"/>
    </w:rPr>
  </w:style>
  <w:style w:type="character" w:styleId="UnresolvedMention">
    <w:name w:val="Unresolved Mention"/>
    <w:basedOn w:val="DefaultParagraphFont"/>
    <w:uiPriority w:val="99"/>
    <w:semiHidden/>
    <w:unhideWhenUsed/>
    <w:rsid w:val="00673DDD"/>
    <w:rPr>
      <w:color w:val="605E5C"/>
      <w:shd w:val="clear" w:color="auto" w:fill="E1DFDD"/>
    </w:rPr>
  </w:style>
  <w:style w:type="paragraph" w:styleId="FootnoteText">
    <w:name w:val="footnote text"/>
    <w:basedOn w:val="Normal"/>
    <w:link w:val="FootnoteTextChar"/>
    <w:uiPriority w:val="99"/>
    <w:semiHidden/>
    <w:unhideWhenUsed/>
    <w:rsid w:val="00BA2AB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A2AB7"/>
    <w:rPr>
      <w:sz w:val="20"/>
      <w:szCs w:val="20"/>
    </w:rPr>
  </w:style>
  <w:style w:type="character" w:styleId="FootnoteReference">
    <w:name w:val="footnote reference"/>
    <w:basedOn w:val="DefaultParagraphFont"/>
    <w:uiPriority w:val="99"/>
    <w:semiHidden/>
    <w:unhideWhenUsed/>
    <w:rsid w:val="00BA2AB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71D0C4-30F2-BE4A-B03D-DCBEC80C7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15</Pages>
  <Words>15958</Words>
  <Characters>90967</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#WANG ZIHAO#</dc:creator>
  <cp:keywords/>
  <dc:description/>
  <cp:lastModifiedBy>#WANG ZIHAO#</cp:lastModifiedBy>
  <cp:revision>201</cp:revision>
  <cp:lastPrinted>2025-09-09T09:14:00Z</cp:lastPrinted>
  <dcterms:created xsi:type="dcterms:W3CDTF">2025-10-10T08:53:00Z</dcterms:created>
  <dcterms:modified xsi:type="dcterms:W3CDTF">2025-11-21T07:41:00Z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id="SrcBmsTX"/&gt;&lt;style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