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C12A50A" w:rsidR="00276DCE" w:rsidRPr="00276DCE"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Pr="00276DCE">
        <w:rPr>
          <w:sz w:val="20"/>
          <w:szCs w:val="20"/>
        </w:rPr>
        <w:t xml:space="preserve">. Resistance to doxycycline and extended-spectrum cephalosporins (ESCs), such as ceftriaxone (i.e., the current first-line and last-resort antibiotic for gonorrhoea) </w:t>
      </w:r>
      <w:r w:rsidRPr="00276DCE">
        <w:rPr>
          <w:sz w:val="20"/>
          <w:szCs w:val="20"/>
        </w:rPr>
        <w:fldChar w:fldCharType="begin"/>
      </w:r>
      <w:r w:rsidRPr="00276DCE">
        <w:rPr>
          <w:sz w:val="20"/>
          <w:szCs w:val="20"/>
        </w:rPr>
        <w:instrText xml:space="preserve"> ADDIN ZOTERO_ITEM CSL_CITATION {"citationID":"HA6H20NO","properties":{"formattedCitation":"[4]","plainCitation":"[4]","noteIndex":0},"citationItems":[{"id":408,"uris":["http://zotero.org/users/9663344/items/PRBSX5RW"],"itemData":{"id":408,"type":"article-journal","container-title":"International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Pr="00276DCE">
        <w:rPr>
          <w:color w:val="000000" w:themeColor="text1"/>
          <w:sz w:val="20"/>
          <w:szCs w:val="20"/>
        </w:rPr>
        <w:t xml:space="preserve">. </w:t>
      </w:r>
    </w:p>
    <w:p w14:paraId="0C3010C3" w14:textId="4F5301DD"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proofErr w:type="spellStart"/>
      <w:r w:rsidRPr="00276DCE">
        <w:rPr>
          <w:rStyle w:val="Emphasis"/>
          <w:rFonts w:eastAsiaTheme="majorEastAsia"/>
          <w:sz w:val="20"/>
          <w:szCs w:val="20"/>
        </w:rPr>
        <w:t>tetM</w:t>
      </w:r>
      <w:proofErr w:type="spellEnd"/>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{"citationID":"FjiRzlKO","properties":{"formattedCitation":"[2], [5]","plainCitation":"[2], [5]","noteIndex":0},"citationItems":[{"id":287,"uris":["http://zotero.org/users/9663344/items/UD4GZWU4"],"itemData":{"id":287,"type":"article-journal","container-title":"The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 [5]</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572352C8"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Pr="00276DCE">
        <w:rPr>
          <w:sz w:val="20"/>
          <w:szCs w:val="20"/>
        </w:rPr>
        <w:instrText xml:space="preserve"> ADDIN ZOTERO_ITEM CSL_CITATION {"citationID":"qvdfD3iE","properties":{"formattedCitation":"[6], [7]","plainCitation":"[6], [7]","noteIndex":0},"citationItems":[{"id":152,"uris":["http://zotero.org/users/9663344/items/WHKA7ZDX"],"itemData":{"id":152,"type":"article-journal","abstract":"BACKGROUND: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Tao"}],"issued":{"date-parts":[["2025",2]]}}},{"id":56,"uris":["http://zotero.org/users/9663344/items/5RLZEHF8","http://zotero.org/users/9663344/items/KT468CMT"],"itemData":{"id":56,"type":"article-journal","abstract":"Background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Pr="00276DCE">
        <w:rPr>
          <w:noProof/>
          <w:sz w:val="20"/>
          <w:szCs w:val="20"/>
        </w:rPr>
        <w:t>[6], [7]</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Pr="00276DCE">
        <w:rPr>
          <w:sz w:val="20"/>
          <w:szCs w:val="20"/>
        </w:rPr>
        <w:instrText xml:space="preserve"> ADDIN ZOTERO_ITEM CSL_CITATION {"citationID":"HPOzFcKr","properties":{"formattedCitation":"[8]","plainCitation":"[8]","noteIndex":0},"citationItems":[{"id":409,"uris":["http://zotero.org/users/9663344/items/S8TLUVMP"],"itemData":{"id":409,"type":"article-journal","container-title":"The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Pr="00276DCE">
        <w:rPr>
          <w:noProof/>
          <w:sz w:val="20"/>
          <w:szCs w:val="20"/>
        </w:rPr>
        <w:t>[8]</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620A7552"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Pr="00276DCE">
        <w:rPr>
          <w:color w:val="000000" w:themeColor="text1"/>
          <w:sz w:val="20"/>
          <w:szCs w:val="20"/>
          <w:shd w:val="clear" w:color="auto" w:fill="FFFFFF"/>
        </w:rPr>
        <w:instrText xml:space="preserve"> ADDIN ZOTERO_ITEM CSL_CITATION {"citationID":"izu2g4UO","properties":{"formattedCitation":"[9], [10], [11]","plainCitation":"[9], [10], [11]","noteIndex":0},"citationItems":[{"id":174,"uris":["http://zotero.org/users/9663344/items/9QGBX5LM"],"itemData":{"id":174,"type":"article-journal","abstract":"Mathematical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Pr="00276DCE">
        <w:rPr>
          <w:noProof/>
          <w:color w:val="000000" w:themeColor="text1"/>
          <w:sz w:val="20"/>
          <w:szCs w:val="20"/>
          <w:shd w:val="clear" w:color="auto" w:fill="FFFFFF"/>
        </w:rPr>
        <w:t>[9], [10], [11]</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Pr="00276DCE">
        <w:rPr>
          <w:sz w:val="20"/>
          <w:szCs w:val="20"/>
        </w:rPr>
        <w:instrText xml:space="preserve"> ADDIN ZOTERO_ITEM CSL_CITATION {"citationID":"Jf1aabV3","properties":{"formattedCitation":"[12], [13]","plainCitation":"[12], [13]","noteIndex":0},"citationItems":[{"id":297,"uris":["http://zotero.org/users/9663344/items/KC9H5ARD"],"itemData":{"id":297,"type":"article-journal","abstract":"Gonorrhea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Pr="00276DCE">
        <w:rPr>
          <w:noProof/>
          <w:sz w:val="20"/>
          <w:szCs w:val="20"/>
        </w:rPr>
        <w:t>[12], [13]</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64F004C3"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Pr="00276DCE">
        <w:rPr>
          <w:sz w:val="20"/>
          <w:szCs w:val="20"/>
        </w:rPr>
        <w:instrText xml:space="preserve"> ADDIN ZOTERO_ITEM CSL_CITATION {"citationID":"bWgM7jis","properties":{"formattedCitation":"[4]","plainCitation":"[4]","noteIndex":0},"citationItems":[{"id":408,"uris":["http://zotero.org/users/9663344/items/PRBSX5RW"],"itemData":{"id":408,"type":"article-journal","container-title":"International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3B448AEE" w:rsidR="006B751E" w:rsidRDefault="006B751E"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F9299B6" wp14:editId="1EA2BBA4">
            <wp:extent cx="8057584" cy="4572000"/>
            <wp:effectExtent l="0" t="0" r="0" b="0"/>
            <wp:docPr id="1364331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1307" name="Picture 1364331307"/>
                    <pic:cNvPicPr/>
                  </pic:nvPicPr>
                  <pic:blipFill>
                    <a:blip r:embed="rId5"/>
                    <a:stretch>
                      <a:fillRect/>
                    </a:stretch>
                  </pic:blipFill>
                  <pic:spPr>
                    <a:xfrm>
                      <a:off x="0" y="0"/>
                      <a:ext cx="8057584" cy="4572000"/>
                    </a:xfrm>
                    <a:prstGeom prst="rect">
                      <a:avLst/>
                    </a:prstGeom>
                  </pic:spPr>
                </pic:pic>
              </a:graphicData>
            </a:graphic>
          </wp:inline>
        </w:drawing>
      </w:r>
    </w:p>
    <w:p w14:paraId="31E0DDFF" w14:textId="213BD1EF" w:rsidR="009701A4" w:rsidRDefault="009701A4" w:rsidP="009701A4">
      <w:pPr>
        <w:pStyle w:val="NormalWeb"/>
        <w:spacing w:line="276" w:lineRule="auto"/>
        <w:jc w:val="both"/>
        <w:rPr>
          <w:sz w:val="20"/>
          <w:szCs w:val="20"/>
        </w:rPr>
      </w:pPr>
      <w:r>
        <w:rPr>
          <w:sz w:val="20"/>
          <w:szCs w:val="20"/>
        </w:rPr>
        <w:t>Fig. 1: Gonorrhoea transmission model.</w:t>
      </w:r>
    </w:p>
    <w:p w14:paraId="7C5425F1" w14:textId="775567F3" w:rsidR="00276DCE" w:rsidRPr="00276DCE" w:rsidRDefault="00624970" w:rsidP="00276DCE">
      <w:pPr>
        <w:pStyle w:val="NormalWeb"/>
        <w:spacing w:line="276" w:lineRule="auto"/>
        <w:jc w:val="both"/>
        <w:rPr>
          <w:sz w:val="20"/>
          <w:szCs w:val="20"/>
        </w:rPr>
      </w:pPr>
      <w:r>
        <w:rPr>
          <w:noProof/>
          <w:sz w:val="20"/>
          <w:szCs w:val="20"/>
          <w14:ligatures w14:val="standardContextual"/>
        </w:rPr>
        <w:lastRenderedPageBreak/>
        <w:drawing>
          <wp:inline distT="0" distB="0" distL="0" distR="0" wp14:anchorId="62791C9D" wp14:editId="24E799F8">
            <wp:extent cx="8863330" cy="3553460"/>
            <wp:effectExtent l="0" t="0" r="1270" b="0"/>
            <wp:docPr id="860200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00747" name="Picture 860200747"/>
                    <pic:cNvPicPr/>
                  </pic:nvPicPr>
                  <pic:blipFill>
                    <a:blip r:embed="rId6"/>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w:t>
      </w:r>
      <w:r w:rsidRPr="00276DCE">
        <w:rPr>
          <w:rFonts w:ascii="Times New Roman" w:hAnsi="Times New Roman" w:cs="Times New Roman"/>
          <w:color w:val="000000" w:themeColor="text1"/>
          <w:sz w:val="20"/>
          <w:szCs w:val="20"/>
        </w:rPr>
        <w:lastRenderedPageBreak/>
        <w:t xml:space="preserve">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265C82F7" w14:textId="77777777" w:rsidR="003300DF" w:rsidRDefault="003300DF"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DF6C332" w14:textId="77777777" w:rsidTr="004F3D14">
        <w:tc>
          <w:tcPr>
            <w:tcW w:w="2250" w:type="dxa"/>
          </w:tcPr>
          <w:p w14:paraId="45ADDF1C"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Symbol</w:t>
            </w:r>
          </w:p>
        </w:tc>
        <w:tc>
          <w:tcPr>
            <w:tcW w:w="6776" w:type="dxa"/>
          </w:tcPr>
          <w:p w14:paraId="3A551AED"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5B2DA0" w14:paraId="49B340AF" w14:textId="77777777" w:rsidTr="004F3D14">
        <w:tc>
          <w:tcPr>
            <w:tcW w:w="2250" w:type="dxa"/>
          </w:tcPr>
          <w:p w14:paraId="660A885C" w14:textId="0BD1F3E7" w:rsidR="005B2DA0" w:rsidRPr="000D0539"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β</m:t>
                </m:r>
              </m:oMath>
            </m:oMathPara>
          </w:p>
        </w:tc>
        <w:tc>
          <w:tcPr>
            <w:tcW w:w="6776" w:type="dxa"/>
          </w:tcPr>
          <w:p w14:paraId="3D1E2D0E" w14:textId="1470F077"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r>
      <w:tr w:rsidR="005B2DA0" w14:paraId="39BD5428" w14:textId="77777777" w:rsidTr="004F3D14">
        <w:tc>
          <w:tcPr>
            <w:tcW w:w="2250" w:type="dxa"/>
          </w:tcPr>
          <w:p w14:paraId="30C56F44" w14:textId="36127DDE" w:rsidR="005B2DA0" w:rsidRPr="005B2DA0"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ϕ</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β</m:t>
                    </m:r>
                  </m:sub>
                </m:sSub>
              </m:oMath>
            </m:oMathPara>
          </w:p>
        </w:tc>
        <w:tc>
          <w:tcPr>
            <w:tcW w:w="6776" w:type="dxa"/>
          </w:tcPr>
          <w:p w14:paraId="214A481D" w14:textId="67F65BB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r>
      <w:tr w:rsidR="005B2DA0" w14:paraId="5E1821BC" w14:textId="77777777" w:rsidTr="004F3D14">
        <w:tc>
          <w:tcPr>
            <w:tcW w:w="2250" w:type="dxa"/>
          </w:tcPr>
          <w:p w14:paraId="75918587" w14:textId="70E7C2E9" w:rsidR="005B2DA0"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6776" w:type="dxa"/>
          </w:tcPr>
          <w:p w14:paraId="6ABC8A72" w14:textId="478E6D4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r>
      <w:tr w:rsidR="004F3D14" w14:paraId="065F0E53" w14:textId="77777777" w:rsidTr="004F3D14">
        <w:tc>
          <w:tcPr>
            <w:tcW w:w="2250" w:type="dxa"/>
          </w:tcPr>
          <w:p w14:paraId="3CA6493C"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σ</m:t>
                </m:r>
              </m:oMath>
            </m:oMathPara>
          </w:p>
        </w:tc>
        <w:tc>
          <w:tcPr>
            <w:tcW w:w="6776" w:type="dxa"/>
          </w:tcPr>
          <w:p w14:paraId="5254481B"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r>
      <w:tr w:rsidR="004F3D14" w14:paraId="5E3301AA" w14:textId="77777777" w:rsidTr="004F3D14">
        <w:tc>
          <w:tcPr>
            <w:tcW w:w="2250" w:type="dxa"/>
          </w:tcPr>
          <w:p w14:paraId="07B549D1"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ψ</m:t>
                </m:r>
              </m:oMath>
            </m:oMathPara>
          </w:p>
        </w:tc>
        <w:tc>
          <w:tcPr>
            <w:tcW w:w="6776" w:type="dxa"/>
          </w:tcPr>
          <w:p w14:paraId="50DD8B3A"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r>
      <w:tr w:rsidR="004F3D14" w14:paraId="392AFED9" w14:textId="77777777" w:rsidTr="004F3D14">
        <w:tc>
          <w:tcPr>
            <w:tcW w:w="2250" w:type="dxa"/>
          </w:tcPr>
          <w:p w14:paraId="65D3CF8A"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μ</m:t>
                </m:r>
              </m:oMath>
            </m:oMathPara>
          </w:p>
        </w:tc>
        <w:tc>
          <w:tcPr>
            <w:tcW w:w="6776" w:type="dxa"/>
          </w:tcPr>
          <w:p w14:paraId="09CDD9D9"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r>
      <w:tr w:rsidR="004F3D14" w14:paraId="45FEBF02" w14:textId="77777777" w:rsidTr="004F3D14">
        <w:tc>
          <w:tcPr>
            <w:tcW w:w="2250" w:type="dxa"/>
          </w:tcPr>
          <w:p w14:paraId="417F9A55"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η</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57507E01"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r>
      <w:tr w:rsidR="00C052D4" w14:paraId="0625B934" w14:textId="77777777" w:rsidTr="004F3D14">
        <w:tc>
          <w:tcPr>
            <w:tcW w:w="2250" w:type="dxa"/>
          </w:tcPr>
          <w:p w14:paraId="31284754" w14:textId="70BFF53D" w:rsidR="00C052D4" w:rsidRDefault="00C052D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ω</m:t>
                </m:r>
              </m:oMath>
            </m:oMathPara>
          </w:p>
        </w:tc>
        <w:tc>
          <w:tcPr>
            <w:tcW w:w="6776" w:type="dxa"/>
          </w:tcPr>
          <w:p w14:paraId="71452EEA" w14:textId="06E3F7BF"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r>
      <w:tr w:rsidR="00C052D4" w14:paraId="1C685687" w14:textId="77777777" w:rsidTr="004F3D14">
        <w:tc>
          <w:tcPr>
            <w:tcW w:w="2250" w:type="dxa"/>
          </w:tcPr>
          <w:p w14:paraId="1BB6960E" w14:textId="4DC9053A" w:rsidR="00C052D4" w:rsidRPr="00C052D4" w:rsidRDefault="00C052D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ϕ</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η</m:t>
                    </m:r>
                  </m:sub>
                </m:sSub>
              </m:oMath>
            </m:oMathPara>
          </w:p>
        </w:tc>
        <w:tc>
          <w:tcPr>
            <w:tcW w:w="6776" w:type="dxa"/>
          </w:tcPr>
          <w:p w14:paraId="46A754AD" w14:textId="592F3391"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r>
      <w:tr w:rsidR="004F3D14" w14:paraId="4F3DA726" w14:textId="77777777" w:rsidTr="004F3D14">
        <w:tc>
          <w:tcPr>
            <w:tcW w:w="2250" w:type="dxa"/>
          </w:tcPr>
          <w:p w14:paraId="58F296FA"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ρ</m:t>
                </m:r>
              </m:oMath>
            </m:oMathPara>
          </w:p>
        </w:tc>
        <w:tc>
          <w:tcPr>
            <w:tcW w:w="6776" w:type="dxa"/>
          </w:tcPr>
          <w:p w14:paraId="6D96DA32"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r>
      <w:tr w:rsidR="004F3D14" w14:paraId="43FA947F" w14:textId="77777777" w:rsidTr="004F3D14">
        <w:tc>
          <w:tcPr>
            <w:tcW w:w="2250" w:type="dxa"/>
          </w:tcPr>
          <w:p w14:paraId="0B4247BB"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ν</m:t>
                </m:r>
              </m:oMath>
            </m:oMathPara>
          </w:p>
        </w:tc>
        <w:tc>
          <w:tcPr>
            <w:tcW w:w="6776" w:type="dxa"/>
          </w:tcPr>
          <w:p w14:paraId="08C68C21"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r>
    </w:tbl>
    <w:p w14:paraId="1CC09B5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54AB8378" w14:textId="77777777" w:rsidTr="00BB3EC6">
        <w:tc>
          <w:tcPr>
            <w:tcW w:w="2250" w:type="dxa"/>
          </w:tcPr>
          <w:p w14:paraId="7BDE15F9" w14:textId="31174748"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11FDE79F" w14:textId="77777777" w:rsidR="004F3D14" w:rsidRDefault="004F3D14"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C052D4" w14:paraId="0FE9BADD" w14:textId="77777777" w:rsidTr="00BB3EC6">
        <w:tc>
          <w:tcPr>
            <w:tcW w:w="2250" w:type="dxa"/>
          </w:tcPr>
          <w:p w14:paraId="19EF6B92" w14:textId="7A1CAC04"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ϕ</m:t>
                </m:r>
              </m:oMath>
            </m:oMathPara>
          </w:p>
        </w:tc>
        <w:tc>
          <w:tcPr>
            <w:tcW w:w="6776" w:type="dxa"/>
          </w:tcPr>
          <w:p w14:paraId="10FE8966" w14:textId="3900185B"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r>
      <w:tr w:rsidR="00C052D4" w14:paraId="699D2D6D" w14:textId="77777777" w:rsidTr="00BB3EC6">
        <w:tc>
          <w:tcPr>
            <w:tcW w:w="2250" w:type="dxa"/>
          </w:tcPr>
          <w:p w14:paraId="52DF8216" w14:textId="41EE332A"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638E6A9E" w14:textId="72BD68F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r>
      <w:tr w:rsidR="00C052D4" w14:paraId="7A45BEF9" w14:textId="77777777" w:rsidTr="00BB3EC6">
        <w:tc>
          <w:tcPr>
            <w:tcW w:w="2250" w:type="dxa"/>
          </w:tcPr>
          <w:p w14:paraId="74FE6CD8" w14:textId="676FF556"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5FA28E9B" w14:textId="4D23D3F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r>
      <w:tr w:rsidR="00C052D4" w14:paraId="23AF0A2D" w14:textId="77777777" w:rsidTr="00BB3EC6">
        <w:tc>
          <w:tcPr>
            <w:tcW w:w="2250" w:type="dxa"/>
          </w:tcPr>
          <w:p w14:paraId="40A856B6" w14:textId="72875789"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6776" w:type="dxa"/>
          </w:tcPr>
          <w:p w14:paraId="1513624E" w14:textId="4D36146F"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r>
      <w:tr w:rsidR="00C052D4" w14:paraId="64BD0E48" w14:textId="77777777" w:rsidTr="00BB3EC6">
        <w:tc>
          <w:tcPr>
            <w:tcW w:w="2250" w:type="dxa"/>
          </w:tcPr>
          <w:p w14:paraId="3F14E964" w14:textId="7B59DB5F"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204A7D7E" w14:textId="4141C5CC"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r>
      <w:tr w:rsidR="00C052D4" w14:paraId="4B2059D4" w14:textId="77777777" w:rsidTr="00BB3EC6">
        <w:tc>
          <w:tcPr>
            <w:tcW w:w="2250" w:type="dxa"/>
          </w:tcPr>
          <w:p w14:paraId="2D3643C5" w14:textId="134DE75F"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15D29810" w14:textId="2EB1ED3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r>
      <w:tr w:rsidR="00C052D4" w14:paraId="49F709FF" w14:textId="77777777" w:rsidTr="00BB3EC6">
        <w:tc>
          <w:tcPr>
            <w:tcW w:w="2250" w:type="dxa"/>
          </w:tcPr>
          <w:p w14:paraId="5F2F52CC" w14:textId="020AC059"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35885379" w14:textId="7181D9B1"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r>
      <w:tr w:rsidR="00C052D4" w14:paraId="46C6533E" w14:textId="77777777" w:rsidTr="00BB3EC6">
        <w:tc>
          <w:tcPr>
            <w:tcW w:w="2250" w:type="dxa"/>
          </w:tcPr>
          <w:p w14:paraId="16E99D95" w14:textId="1D894075"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1B4F2836" w14:textId="357A9B27"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4CMenB efficacy against gonorrhoea infection</w:t>
            </w:r>
          </w:p>
        </w:tc>
      </w:tr>
      <w:tr w:rsidR="00C052D4" w14:paraId="7DACFBA3" w14:textId="77777777" w:rsidTr="00BB3EC6">
        <w:tc>
          <w:tcPr>
            <w:tcW w:w="2250" w:type="dxa"/>
          </w:tcPr>
          <w:p w14:paraId="355ED9D7" w14:textId="3B9EE80E"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12D7D903" w14:textId="5A39467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r>
      <w:tr w:rsidR="00C052D4" w14:paraId="2B2479D5" w14:textId="77777777" w:rsidTr="00BB3EC6">
        <w:tc>
          <w:tcPr>
            <w:tcW w:w="2250" w:type="dxa"/>
          </w:tcPr>
          <w:p w14:paraId="55A89678" w14:textId="625113DA"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3FA1541C" w14:textId="5B737D1E"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r>
      <w:tr w:rsidR="00C052D4" w14:paraId="03E90163" w14:textId="77777777" w:rsidTr="00BB3EC6">
        <w:tc>
          <w:tcPr>
            <w:tcW w:w="2250" w:type="dxa"/>
          </w:tcPr>
          <w:p w14:paraId="337ED82A" w14:textId="7893C974"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ξ</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n</m:t>
                    </m:r>
                  </m:sub>
                </m:sSub>
              </m:oMath>
            </m:oMathPara>
          </w:p>
        </w:tc>
        <w:tc>
          <w:tcPr>
            <w:tcW w:w="6776" w:type="dxa"/>
          </w:tcPr>
          <w:p w14:paraId="243798AE" w14:textId="58A45403"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r>
      <w:tr w:rsidR="00C052D4" w14:paraId="111A6694" w14:textId="77777777" w:rsidTr="00BB3EC6">
        <w:tc>
          <w:tcPr>
            <w:tcW w:w="2250" w:type="dxa"/>
          </w:tcPr>
          <w:p w14:paraId="127EFC57" w14:textId="3337CE15"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ξ</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2CA355AC" w14:textId="7EE9D10B"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Duration of protection of 4CMenB</w:t>
            </w:r>
          </w:p>
        </w:tc>
      </w:tr>
    </w:tbl>
    <w:p w14:paraId="0DD33D2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E1B23A8" w14:textId="77777777" w:rsidTr="00BB3EC6">
        <w:tc>
          <w:tcPr>
            <w:tcW w:w="2250" w:type="dxa"/>
          </w:tcPr>
          <w:p w14:paraId="29B9B013" w14:textId="02E10F6F"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53A4A357" w14:textId="77777777" w:rsidR="004F3D14" w:rsidRDefault="004F3D14" w:rsidP="00422602">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4F3D14" w14:paraId="630138A3" w14:textId="77777777" w:rsidTr="00BB3EC6">
        <w:tc>
          <w:tcPr>
            <w:tcW w:w="2250" w:type="dxa"/>
          </w:tcPr>
          <w:p w14:paraId="2233E92E" w14:textId="5200E0FC"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3C855B02" w14:textId="2115EC7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r>
      <w:tr w:rsidR="004F3D14" w14:paraId="30C867BF" w14:textId="77777777" w:rsidTr="00BB3EC6">
        <w:tc>
          <w:tcPr>
            <w:tcW w:w="2250" w:type="dxa"/>
          </w:tcPr>
          <w:p w14:paraId="40E6A80C" w14:textId="5F41FC04" w:rsid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α</m:t>
                </m:r>
              </m:oMath>
            </m:oMathPara>
          </w:p>
        </w:tc>
        <w:tc>
          <w:tcPr>
            <w:tcW w:w="6776" w:type="dxa"/>
          </w:tcPr>
          <w:p w14:paraId="6BC99E3C" w14:textId="5BB717BF"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r>
      <w:tr w:rsidR="004F3D14" w14:paraId="576543A1" w14:textId="77777777" w:rsidTr="00BB3EC6">
        <w:tc>
          <w:tcPr>
            <w:tcW w:w="2250" w:type="dxa"/>
          </w:tcPr>
          <w:p w14:paraId="1340DF49" w14:textId="43004337" w:rsid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γ</m:t>
                </m:r>
              </m:oMath>
            </m:oMathPara>
          </w:p>
        </w:tc>
        <w:tc>
          <w:tcPr>
            <w:tcW w:w="6776" w:type="dxa"/>
          </w:tcPr>
          <w:p w14:paraId="3AC29F47" w14:textId="75ED579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r>
      <w:tr w:rsidR="004F3D14" w14:paraId="4F312C62" w14:textId="77777777" w:rsidTr="00BB3EC6">
        <w:tc>
          <w:tcPr>
            <w:tcW w:w="2250" w:type="dxa"/>
          </w:tcPr>
          <w:p w14:paraId="1A6A6A1A" w14:textId="79E63BC3" w:rsidR="004F3D14" w:rsidRP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7F7539A3" w14:textId="4973D2FD"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r>
      <w:tr w:rsidR="004F3D14" w14:paraId="640C8E0D" w14:textId="77777777" w:rsidTr="00BB3EC6">
        <w:tc>
          <w:tcPr>
            <w:tcW w:w="2250" w:type="dxa"/>
          </w:tcPr>
          <w:p w14:paraId="13667A1D" w14:textId="013D18FF" w:rsidR="004F3D14" w:rsidRPr="004F3D14" w:rsidRDefault="004F3D14" w:rsidP="004F3D14">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5D676EA5" w14:textId="6E495AE4"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r>
      <w:tr w:rsidR="004F3D14" w14:paraId="094663E1" w14:textId="77777777" w:rsidTr="00BB3EC6">
        <w:tc>
          <w:tcPr>
            <w:tcW w:w="2250" w:type="dxa"/>
          </w:tcPr>
          <w:p w14:paraId="6DB40329" w14:textId="51A05662" w:rsidR="004F3D14" w:rsidRPr="004F3D14" w:rsidRDefault="004F3D14" w:rsidP="004F3D1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2DEA1C24" w14:textId="41BC5ED1"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r>
      <w:tr w:rsidR="004F3D14" w14:paraId="14F16377" w14:textId="77777777" w:rsidTr="00BB3EC6">
        <w:tc>
          <w:tcPr>
            <w:tcW w:w="2250" w:type="dxa"/>
          </w:tcPr>
          <w:p w14:paraId="4711EC32" w14:textId="0EE50337" w:rsidR="004F3D14" w:rsidRPr="004F3D14" w:rsidRDefault="004F3D14" w:rsidP="004F3D1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c</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159F223E" w14:textId="01B09DE4"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r>
    </w:tbl>
    <w:p w14:paraId="1141F0A5"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4BA44DF8"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2BFC0B48"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sectPr w:rsidR="004F3D14">
          <w:pgSz w:w="11906" w:h="16838"/>
          <w:pgMar w:top="1440" w:right="1440" w:bottom="1440" w:left="1440" w:header="708" w:footer="708" w:gutter="0"/>
          <w:cols w:space="708"/>
          <w:docGrid w:linePitch="360"/>
        </w:sectPr>
      </w:pPr>
    </w:p>
    <w:p w14:paraId="7848A7C5" w14:textId="14F27004" w:rsidR="00E168B3" w:rsidRPr="001C5B10"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0133AA22" w14:textId="77777777" w:rsidR="00276DCE" w:rsidRPr="00276DCE" w:rsidRDefault="00802477"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eastAsia="Times New Roman" w:hAnsi="Times New Roman" w:cs="Times New Roman"/>
          <w:color w:val="000000" w:themeColor="text1"/>
          <w:sz w:val="20"/>
          <w:szCs w:val="20"/>
          <w14:ligatures w14:val="none"/>
        </w:rPr>
        <w:fldChar w:fldCharType="begin"/>
      </w:r>
      <w:r w:rsidR="00276DCE" w:rsidRPr="00276DCE">
        <w:rPr>
          <w:rFonts w:ascii="Times New Roman" w:eastAsia="Times New Roman" w:hAnsi="Times New Roman" w:cs="Times New Roman"/>
          <w:color w:val="000000" w:themeColor="text1"/>
          <w:sz w:val="20"/>
          <w:szCs w:val="20"/>
          <w14:ligatures w14:val="none"/>
        </w:rPr>
        <w:instrText xml:space="preserve"> ADDIN ZOTERO_BIBL {"uncited":[],"omitted":[],"custom":[]} CSL_BIBLIOGRAPHY </w:instrText>
      </w:r>
      <w:r w:rsidRPr="00276DCE">
        <w:rPr>
          <w:rFonts w:ascii="Times New Roman" w:eastAsia="Times New Roman" w:hAnsi="Times New Roman" w:cs="Times New Roman"/>
          <w:color w:val="000000" w:themeColor="text1"/>
          <w:sz w:val="20"/>
          <w:szCs w:val="20"/>
          <w14:ligatures w14:val="none"/>
        </w:rPr>
        <w:fldChar w:fldCharType="separate"/>
      </w:r>
      <w:r w:rsidR="00276DCE" w:rsidRPr="00276DCE">
        <w:rPr>
          <w:rFonts w:ascii="Times New Roman" w:hAnsi="Times New Roman" w:cs="Times New Roman"/>
          <w:color w:val="000000"/>
          <w:sz w:val="20"/>
          <w:szCs w:val="20"/>
          <w:lang w:val="en-US"/>
        </w:rPr>
        <w:t>[1]</w:t>
      </w:r>
      <w:r w:rsidR="00276DCE" w:rsidRPr="00276DCE">
        <w:rPr>
          <w:rFonts w:ascii="Times New Roman" w:hAnsi="Times New Roman" w:cs="Times New Roman"/>
          <w:color w:val="000000"/>
          <w:sz w:val="20"/>
          <w:szCs w:val="20"/>
          <w:lang w:val="en-US"/>
        </w:rPr>
        <w:tab/>
        <w:t>J. Saunders, J. Deering, C. Dewsnap, R. Drayton, and J. Gilmore, “UK National Guideline for the Use of Doxycycline Post-Exposure Prophylaxis (DoxyPEP) for the Prevention of Syphilis”.</w:t>
      </w:r>
    </w:p>
    <w:p w14:paraId="36127AA6"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[2]</w:t>
      </w:r>
      <w:r w:rsidRPr="00276DCE">
        <w:rPr>
          <w:rFonts w:ascii="Times New Roman" w:hAnsi="Times New Roman" w:cs="Times New Roman"/>
          <w:color w:val="000000"/>
          <w:sz w:val="20"/>
          <w:szCs w:val="20"/>
          <w:lang w:val="en-US"/>
        </w:rPr>
        <w:tab/>
        <w:t xml:space="preserve">D. M. Whiley, J. A. Tickner, R. L. Kundu, T. R. Hogan, S. J. van Hal, and M. M. Lahra, “Selection of Neisseria gonorrhoeae ceftriaxone resistance using doxycycline post-exposure prophylaxis,”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23, no. 8, pp. e268–e269, Aug. 2023, doi: 10.1016/S1473-3099(23)00359-6.</w:t>
      </w:r>
    </w:p>
    <w:p w14:paraId="7DF7F0C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[3]</w:t>
      </w:r>
      <w:r w:rsidRPr="00276DCE">
        <w:rPr>
          <w:rFonts w:ascii="Times New Roman" w:hAnsi="Times New Roman" w:cs="Times New Roman"/>
          <w:color w:val="000000"/>
          <w:sz w:val="20"/>
          <w:szCs w:val="20"/>
          <w:lang w:val="en-US"/>
        </w:rPr>
        <w:tab/>
        <w:t xml:space="preserve">M. E. DeWitt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“Promise and peril: doxycycline prophylaxis and the spread of resistance among diverse populations,”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0, no. 0, Aug. 2025, doi: 10.1016/j.lanmic.2025.101222.</w:t>
      </w:r>
    </w:p>
    <w:p w14:paraId="2BDD93C8"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[4]</w:t>
      </w:r>
      <w:r w:rsidRPr="00276DCE">
        <w:rPr>
          <w:rFonts w:ascii="Times New Roman" w:hAnsi="Times New Roman" w:cs="Times New Roman"/>
          <w:color w:val="000000"/>
          <w:sz w:val="20"/>
          <w:szCs w:val="20"/>
          <w:lang w:val="en-US"/>
        </w:rPr>
        <w:tab/>
        <w:t xml:space="preserve">H. Fifer, J. Saunders, S. Soni, S. T. Sadiq, and M. FitzGerald, “2018 UK national guideline for the management of infection with Neisseria gonorrhoeae,” </w:t>
      </w:r>
      <w:r w:rsidRPr="00276DCE">
        <w:rPr>
          <w:rFonts w:ascii="Times New Roman" w:hAnsi="Times New Roman" w:cs="Times New Roman"/>
          <w:i/>
          <w:iCs/>
          <w:color w:val="000000"/>
          <w:sz w:val="20"/>
          <w:szCs w:val="20"/>
          <w:lang w:val="en-US"/>
        </w:rPr>
        <w:t>Int. J. STD AIDS</w:t>
      </w:r>
      <w:r w:rsidRPr="00276DCE">
        <w:rPr>
          <w:rFonts w:ascii="Times New Roman" w:hAnsi="Times New Roman" w:cs="Times New Roman"/>
          <w:color w:val="000000"/>
          <w:sz w:val="20"/>
          <w:szCs w:val="20"/>
          <w:lang w:val="en-US"/>
        </w:rPr>
        <w:t>, vol. 31, no. 1, pp. 4–15, Jan. 2020, doi: 10.1177/0956462419886775.</w:t>
      </w:r>
    </w:p>
    <w:p w14:paraId="6E7B390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[5]</w:t>
      </w:r>
      <w:r w:rsidRPr="00276DCE">
        <w:rPr>
          <w:rFonts w:ascii="Times New Roman" w:hAnsi="Times New Roman" w:cs="Times New Roman"/>
          <w:color w:val="000000"/>
          <w:sz w:val="20"/>
          <w:szCs w:val="20"/>
          <w:lang w:val="en-US"/>
        </w:rPr>
        <w:tab/>
        <w:t xml:space="preserve">C. Kenyon, “Doxycycline Postexposure Prophylaxis Could Accelerate the Emergence of Gonococcal Ceftriaxone Resistance,” </w:t>
      </w:r>
      <w:r w:rsidRPr="00276DCE">
        <w:rPr>
          <w:rFonts w:ascii="Times New Roman" w:hAnsi="Times New Roman" w:cs="Times New Roman"/>
          <w:i/>
          <w:iCs/>
          <w:color w:val="000000"/>
          <w:sz w:val="20"/>
          <w:szCs w:val="20"/>
          <w:lang w:val="en-US"/>
        </w:rPr>
        <w:t>JAMA Intern. Med.</w:t>
      </w:r>
      <w:r w:rsidRPr="00276DCE">
        <w:rPr>
          <w:rFonts w:ascii="Times New Roman" w:hAnsi="Times New Roman" w:cs="Times New Roman"/>
          <w:color w:val="000000"/>
          <w:sz w:val="20"/>
          <w:szCs w:val="20"/>
          <w:lang w:val="en-US"/>
        </w:rPr>
        <w:t>, vol. 185, no. 8, p. 1051, Aug. 2025, doi: 10.1001/jamainternmed.2025.0984.</w:t>
      </w:r>
    </w:p>
    <w:p w14:paraId="08484F97"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[6]</w:t>
      </w:r>
      <w:r w:rsidRPr="00276DCE">
        <w:rPr>
          <w:rFonts w:ascii="Times New Roman" w:hAnsi="Times New Roman" w:cs="Times New Roman"/>
          <w:color w:val="000000"/>
          <w:sz w:val="20"/>
          <w:szCs w:val="20"/>
          <w:lang w:val="en-US"/>
        </w:rPr>
        <w:tab/>
        <w:t xml:space="preserve">L. Geng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“Potential public health impacts of gonorrhea vaccination programmes under declining incidences: A modeling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22, no. 2, p. e1004521, Feb. 2025, doi: 10.1371/journal.pmed.1004521.</w:t>
      </w:r>
    </w:p>
    <w:p w14:paraId="5921F93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[7]</w:t>
      </w:r>
      <w:r w:rsidRPr="00276DCE">
        <w:rPr>
          <w:rFonts w:ascii="Times New Roman" w:hAnsi="Times New Roman" w:cs="Times New Roman"/>
          <w:color w:val="000000"/>
          <w:sz w:val="20"/>
          <w:szCs w:val="20"/>
          <w:lang w:val="en-US"/>
        </w:rPr>
        <w:tab/>
        <w:t xml:space="preserve">L. K. Whittles, X. Didelot, and P. J. White, “Public health impact and cost-effectiveness of gonorrhoea vaccination: an integrated transmission-dynamic health-economic modelling analysis,”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22, no. 7, pp. 1030–1041, July 2022, doi: 10.1016/S1473-3099(21)00744-1.</w:t>
      </w:r>
    </w:p>
    <w:p w14:paraId="0763B1D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[8]</w:t>
      </w:r>
      <w:r w:rsidRPr="00276DCE">
        <w:rPr>
          <w:rFonts w:ascii="Times New Roman" w:hAnsi="Times New Roman" w:cs="Times New Roman"/>
          <w:color w:val="000000"/>
          <w:sz w:val="20"/>
          <w:szCs w:val="20"/>
          <w:lang w:val="en-US"/>
        </w:rPr>
        <w:tab/>
        <w:t xml:space="preserve">S. N. Ladhani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“Use of a meningococcal group B vaccine (4CMenB) in populations at high risk of gonorrhoea in the UK,”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24, no. 9, pp. e576–e583, Sept. 2024, doi: 10.1016/S1473-3099(24)00031-8.</w:t>
      </w:r>
    </w:p>
    <w:p w14:paraId="16AB4C2C"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[9]</w:t>
      </w:r>
      <w:r w:rsidRPr="00276DCE">
        <w:rPr>
          <w:rFonts w:ascii="Times New Roman" w:hAnsi="Times New Roman" w:cs="Times New Roman"/>
          <w:color w:val="000000"/>
          <w:sz w:val="20"/>
          <w:szCs w:val="20"/>
          <w:lang w:val="en-US"/>
        </w:rPr>
        <w:tab/>
        <w:t xml:space="preserve">A. R. Tuite, T. L. Gift, H. W. Chesson, K. Hsu, J. A. Salomon, and Y. H. Grad, “Impact of Rapid Susceptibility Testing and Antibiotic Selection Strategy on the Emergence and Spread of Antibiotic Resistance in Gonorrhea,” </w:t>
      </w:r>
      <w:r w:rsidRPr="00276DCE">
        <w:rPr>
          <w:rFonts w:ascii="Times New Roman" w:hAnsi="Times New Roman" w:cs="Times New Roman"/>
          <w:i/>
          <w:iCs/>
          <w:color w:val="000000"/>
          <w:sz w:val="20"/>
          <w:szCs w:val="20"/>
          <w:lang w:val="en-US"/>
        </w:rPr>
        <w:t>J. Infect. Dis.</w:t>
      </w:r>
      <w:r w:rsidRPr="00276DCE">
        <w:rPr>
          <w:rFonts w:ascii="Times New Roman" w:hAnsi="Times New Roman" w:cs="Times New Roman"/>
          <w:color w:val="000000"/>
          <w:sz w:val="20"/>
          <w:szCs w:val="20"/>
          <w:lang w:val="en-US"/>
        </w:rPr>
        <w:t>, vol. 216, no. 9, pp. 1141–1149, Nov. 2017, doi: 10.1093/infdis/jix450.</w:t>
      </w:r>
    </w:p>
    <w:p w14:paraId="4495E224"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[10]</w:t>
      </w:r>
      <w:r w:rsidRPr="00276DCE">
        <w:rPr>
          <w:rFonts w:ascii="Times New Roman" w:hAnsi="Times New Roman" w:cs="Times New Roman"/>
          <w:color w:val="000000"/>
          <w:sz w:val="20"/>
          <w:szCs w:val="20"/>
          <w:lang w:val="en-US"/>
        </w:rPr>
        <w:tab/>
        <w:t xml:space="preserve">E. Reichert, R. Yaesoubi, M. M. Rönn, T. L. Gift, J. A. Salomon, and Y. H. Grad, “Resistance-minimising strategies for introducing a novel antibiotic for gonorrhoea treatment: a mathematical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4, no. 10, pp. e781–e789, Oct. 2023, doi: 10.1016/S2666-5247(23)00145-3.</w:t>
      </w:r>
    </w:p>
    <w:p w14:paraId="451154B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[11]</w:t>
      </w:r>
      <w:r w:rsidRPr="00276DCE">
        <w:rPr>
          <w:rFonts w:ascii="Times New Roman" w:hAnsi="Times New Roman" w:cs="Times New Roman"/>
          <w:color w:val="000000"/>
          <w:sz w:val="20"/>
          <w:szCs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5, no. 11, p. 100926, Nov. 2024, doi: 10.1016/s2666-5247(24)00168-x.</w:t>
      </w:r>
    </w:p>
    <w:p w14:paraId="44EC084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[12]</w:t>
      </w:r>
      <w:r w:rsidRPr="00276DCE">
        <w:rPr>
          <w:rFonts w:ascii="Times New Roman" w:hAnsi="Times New Roman" w:cs="Times New Roman"/>
          <w:color w:val="000000"/>
          <w:sz w:val="20"/>
          <w:szCs w:val="20"/>
          <w:lang w:val="en-US"/>
        </w:rPr>
        <w:tab/>
        <w:t xml:space="preserve">L. K. Whittles, P. J. White, and X. Didelot, “Assessment of the Potential of Vaccination to Combat Antibiotic Resistance in Gonorrhea: A Modeling Analysis to Determine Preferred Product Characteristics,” </w:t>
      </w:r>
      <w:r w:rsidRPr="00276DCE">
        <w:rPr>
          <w:rFonts w:ascii="Times New Roman" w:hAnsi="Times New Roman" w:cs="Times New Roman"/>
          <w:i/>
          <w:iCs/>
          <w:color w:val="000000"/>
          <w:sz w:val="20"/>
          <w:szCs w:val="20"/>
          <w:lang w:val="en-US"/>
        </w:rPr>
        <w:t>Clin. Infect. Dis.</w:t>
      </w:r>
      <w:r w:rsidRPr="00276DCE">
        <w:rPr>
          <w:rFonts w:ascii="Times New Roman" w:hAnsi="Times New Roman" w:cs="Times New Roman"/>
          <w:color w:val="000000"/>
          <w:sz w:val="20"/>
          <w:szCs w:val="20"/>
          <w:lang w:val="en-US"/>
        </w:rPr>
        <w:t>, vol. 71, no. 8, pp. 1912–1919, Nov. 2020, doi: 10.1093/cid/ciz1241.</w:t>
      </w:r>
    </w:p>
    <w:p w14:paraId="2E06B283"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[13]</w:t>
      </w:r>
      <w:r w:rsidRPr="00276DCE">
        <w:rPr>
          <w:rFonts w:ascii="Times New Roman" w:hAnsi="Times New Roman" w:cs="Times New Roman"/>
          <w:color w:val="000000"/>
          <w:sz w:val="20"/>
          <w:szCs w:val="20"/>
          <w:lang w:val="en-US"/>
        </w:rPr>
        <w:tab/>
        <w:t xml:space="preserve">L. K. Whittles, P. J. White, and X. Didelot, “Estimating the fitness cost and benefit of cefixime resistance in Neisseria gonorrhoeae to inform prescription policy: A modelling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14, no. 10, p. e1002416, Oct. 2017, doi: 10.1371/journal.pmed.1002416.</w:t>
      </w:r>
    </w:p>
    <w:p w14:paraId="5AC95642" w14:textId="51FB04D6" w:rsidR="00802477" w:rsidRPr="00276DCE" w:rsidRDefault="00802477" w:rsidP="00276DCE">
      <w:pPr>
        <w:pStyle w:val="Bibliography"/>
        <w:spacing w:line="276" w:lineRule="auto"/>
        <w:jc w:val="both"/>
        <w:rPr>
          <w:rFonts w:ascii="Times New Roman" w:eastAsia="Times New Roman" w:hAnsi="Times New Roman" w:cs="Times New Roman"/>
          <w:color w:val="000000" w:themeColor="text1"/>
          <w:kern w:val="0"/>
          <w:sz w:val="20"/>
          <w:szCs w:val="20"/>
          <w14:ligatures w14:val="none"/>
        </w:rPr>
      </w:pPr>
      <w:r w:rsidRPr="00276DC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276DCE" w:rsidRDefault="006A5D60" w:rsidP="00276DC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276D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3"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2722562">
    <w:abstractNumId w:val="1"/>
  </w:num>
  <w:num w:numId="2" w16cid:durableId="40520125">
    <w:abstractNumId w:val="3"/>
  </w:num>
  <w:num w:numId="3" w16cid:durableId="1504318238">
    <w:abstractNumId w:val="0"/>
  </w:num>
  <w:num w:numId="4" w16cid:durableId="1606230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B87"/>
    <w:rsid w:val="000011E7"/>
    <w:rsid w:val="00027E42"/>
    <w:rsid w:val="00075D2F"/>
    <w:rsid w:val="00085099"/>
    <w:rsid w:val="000B0C7C"/>
    <w:rsid w:val="000D0539"/>
    <w:rsid w:val="000D3B8B"/>
    <w:rsid w:val="000E2764"/>
    <w:rsid w:val="000E3930"/>
    <w:rsid w:val="00117036"/>
    <w:rsid w:val="00166618"/>
    <w:rsid w:val="0017364B"/>
    <w:rsid w:val="001B42F2"/>
    <w:rsid w:val="001C2A98"/>
    <w:rsid w:val="001C5B10"/>
    <w:rsid w:val="001C72D5"/>
    <w:rsid w:val="002234CF"/>
    <w:rsid w:val="0023165B"/>
    <w:rsid w:val="00243D2B"/>
    <w:rsid w:val="00256035"/>
    <w:rsid w:val="00276DCE"/>
    <w:rsid w:val="002A0AB1"/>
    <w:rsid w:val="003300DF"/>
    <w:rsid w:val="00337290"/>
    <w:rsid w:val="00382719"/>
    <w:rsid w:val="003A66F0"/>
    <w:rsid w:val="00422602"/>
    <w:rsid w:val="004229CD"/>
    <w:rsid w:val="00482565"/>
    <w:rsid w:val="004F3D14"/>
    <w:rsid w:val="0051618A"/>
    <w:rsid w:val="005B15BD"/>
    <w:rsid w:val="005B2DA0"/>
    <w:rsid w:val="005B3659"/>
    <w:rsid w:val="005D0C68"/>
    <w:rsid w:val="00624970"/>
    <w:rsid w:val="006300FE"/>
    <w:rsid w:val="00673DDD"/>
    <w:rsid w:val="00694DF0"/>
    <w:rsid w:val="006A5D60"/>
    <w:rsid w:val="006B751E"/>
    <w:rsid w:val="006C0BE4"/>
    <w:rsid w:val="00757D3F"/>
    <w:rsid w:val="00776D62"/>
    <w:rsid w:val="007966E6"/>
    <w:rsid w:val="007F5429"/>
    <w:rsid w:val="00802477"/>
    <w:rsid w:val="008550FB"/>
    <w:rsid w:val="008C2AAA"/>
    <w:rsid w:val="008E5752"/>
    <w:rsid w:val="008F09CA"/>
    <w:rsid w:val="00930B14"/>
    <w:rsid w:val="009701A4"/>
    <w:rsid w:val="00973822"/>
    <w:rsid w:val="00976A2C"/>
    <w:rsid w:val="009E6324"/>
    <w:rsid w:val="009F77D3"/>
    <w:rsid w:val="00A03255"/>
    <w:rsid w:val="00A05668"/>
    <w:rsid w:val="00A96A92"/>
    <w:rsid w:val="00B15A39"/>
    <w:rsid w:val="00BC6C09"/>
    <w:rsid w:val="00BF4E96"/>
    <w:rsid w:val="00C052D4"/>
    <w:rsid w:val="00C066BD"/>
    <w:rsid w:val="00C252ED"/>
    <w:rsid w:val="00CA550C"/>
    <w:rsid w:val="00CD1078"/>
    <w:rsid w:val="00CD5894"/>
    <w:rsid w:val="00CD73B1"/>
    <w:rsid w:val="00CE173A"/>
    <w:rsid w:val="00D21988"/>
    <w:rsid w:val="00D76A07"/>
    <w:rsid w:val="00D83ED0"/>
    <w:rsid w:val="00DB0475"/>
    <w:rsid w:val="00DD1B60"/>
    <w:rsid w:val="00DD1CCA"/>
    <w:rsid w:val="00E168B3"/>
    <w:rsid w:val="00E62364"/>
    <w:rsid w:val="00E7338C"/>
    <w:rsid w:val="00EB17DD"/>
    <w:rsid w:val="00F176A5"/>
    <w:rsid w:val="00F7254F"/>
    <w:rsid w:val="00FE282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6</Pages>
  <Words>5931</Words>
  <Characters>33810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31</cp:revision>
  <cp:lastPrinted>2025-09-09T09:14:00Z</cp:lastPrinted>
  <dcterms:created xsi:type="dcterms:W3CDTF">2025-10-10T08:53:00Z</dcterms:created>
  <dcterms:modified xsi:type="dcterms:W3CDTF">2025-10-23T16:07:00Z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id="47pxcia5"/&gt;&lt;style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