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E3860E" w14:textId="77777777" w:rsidR="00027E42" w:rsidRPr="00276DCE" w:rsidRDefault="00CD73B1" w:rsidP="00276DCE">
      <w:pPr>
        <w:spacing w:before="100" w:beforeAutospacing="1" w:after="100" w:afterAutospacing="1" w:line="276" w:lineRule="auto"/>
        <w:jc w:val="both"/>
        <w:rPr>
          <w:rFonts w:ascii="Times New Roman" w:hAnsi="Times New Roman" w:cs="Times New Roman"/>
          <w:b/>
          <w:bCs/>
          <w:color w:val="000000" w:themeColor="text1"/>
          <w:sz w:val="20"/>
          <w:szCs w:val="20"/>
        </w:rPr>
      </w:pPr>
      <w:r w:rsidRPr="00276DCE">
        <w:rPr>
          <w:rFonts w:ascii="Times New Roman" w:hAnsi="Times New Roman" w:cs="Times New Roman"/>
          <w:b/>
          <w:bCs/>
          <w:sz w:val="20"/>
          <w:szCs w:val="20"/>
        </w:rPr>
        <w:t xml:space="preserve">Dual Prevention, Dual Resistance? Modelling the Interplay Between Doxycycline </w:t>
      </w:r>
      <w:r w:rsidR="00000B87" w:rsidRPr="00276DCE">
        <w:rPr>
          <w:rFonts w:ascii="Times New Roman" w:hAnsi="Times New Roman" w:cs="Times New Roman"/>
          <w:b/>
          <w:bCs/>
          <w:sz w:val="20"/>
          <w:szCs w:val="20"/>
        </w:rPr>
        <w:t>Post-Exposure Prophylaxis</w:t>
      </w:r>
      <w:r w:rsidRPr="00276DCE">
        <w:rPr>
          <w:rFonts w:ascii="Times New Roman" w:hAnsi="Times New Roman" w:cs="Times New Roman"/>
          <w:b/>
          <w:bCs/>
          <w:sz w:val="20"/>
          <w:szCs w:val="20"/>
        </w:rPr>
        <w:t xml:space="preserve">, </w:t>
      </w:r>
      <w:r w:rsidR="00000B87" w:rsidRPr="00276DCE">
        <w:rPr>
          <w:rFonts w:ascii="Times New Roman" w:hAnsi="Times New Roman" w:cs="Times New Roman"/>
          <w:b/>
          <w:bCs/>
          <w:sz w:val="20"/>
          <w:szCs w:val="20"/>
        </w:rPr>
        <w:t>Four-Component Serogroup B Meningococcal (</w:t>
      </w:r>
      <w:r w:rsidRPr="00276DCE">
        <w:rPr>
          <w:rFonts w:ascii="Times New Roman" w:hAnsi="Times New Roman" w:cs="Times New Roman"/>
          <w:b/>
          <w:bCs/>
          <w:sz w:val="20"/>
          <w:szCs w:val="20"/>
        </w:rPr>
        <w:t>4CMenB</w:t>
      </w:r>
      <w:r w:rsidR="00000B87" w:rsidRPr="00276DCE">
        <w:rPr>
          <w:rFonts w:ascii="Times New Roman" w:hAnsi="Times New Roman" w:cs="Times New Roman"/>
          <w:b/>
          <w:bCs/>
          <w:sz w:val="20"/>
          <w:szCs w:val="20"/>
        </w:rPr>
        <w:t>) vaccine</w:t>
      </w:r>
      <w:r w:rsidRPr="00276DCE">
        <w:rPr>
          <w:rFonts w:ascii="Times New Roman" w:hAnsi="Times New Roman" w:cs="Times New Roman"/>
          <w:b/>
          <w:bCs/>
          <w:sz w:val="20"/>
          <w:szCs w:val="20"/>
        </w:rPr>
        <w:t xml:space="preserve">, and </w:t>
      </w:r>
      <w:r w:rsidR="00000B87" w:rsidRPr="00276DCE">
        <w:rPr>
          <w:rFonts w:ascii="Times New Roman" w:hAnsi="Times New Roman" w:cs="Times New Roman"/>
          <w:b/>
          <w:bCs/>
          <w:sz w:val="20"/>
          <w:szCs w:val="20"/>
        </w:rPr>
        <w:t>Antimicrobial Resistance</w:t>
      </w:r>
      <w:r w:rsidRPr="00276DCE">
        <w:rPr>
          <w:rFonts w:ascii="Times New Roman" w:hAnsi="Times New Roman" w:cs="Times New Roman"/>
          <w:b/>
          <w:bCs/>
          <w:sz w:val="20"/>
          <w:szCs w:val="20"/>
        </w:rPr>
        <w:t xml:space="preserve"> in </w:t>
      </w:r>
      <w:r w:rsidRPr="00276DCE">
        <w:rPr>
          <w:rStyle w:val="Emphasis"/>
          <w:rFonts w:ascii="Times New Roman" w:hAnsi="Times New Roman" w:cs="Times New Roman"/>
          <w:b/>
          <w:bCs/>
          <w:sz w:val="20"/>
          <w:szCs w:val="20"/>
        </w:rPr>
        <w:t>Neisseria gonorrhoeae</w:t>
      </w:r>
    </w:p>
    <w:p w14:paraId="7DF3C741" w14:textId="3C12A50A" w:rsidR="00276DCE" w:rsidRPr="00276DCE" w:rsidRDefault="00276DCE" w:rsidP="00276DCE">
      <w:pPr>
        <w:pStyle w:val="NormalWeb"/>
        <w:spacing w:line="276" w:lineRule="auto"/>
        <w:jc w:val="both"/>
        <w:rPr>
          <w:color w:val="000000" w:themeColor="text1"/>
          <w:sz w:val="20"/>
          <w:szCs w:val="20"/>
        </w:rPr>
      </w:pPr>
      <w:r w:rsidRPr="00276DCE">
        <w:rPr>
          <w:sz w:val="20"/>
          <w:szCs w:val="20"/>
        </w:rPr>
        <w:t xml:space="preserve">Doxycycline, a tetracycline-class antibiotic, has recently gained renewed interest through its use as post-exposure prophylaxis (doxy-PEP) for preventing syphilis </w:t>
      </w:r>
      <w:r w:rsidRPr="00276DCE">
        <w:rPr>
          <w:sz w:val="20"/>
          <w:szCs w:val="20"/>
        </w:rPr>
        <w:fldChar w:fldCharType="begin"/>
      </w:r>
      <w:r w:rsidRPr="00276DCE">
        <w:rPr>
          <w:sz w:val="20"/>
          <w:szCs w:val="20"/>
        </w:rPr>
        <w:instrText xml:space="preserve"> ADDIN ZOTERO_ITEM CSL_CITATION {"citationID":"4ESW7EN9","properties":{"formattedCitation":"[1]","plainCitation":"[1]","noteIndex":0},"citationItems":[{"id":164,"uris":["http://zotero.org/users/9663344/items/QS5XKHBB"],"itemData":{"id":164,"type":"article-journal","abstract":"This guideline provides evidence-based recommendations for the use of doxycycline post exposure prophylaxis (doxyPEP) for the prevention of syphilis. DoxyPEP should be part of a comprehensive approach to the prevention of STIs, along with condom use, appropriate HIV prevention interventions, vaccination, STI testing, treatment and management, and appropriate risk reduction advice and psychological interventions if indicated.","language":"en","source":"Zotero","title":"UK National Guideline for the Use of Doxycycline Post-Exposure Prophylaxis (DoxyPEP) for the Prevention of Syphilis","author":[{"family":"Saunders","given":"John"},{"family":"Deering","given":"Joseph"},{"family":"Dewsnap","given":"Claire"},{"family":"Drayton","given":"Rachel"},{"family":"Gilmore","given":"John"}]}}],"schema":"https://github.com/citation-style-language/schema/raw/master/csl-citation.json"} </w:instrText>
      </w:r>
      <w:r w:rsidRPr="00276DCE">
        <w:rPr>
          <w:sz w:val="20"/>
          <w:szCs w:val="20"/>
        </w:rPr>
        <w:fldChar w:fldCharType="separate"/>
      </w:r>
      <w:r w:rsidRPr="00276DCE">
        <w:rPr>
          <w:noProof/>
          <w:sz w:val="20"/>
          <w:szCs w:val="20"/>
        </w:rPr>
        <w:t>[1]</w:t>
      </w:r>
      <w:r w:rsidRPr="00276DCE">
        <w:rPr>
          <w:sz w:val="20"/>
          <w:szCs w:val="20"/>
        </w:rPr>
        <w:fldChar w:fldCharType="end"/>
      </w:r>
      <w:r w:rsidRPr="00276DCE">
        <w:rPr>
          <w:sz w:val="20"/>
          <w:szCs w:val="20"/>
        </w:rPr>
        <w:t xml:space="preserve">. However, its large-scale deployment has raised concerns regarding potential impacts on antimicrobial resistance (AMR) in </w:t>
      </w:r>
      <w:r w:rsidRPr="00276DCE">
        <w:rPr>
          <w:rStyle w:val="Emphasis"/>
          <w:rFonts w:eastAsiaTheme="majorEastAsia"/>
          <w:sz w:val="20"/>
          <w:szCs w:val="20"/>
        </w:rPr>
        <w:t xml:space="preserve">Neisseria gonorrhoeae </w:t>
      </w:r>
      <w:bookmarkStart w:id="0" w:name="_Hlk211990451"/>
      <w:r w:rsidRPr="00276DCE">
        <w:rPr>
          <w:rStyle w:val="Emphasis"/>
          <w:rFonts w:eastAsiaTheme="majorEastAsia"/>
          <w:i w:val="0"/>
          <w:iCs w:val="0"/>
          <w:sz w:val="20"/>
          <w:szCs w:val="20"/>
        </w:rPr>
        <w:fldChar w:fldCharType="begin"/>
      </w:r>
      <w:r w:rsidRPr="00276DCE">
        <w:rPr>
          <w:rStyle w:val="Emphasis"/>
          <w:rFonts w:eastAsiaTheme="majorEastAsia"/>
          <w:sz w:val="20"/>
          <w:szCs w:val="20"/>
        </w:rPr>
        <w:instrText xml:space="preserve"> ADDIN ZOTERO_ITEM CSL_CITATION {"citationID":"vUBOVZVp","properties":{"formattedCitation":"[2], [3]","plainCitation":"[2], [3]","noteIndex":0},"citationItems":[{"id":287,"uris":["http://zotero.org/users/9663344/items/UD4GZWU4"],"itemData":{"id":287,"type":"article-journal","container-title":"The Lancet Infectious Diseases","DOI":"10.1016/S1473-3099(23)00359-6","ISSN":"1473-3099, 1474-4457","issue":"8","journalAbbreviation":"The Lancet Infectious Diseases","language":"English","note":"publisher: Elsevier\nPMID: 37321241","page":"e268-e269","source":"www.thelancet.com","title":"Selection of Neisseria gonorrhoeae ceftriaxone resistance using doxycycline post-exposure prophylaxis","volume":"23","author":[{"family":"Whiley","given":"David M."},{"family":"Tickner","given":"Jacob A."},{"family":"Kundu","given":"Ratan L."},{"family":"Hogan","given":"Tiffany R."},{"family":"Hal","given":"Sebastiaan J.","dropping-particle":"van"},{"family":"Lahra","given":"Monica M."}],"issued":{"date-parts":[["2023",8,1]]}}},{"id":292,"uris":["http://zotero.org/users/9663344/items/Z8FGKHK2"],"itemData":{"id":292,"type":"article-journal","container-title":"The Lancet Microbe","DOI":"10.1016/j.lanmic.2025.101222","ISSN":"2666-5247","issue":"0","journalAbbreviation":"The Lancet Microbe","language":"English","note":"publisher: Elsevier\nPMID: 40854317","source":"www.thelancet.com","title":"Promise and peril: doxycycline prophylaxis and the spread of resistance among diverse populations","title-short":"Promise and peril","URL":"https://www.thelancet.com/journals/lanmic/article/PIIS2666-5247(25)00150-8/fulltext","volume":"0","author":[{"family":"DeWitt","given":"Michael E."},{"family":"Wenner","given":"Jennifer J."},{"family":"Bellotti","given":"Brinkley R."},{"family":"Manuel","given":"Joshua A."},{"family":"Toler","given":"Cindy"},{"family":"Palavecino","given":"Elizabeth"},{"family":"McNeil","given":"Candice J."}],"accessed":{"date-parts":[["2025",9,9]]},"issued":{"date-parts":[["2025",8,22]]}}}],"schema":"https://github.com/citation-style-language/schema/raw/master/csl-citation.json"} </w:instrText>
      </w:r>
      <w:r w:rsidRPr="00276DCE">
        <w:rPr>
          <w:rStyle w:val="Emphasis"/>
          <w:rFonts w:eastAsiaTheme="majorEastAsia"/>
          <w:i w:val="0"/>
          <w:iCs w:val="0"/>
          <w:sz w:val="20"/>
          <w:szCs w:val="20"/>
        </w:rPr>
        <w:fldChar w:fldCharType="separate"/>
      </w:r>
      <w:r w:rsidRPr="00276DCE">
        <w:rPr>
          <w:rStyle w:val="Emphasis"/>
          <w:rFonts w:eastAsiaTheme="majorEastAsia"/>
          <w:noProof/>
          <w:sz w:val="20"/>
          <w:szCs w:val="20"/>
        </w:rPr>
        <w:t>[2], [3]</w:t>
      </w:r>
      <w:r w:rsidRPr="00276DCE">
        <w:rPr>
          <w:rStyle w:val="Emphasis"/>
          <w:rFonts w:eastAsiaTheme="majorEastAsia"/>
          <w:i w:val="0"/>
          <w:iCs w:val="0"/>
          <w:sz w:val="20"/>
          <w:szCs w:val="20"/>
        </w:rPr>
        <w:fldChar w:fldCharType="end"/>
      </w:r>
      <w:bookmarkEnd w:id="0"/>
      <w:r w:rsidRPr="00276DCE">
        <w:rPr>
          <w:sz w:val="20"/>
          <w:szCs w:val="20"/>
        </w:rPr>
        <w:t xml:space="preserve">. Resistance to doxycycline and extended-spectrum cephalosporins (ESCs), such as ceftriaxone (i.e., the current first-line and last-resort antibiotic for gonorrhoea) </w:t>
      </w:r>
      <w:r w:rsidRPr="00276DCE">
        <w:rPr>
          <w:sz w:val="20"/>
          <w:szCs w:val="20"/>
        </w:rPr>
        <w:fldChar w:fldCharType="begin"/>
      </w:r>
      <w:r w:rsidRPr="00276DCE">
        <w:rPr>
          <w:sz w:val="20"/>
          <w:szCs w:val="20"/>
        </w:rPr>
        <w:instrText xml:space="preserve"> ADDIN ZOTERO_ITEM CSL_CITATION {"citationID":"HA6H20NO","properties":{"formattedCitation":"[4]","plainCitation":"[4]","noteIndex":0},"citationItems":[{"id":408,"uris":["http://zotero.org/users/9663344/items/PRBSX5RW"],"itemData":{"id":408,"type":"article-journal","container-title":"International Journal of STD &amp; AIDS","DOI":"10.1177/0956462419886775","ISSN":"0956-4624, 1758-1052","issue":"1","journalAbbreviation":"Int J STD AIDS","language":"en","page":"4-15","source":"DOI.org (Crossref)","title":"2018 UK national guideline for the management of infection with Neisseria gonorrhoeae","volume":"31","author":[{"family":"Fifer","given":"Helen"},{"family":"Saunders","given":"John"},{"family":"Soni","given":"Suneeta"},{"family":"Sadiq","given":"S Tariq"},{"family":"FitzGerald","given":"Mark"}],"issued":{"date-parts":[["2020",1]]}}}],"schema":"https://github.com/citation-style-language/schema/raw/master/csl-citation.json"} </w:instrText>
      </w:r>
      <w:r w:rsidRPr="00276DCE">
        <w:rPr>
          <w:sz w:val="20"/>
          <w:szCs w:val="20"/>
        </w:rPr>
        <w:fldChar w:fldCharType="separate"/>
      </w:r>
      <w:r w:rsidRPr="00276DCE">
        <w:rPr>
          <w:noProof/>
          <w:sz w:val="20"/>
          <w:szCs w:val="20"/>
        </w:rPr>
        <w:t>[4]</w:t>
      </w:r>
      <w:r w:rsidRPr="00276DCE">
        <w:rPr>
          <w:sz w:val="20"/>
          <w:szCs w:val="20"/>
        </w:rPr>
        <w:fldChar w:fldCharType="end"/>
      </w:r>
      <w:r w:rsidRPr="00276DCE">
        <w:rPr>
          <w:sz w:val="20"/>
          <w:szCs w:val="20"/>
        </w:rPr>
        <w:t xml:space="preserve">, arises through distinct genetic mechanisms but can become linked via co-selection </w:t>
      </w:r>
      <w:r w:rsidRPr="00276DCE">
        <w:rPr>
          <w:color w:val="000000" w:themeColor="text1"/>
          <w:sz w:val="20"/>
          <w:szCs w:val="20"/>
        </w:rPr>
        <w:fldChar w:fldCharType="begin"/>
      </w:r>
      <w:r w:rsidRPr="00276DCE">
        <w:rPr>
          <w:color w:val="000000" w:themeColor="text1"/>
          <w:sz w:val="20"/>
          <w:szCs w:val="20"/>
        </w:rPr>
        <w:instrText xml:space="preserve"> ADDIN ZOTERO_ITEM CSL_CITATION {"citationID":"HMkDoHaW","properties":{"formattedCitation":"[2]","plainCitation":"[2]","noteIndex":0},"citationItems":[{"id":287,"uris":["http://zotero.org/users/9663344/items/UD4GZWU4"],"itemData":{"id":287,"type":"article-journal","container-title":"The Lancet Infectious Diseases","DOI":"10.1016/S1473-3099(23)00359-6","ISSN":"1473-3099, 1474-4457","issue":"8","journalAbbreviation":"The Lancet Infectious Diseases","language":"English","note":"publisher: Elsevier\nPMID: 37321241","page":"e268-e269","source":"www.thelancet.com","title":"Selection of Neisseria gonorrhoeae ceftriaxone resistance using doxycycline post-exposure prophylaxis","volume":"23","author":[{"family":"Whiley","given":"David M."},{"family":"Tickner","given":"Jacob A."},{"family":"Kundu","given":"Ratan L."},{"family":"Hogan","given":"Tiffany R."},{"family":"Hal","given":"Sebastiaan J.","dropping-particle":"van"},{"family":"Lahra","given":"Monica M."}],"issued":{"date-parts":[["2023",8,1]]}}}],"schema":"https://github.com/citation-style-language/schema/raw/master/csl-citation.json"} </w:instrText>
      </w:r>
      <w:r w:rsidRPr="00276DCE">
        <w:rPr>
          <w:color w:val="000000" w:themeColor="text1"/>
          <w:sz w:val="20"/>
          <w:szCs w:val="20"/>
        </w:rPr>
        <w:fldChar w:fldCharType="separate"/>
      </w:r>
      <w:r w:rsidRPr="00276DCE">
        <w:rPr>
          <w:noProof/>
          <w:color w:val="000000" w:themeColor="text1"/>
          <w:sz w:val="20"/>
          <w:szCs w:val="20"/>
        </w:rPr>
        <w:t>[2]</w:t>
      </w:r>
      <w:r w:rsidRPr="00276DCE">
        <w:rPr>
          <w:color w:val="000000" w:themeColor="text1"/>
          <w:sz w:val="20"/>
          <w:szCs w:val="20"/>
        </w:rPr>
        <w:fldChar w:fldCharType="end"/>
      </w:r>
      <w:r w:rsidRPr="00276DCE">
        <w:rPr>
          <w:color w:val="000000" w:themeColor="text1"/>
          <w:sz w:val="20"/>
          <w:szCs w:val="20"/>
        </w:rPr>
        <w:t xml:space="preserve">. </w:t>
      </w:r>
    </w:p>
    <w:p w14:paraId="0C3010C3" w14:textId="4F5301DD" w:rsidR="00276DCE" w:rsidRPr="00276DCE" w:rsidRDefault="00276DCE" w:rsidP="00276DCE">
      <w:pPr>
        <w:pStyle w:val="NormalWeb"/>
        <w:spacing w:line="276" w:lineRule="auto"/>
        <w:jc w:val="both"/>
        <w:rPr>
          <w:sz w:val="20"/>
          <w:szCs w:val="20"/>
        </w:rPr>
      </w:pPr>
      <w:r w:rsidRPr="00276DCE">
        <w:rPr>
          <w:sz w:val="20"/>
          <w:szCs w:val="20"/>
        </w:rPr>
        <w:t>For gonorrhoea, tetracycline resistance (</w:t>
      </w:r>
      <w:proofErr w:type="spellStart"/>
      <w:r w:rsidRPr="00276DCE">
        <w:rPr>
          <w:sz w:val="20"/>
          <w:szCs w:val="20"/>
        </w:rPr>
        <w:t>tetR</w:t>
      </w:r>
      <w:proofErr w:type="spellEnd"/>
      <w:r w:rsidRPr="00276DCE">
        <w:rPr>
          <w:sz w:val="20"/>
          <w:szCs w:val="20"/>
        </w:rPr>
        <w:t xml:space="preserve">) commonly results from plasmid-borne </w:t>
      </w:r>
      <w:proofErr w:type="spellStart"/>
      <w:r w:rsidRPr="00276DCE">
        <w:rPr>
          <w:rStyle w:val="Emphasis"/>
          <w:rFonts w:eastAsiaTheme="majorEastAsia"/>
          <w:sz w:val="20"/>
          <w:szCs w:val="20"/>
        </w:rPr>
        <w:t>tetM</w:t>
      </w:r>
      <w:proofErr w:type="spellEnd"/>
      <w:r w:rsidRPr="00276DCE">
        <w:rPr>
          <w:sz w:val="20"/>
          <w:szCs w:val="20"/>
        </w:rPr>
        <w:t xml:space="preserve"> genes, which confer high-level resistance, or from chromosomal mutations in loci such as </w:t>
      </w:r>
      <w:proofErr w:type="spellStart"/>
      <w:r w:rsidRPr="00276DCE">
        <w:rPr>
          <w:rStyle w:val="Emphasis"/>
          <w:rFonts w:eastAsiaTheme="majorEastAsia"/>
          <w:sz w:val="20"/>
          <w:szCs w:val="20"/>
        </w:rPr>
        <w:t>rpsJ</w:t>
      </w:r>
      <w:proofErr w:type="spellEnd"/>
      <w:r w:rsidRPr="00276DCE">
        <w:rPr>
          <w:sz w:val="20"/>
          <w:szCs w:val="20"/>
        </w:rPr>
        <w:t xml:space="preserve">, </w:t>
      </w:r>
      <w:proofErr w:type="spellStart"/>
      <w:r w:rsidRPr="00276DCE">
        <w:rPr>
          <w:rStyle w:val="Emphasis"/>
          <w:rFonts w:eastAsiaTheme="majorEastAsia"/>
          <w:sz w:val="20"/>
          <w:szCs w:val="20"/>
        </w:rPr>
        <w:t>mtrR</w:t>
      </w:r>
      <w:proofErr w:type="spellEnd"/>
      <w:r w:rsidRPr="00276DCE">
        <w:rPr>
          <w:sz w:val="20"/>
          <w:szCs w:val="20"/>
        </w:rPr>
        <w:t xml:space="preserve">, and </w:t>
      </w:r>
      <w:proofErr w:type="spellStart"/>
      <w:r w:rsidRPr="00276DCE">
        <w:rPr>
          <w:rStyle w:val="Emphasis"/>
          <w:rFonts w:eastAsiaTheme="majorEastAsia"/>
          <w:sz w:val="20"/>
          <w:szCs w:val="20"/>
        </w:rPr>
        <w:t>porB</w:t>
      </w:r>
      <w:proofErr w:type="spellEnd"/>
      <w:r w:rsidRPr="00276DCE">
        <w:rPr>
          <w:sz w:val="20"/>
          <w:szCs w:val="20"/>
        </w:rPr>
        <w:t>. In contrast, ceftriaxone resistance (</w:t>
      </w:r>
      <w:proofErr w:type="spellStart"/>
      <w:r w:rsidRPr="00276DCE">
        <w:rPr>
          <w:sz w:val="20"/>
          <w:szCs w:val="20"/>
        </w:rPr>
        <w:t>cefR</w:t>
      </w:r>
      <w:proofErr w:type="spellEnd"/>
      <w:r w:rsidRPr="00276DCE">
        <w:rPr>
          <w:sz w:val="20"/>
          <w:szCs w:val="20"/>
        </w:rPr>
        <w:t xml:space="preserve">) typically involves mosaic </w:t>
      </w:r>
      <w:proofErr w:type="spellStart"/>
      <w:r w:rsidRPr="00276DCE">
        <w:rPr>
          <w:rStyle w:val="Emphasis"/>
          <w:rFonts w:eastAsiaTheme="majorEastAsia"/>
          <w:sz w:val="20"/>
          <w:szCs w:val="20"/>
        </w:rPr>
        <w:t>penA</w:t>
      </w:r>
      <w:proofErr w:type="spellEnd"/>
      <w:r w:rsidRPr="00276DCE">
        <w:rPr>
          <w:sz w:val="20"/>
          <w:szCs w:val="20"/>
        </w:rPr>
        <w:t xml:space="preserve"> alleles in combination with mutations in </w:t>
      </w:r>
      <w:proofErr w:type="spellStart"/>
      <w:r w:rsidRPr="00276DCE">
        <w:rPr>
          <w:rStyle w:val="Emphasis"/>
          <w:rFonts w:eastAsiaTheme="majorEastAsia"/>
          <w:sz w:val="20"/>
          <w:szCs w:val="20"/>
        </w:rPr>
        <w:t>mtrR</w:t>
      </w:r>
      <w:proofErr w:type="spellEnd"/>
      <w:r w:rsidRPr="00276DCE">
        <w:rPr>
          <w:sz w:val="20"/>
          <w:szCs w:val="20"/>
        </w:rPr>
        <w:t xml:space="preserve">, </w:t>
      </w:r>
      <w:proofErr w:type="spellStart"/>
      <w:r w:rsidRPr="00276DCE">
        <w:rPr>
          <w:rStyle w:val="Emphasis"/>
          <w:rFonts w:eastAsiaTheme="majorEastAsia"/>
          <w:sz w:val="20"/>
          <w:szCs w:val="20"/>
        </w:rPr>
        <w:t>porB</w:t>
      </w:r>
      <w:proofErr w:type="spellEnd"/>
      <w:r w:rsidRPr="00276DCE">
        <w:rPr>
          <w:sz w:val="20"/>
          <w:szCs w:val="20"/>
        </w:rPr>
        <w:t xml:space="preserve">, and other chromosomal sites. Although doxycycline resistance does not inherently confer ceftriaxone resistance, a strong genetic association between the two </w:t>
      </w:r>
      <w:r w:rsidRPr="00276DCE">
        <w:rPr>
          <w:color w:val="000000" w:themeColor="text1"/>
          <w:sz w:val="20"/>
          <w:szCs w:val="20"/>
        </w:rPr>
        <w:fldChar w:fldCharType="begin"/>
      </w:r>
      <w:r w:rsidRPr="00276DCE">
        <w:rPr>
          <w:color w:val="000000" w:themeColor="text1"/>
          <w:sz w:val="20"/>
          <w:szCs w:val="20"/>
        </w:rPr>
        <w:instrText xml:space="preserve"> ADDIN ZOTERO_ITEM CSL_CITATION {"citationID":"FjiRzlKO","properties":{"formattedCitation":"[2], [5]","plainCitation":"[2], [5]","noteIndex":0},"citationItems":[{"id":287,"uris":["http://zotero.org/users/9663344/items/UD4GZWU4"],"itemData":{"id":287,"type":"article-journal","container-title":"The Lancet Infectious Diseases","DOI":"10.1016/S1473-3099(23)00359-6","ISSN":"1473-3099, 1474-4457","issue":"8","journalAbbreviation":"The Lancet Infectious Diseases","language":"English","note":"publisher: Elsevier\nPMID: 37321241","page":"e268-e269","source":"www.thelancet.com","title":"Selection of Neisseria gonorrhoeae ceftriaxone resistance using doxycycline post-exposure prophylaxis","volume":"23","author":[{"family":"Whiley","given":"David M."},{"family":"Tickner","given":"Jacob A."},{"family":"Kundu","given":"Ratan L."},{"family":"Hogan","given":"Tiffany R."},{"family":"Hal","given":"Sebastiaan J.","dropping-particle":"van"},{"family":"Lahra","given":"Monica M."}],"issued":{"date-parts":[["2023",8,1]]}}},{"id":290,"uris":["http://zotero.org/users/9663344/items/I4BXMZGA"],"itemData":{"id":290,"type":"article-journal","abstract":"To the Editor Traeger et al have conducted a timely analysis of the real-world efficacy of doxycycline postexposure prophylaxis (doxyPEP) in reducing the incidence of bacterial sexually transmitted infections (STIs) in persons taking HIV preexposure prophylaxis. Their retrospective cohort analysis found that doxyPEP was associated with declines in quarterly chlamydia, gonorrhea, and syphilis positivity of 79%, 80%, and 12%, respectively. They concluded that “doxyPEP may offer substantial benefits for reducing population-level STI transmission with broader implementation.”We would like to temper this enthusiasm by noting the risk these results pose to antimicrobial resistance when considering the population perspective. Numerous analyses have confirmed that typical populations that take HIV preexposure prophylaxis have dense sexual networks that generate gonococcal equilibrium prevalence of around 10%. If antimicrobials such as doxycycline are used to reduce this prevalence, then this generates a selection pressure for the gonococci to acquire resistance to this antimicrobial. Because of the strong genetic association between resistance to doxycycline and extended-spectrum cephalosporins (ESCs) in Neisseria gonorrhoeae, widespread use of doxycycline could co-select for ESC resistance. Because ceftriaxone is the first-line treatment of gonorrhea and there are few, if any, viable alternatives to replace it, the consequences could be disastrous. Recent data from the DoxyVac study demonstrated that doxyPEP selected for reduced susceptibility to both doxycycline and ESCs in N gonorrhoeae.","container-title":"JAMA Internal Medicine","DOI":"10.1001/jamainternmed.2025.0984","ISSN":"2168-6106","issue":"8","journalAbbreviation":"JAMA Intern Med","page":"1051","source":"Silverchair","title":"Doxycycline Postexposure Prophylaxis Could Accelerate the Emergence of Gonococcal Ceftriaxone Resistance","volume":"185","author":[{"family":"Kenyon","given":"Chris"}],"issued":{"date-parts":[["2025",8,1]]}}}],"schema":"https://github.com/citation-style-language/schema/raw/master/csl-citation.json"} </w:instrText>
      </w:r>
      <w:r w:rsidRPr="00276DCE">
        <w:rPr>
          <w:color w:val="000000" w:themeColor="text1"/>
          <w:sz w:val="20"/>
          <w:szCs w:val="20"/>
        </w:rPr>
        <w:fldChar w:fldCharType="separate"/>
      </w:r>
      <w:r w:rsidRPr="00276DCE">
        <w:rPr>
          <w:noProof/>
          <w:color w:val="000000" w:themeColor="text1"/>
          <w:sz w:val="20"/>
          <w:szCs w:val="20"/>
        </w:rPr>
        <w:t>[2], [5]</w:t>
      </w:r>
      <w:r w:rsidRPr="00276DCE">
        <w:rPr>
          <w:color w:val="000000" w:themeColor="text1"/>
          <w:sz w:val="20"/>
          <w:szCs w:val="20"/>
        </w:rPr>
        <w:fldChar w:fldCharType="end"/>
      </w:r>
      <w:r w:rsidRPr="00276DCE">
        <w:rPr>
          <w:color w:val="000000" w:themeColor="text1"/>
          <w:sz w:val="20"/>
          <w:szCs w:val="20"/>
        </w:rPr>
        <w:t xml:space="preserve"> </w:t>
      </w:r>
      <w:r w:rsidRPr="00276DCE">
        <w:rPr>
          <w:sz w:val="20"/>
          <w:szCs w:val="20"/>
        </w:rPr>
        <w:t xml:space="preserve">suggests that widespread doxycycline use, such as through doxy-PEP for syphilis, could expand the reservoir of tetracycline-resistant </w:t>
      </w:r>
      <w:r w:rsidRPr="00276DCE">
        <w:rPr>
          <w:rStyle w:val="Emphasis"/>
          <w:rFonts w:eastAsiaTheme="majorEastAsia"/>
          <w:sz w:val="20"/>
          <w:szCs w:val="20"/>
        </w:rPr>
        <w:t>N. gonorrhoeae</w:t>
      </w:r>
      <w:r w:rsidRPr="00276DCE">
        <w:rPr>
          <w:sz w:val="20"/>
          <w:szCs w:val="20"/>
        </w:rPr>
        <w:t xml:space="preserve"> strains </w:t>
      </w:r>
      <w:r w:rsidRPr="00276DCE">
        <w:rPr>
          <w:color w:val="000000" w:themeColor="text1"/>
          <w:sz w:val="20"/>
          <w:szCs w:val="20"/>
        </w:rPr>
        <w:fldChar w:fldCharType="begin"/>
      </w:r>
      <w:r w:rsidRPr="00276DCE">
        <w:rPr>
          <w:color w:val="000000" w:themeColor="text1"/>
          <w:sz w:val="20"/>
          <w:szCs w:val="20"/>
        </w:rPr>
        <w:instrText xml:space="preserve"> ADDIN ZOTERO_ITEM CSL_CITATION {"citationID":"pWXIJwpH","properties":{"formattedCitation":"[3]","plainCitation":"[3]","noteIndex":0},"citationItems":[{"id":292,"uris":["http://zotero.org/users/9663344/items/Z8FGKHK2"],"itemData":{"id":292,"type":"article-journal","container-title":"The Lancet Microbe","DOI":"10.1016/j.lanmic.2025.101222","ISSN":"2666-5247","issue":"0","journalAbbreviation":"The Lancet Microbe","language":"English","note":"publisher: Elsevier\nPMID: 40854317","source":"www.thelancet.com","title":"Promise and peril: doxycycline prophylaxis and the spread of resistance among diverse populations","title-short":"Promise and peril","URL":"https://www.thelancet.com/journals/lanmic/article/PIIS2666-5247(25)00150-8/fulltext","volume":"0","author":[{"family":"DeWitt","given":"Michael E."},{"family":"Wenner","given":"Jennifer J."},{"family":"Bellotti","given":"Brinkley R."},{"family":"Manuel","given":"Joshua A."},{"family":"Toler","given":"Cindy"},{"family":"Palavecino","given":"Elizabeth"},{"family":"McNeil","given":"Candice J."}],"accessed":{"date-parts":[["2025",9,9]]},"issued":{"date-parts":[["2025",8,22]]}}}],"schema":"https://github.com/citation-style-language/schema/raw/master/csl-citation.json"} </w:instrText>
      </w:r>
      <w:r w:rsidRPr="00276DCE">
        <w:rPr>
          <w:color w:val="000000" w:themeColor="text1"/>
          <w:sz w:val="20"/>
          <w:szCs w:val="20"/>
        </w:rPr>
        <w:fldChar w:fldCharType="separate"/>
      </w:r>
      <w:r w:rsidRPr="00276DCE">
        <w:rPr>
          <w:noProof/>
          <w:color w:val="000000" w:themeColor="text1"/>
          <w:sz w:val="20"/>
          <w:szCs w:val="20"/>
        </w:rPr>
        <w:t>[3]</w:t>
      </w:r>
      <w:r w:rsidRPr="00276DCE">
        <w:rPr>
          <w:color w:val="000000" w:themeColor="text1"/>
          <w:sz w:val="20"/>
          <w:szCs w:val="20"/>
        </w:rPr>
        <w:fldChar w:fldCharType="end"/>
      </w:r>
      <w:r w:rsidRPr="00276DCE">
        <w:rPr>
          <w:sz w:val="20"/>
          <w:szCs w:val="20"/>
        </w:rPr>
        <w:t xml:space="preserve">. This enlarged pool increases the likelihood that </w:t>
      </w:r>
      <w:proofErr w:type="spellStart"/>
      <w:r w:rsidRPr="00276DCE">
        <w:rPr>
          <w:sz w:val="20"/>
          <w:szCs w:val="20"/>
        </w:rPr>
        <w:t>cefR</w:t>
      </w:r>
      <w:proofErr w:type="spellEnd"/>
      <w:r w:rsidRPr="00276DCE">
        <w:rPr>
          <w:sz w:val="20"/>
          <w:szCs w:val="20"/>
        </w:rPr>
        <w:t xml:space="preserve"> mutations will arise within the </w:t>
      </w:r>
      <w:proofErr w:type="spellStart"/>
      <w:r w:rsidRPr="00276DCE">
        <w:rPr>
          <w:sz w:val="20"/>
          <w:szCs w:val="20"/>
        </w:rPr>
        <w:t>tetR</w:t>
      </w:r>
      <w:proofErr w:type="spellEnd"/>
      <w:r w:rsidRPr="00276DCE">
        <w:rPr>
          <w:sz w:val="20"/>
          <w:szCs w:val="20"/>
        </w:rPr>
        <w:t xml:space="preserve"> background or that dual-resistant (</w:t>
      </w:r>
      <w:proofErr w:type="spellStart"/>
      <w:r w:rsidRPr="00276DCE">
        <w:rPr>
          <w:sz w:val="20"/>
          <w:szCs w:val="20"/>
        </w:rPr>
        <w:t>tetR</w:t>
      </w:r>
      <w:proofErr w:type="spellEnd"/>
      <w:r w:rsidRPr="00276DCE">
        <w:rPr>
          <w:sz w:val="20"/>
          <w:szCs w:val="20"/>
        </w:rPr>
        <w:t xml:space="preserve"> + </w:t>
      </w:r>
      <w:proofErr w:type="spellStart"/>
      <w:r w:rsidRPr="00276DCE">
        <w:rPr>
          <w:sz w:val="20"/>
          <w:szCs w:val="20"/>
        </w:rPr>
        <w:t>cefR</w:t>
      </w:r>
      <w:proofErr w:type="spellEnd"/>
      <w:r w:rsidRPr="00276DCE">
        <w:rPr>
          <w:sz w:val="20"/>
          <w:szCs w:val="20"/>
        </w:rPr>
        <w:t xml:space="preserve">) strains will be co-selected. Consequently, while doxy-PEP may not directly drive ceftriaxone resistance, it could indirectly increase its emergence probability through expansion of the resistant strain population, given that there is decreased susceptibility to ceftriaxone </w:t>
      </w:r>
      <w:r w:rsidRPr="00276DCE">
        <w:rPr>
          <w:sz w:val="20"/>
          <w:szCs w:val="20"/>
        </w:rPr>
        <w:fldChar w:fldCharType="begin"/>
      </w:r>
      <w:r w:rsidRPr="00276DCE">
        <w:rPr>
          <w:sz w:val="20"/>
          <w:szCs w:val="20"/>
        </w:rPr>
        <w:instrText xml:space="preserve"> ADDIN ZOTERO_ITEM CSL_CITATION {"citationID":"4ZNUhmhJ","properties":{"formattedCitation":"[2]","plainCitation":"[2]","noteIndex":0},"citationItems":[{"id":287,"uris":["http://zotero.org/users/9663344/items/UD4GZWU4"],"itemData":{"id":287,"type":"article-journal","container-title":"The Lancet Infectious Diseases","DOI":"10.1016/S1473-3099(23)00359-6","ISSN":"1473-3099, 1474-4457","issue":"8","journalAbbreviation":"The Lancet Infectious Diseases","language":"English","note":"publisher: Elsevier\nPMID: 37321241","page":"e268-e269","source":"www.thelancet.com","title":"Selection of Neisseria gonorrhoeae ceftriaxone resistance using doxycycline post-exposure prophylaxis","volume":"23","author":[{"family":"Whiley","given":"David M."},{"family":"Tickner","given":"Jacob A."},{"family":"Kundu","given":"Ratan L."},{"family":"Hogan","given":"Tiffany R."},{"family":"Hal","given":"Sebastiaan J.","dropping-particle":"van"},{"family":"Lahra","given":"Monica M."}],"issued":{"date-parts":[["2023",8,1]]}}}],"schema":"https://github.com/citation-style-language/schema/raw/master/csl-citation.json"} </w:instrText>
      </w:r>
      <w:r w:rsidRPr="00276DCE">
        <w:rPr>
          <w:sz w:val="20"/>
          <w:szCs w:val="20"/>
        </w:rPr>
        <w:fldChar w:fldCharType="separate"/>
      </w:r>
      <w:r w:rsidRPr="00276DCE">
        <w:rPr>
          <w:noProof/>
          <w:sz w:val="20"/>
          <w:szCs w:val="20"/>
        </w:rPr>
        <w:t>[2]</w:t>
      </w:r>
      <w:r w:rsidRPr="00276DCE">
        <w:rPr>
          <w:sz w:val="20"/>
          <w:szCs w:val="20"/>
        </w:rPr>
        <w:fldChar w:fldCharType="end"/>
      </w:r>
      <w:r w:rsidRPr="00276DCE">
        <w:rPr>
          <w:sz w:val="20"/>
          <w:szCs w:val="20"/>
        </w:rPr>
        <w:t>.</w:t>
      </w:r>
    </w:p>
    <w:p w14:paraId="2AFFBDF7" w14:textId="572352C8" w:rsidR="00276DCE" w:rsidRPr="00276DCE" w:rsidRDefault="00276DCE" w:rsidP="00276DCE">
      <w:pPr>
        <w:pStyle w:val="NormalWeb"/>
        <w:spacing w:line="276" w:lineRule="auto"/>
        <w:jc w:val="both"/>
        <w:rPr>
          <w:sz w:val="20"/>
          <w:szCs w:val="20"/>
        </w:rPr>
      </w:pPr>
      <w:r w:rsidRPr="00276DCE">
        <w:rPr>
          <w:sz w:val="20"/>
          <w:szCs w:val="20"/>
        </w:rPr>
        <w:t xml:space="preserve">At the same time, the Four-Component Serogroup B Meningococcal (4CMenB) vaccine, originally developed against </w:t>
      </w:r>
      <w:r w:rsidRPr="00276DCE">
        <w:rPr>
          <w:rStyle w:val="Emphasis"/>
          <w:rFonts w:eastAsiaTheme="majorEastAsia"/>
          <w:sz w:val="20"/>
          <w:szCs w:val="20"/>
        </w:rPr>
        <w:t>Neisseria meningitidis</w:t>
      </w:r>
      <w:r w:rsidRPr="00276DCE">
        <w:rPr>
          <w:sz w:val="20"/>
          <w:szCs w:val="20"/>
        </w:rPr>
        <w:t xml:space="preserve">, has demonstrated partial cross-protection against </w:t>
      </w:r>
      <w:r w:rsidRPr="00276DCE">
        <w:rPr>
          <w:rStyle w:val="Emphasis"/>
          <w:rFonts w:eastAsiaTheme="majorEastAsia"/>
          <w:sz w:val="20"/>
          <w:szCs w:val="20"/>
        </w:rPr>
        <w:t>N. gonorrhoeae</w:t>
      </w:r>
      <w:r w:rsidRPr="00276DCE">
        <w:rPr>
          <w:sz w:val="20"/>
          <w:szCs w:val="20"/>
        </w:rPr>
        <w:t xml:space="preserve">, likely due to shared surface antigens </w:t>
      </w:r>
      <w:r w:rsidRPr="00276DCE">
        <w:rPr>
          <w:sz w:val="20"/>
          <w:szCs w:val="20"/>
        </w:rPr>
        <w:fldChar w:fldCharType="begin"/>
      </w:r>
      <w:r w:rsidRPr="00276DCE">
        <w:rPr>
          <w:sz w:val="20"/>
          <w:szCs w:val="20"/>
        </w:rPr>
        <w:instrText xml:space="preserve"> ADDIN ZOTERO_ITEM CSL_CITATION {"citationID":"qvdfD3iE","properties":{"formattedCitation":"[6], [7]","plainCitation":"[6], [7]","noteIndex":0},"citationItems":[{"id":152,"uris":["http://zotero.org/users/9663344/items/WHKA7ZDX"],"itemData":{"id":152,"type":"article-journal","abstract":"BACKGROUND: Gonorrhea is the second most common sexually transmitted disease notified in Singapore in 2023. Evidence suggests that the 4CMenB vaccine designed to protect against Neisseria meningitidis infection may offer partial cross-protection against gonorrhea. This generated interest in using 4CMenB for the purpose of staving gonorrhea transmission. We explored the efficacy of potential gonorrhea vaccination strategies in the context of historically declining gonorrhea incidence.\nMETHODS AND FINDINGS: We employed an integrated transmission-dynamic model, calibrated using Bayesian methods to local surveillance data to understand the potential public health impact of 4CMenB in reducing gonorrhea acquisition and transmission in men who have sex with men (MSM) in Singapore. We explored the efficacy of implementing six vaccination programmes: (1) offering vaccination to all male adolescents in schools (vaccination before entry [VbE]), (2) offering vaccination to individuals attending sexual health clinics for testing (vaccination on attendance [VoA]), (3) offering vaccination to individuals attending sexual health clinics and who were diagnosed with gonorrhea (vaccination on diagnosis [VoD]), or (4) vaccination according to risk (VaR), by offering vaccination to patients who were diagnosed with gonorrhea plus individuals who tested negative, but report having more than five sexual partners per year. We further examined how altering (5) VoA and (6) VoD strategies changed if the strategies only targeted high risk groups (VoA(H),VoD(H)). We assessed efficacy by examining vaccination impact relative to no vaccination and when behavioral parameters were held constant. We further ascertained the effects of varying vaccine uptake (10%, 33%, 100%), vaccine efficacy (22%, 31%, 47%), and duration of protection (1.5, 4, 7.5 years) on the effectiveness of each vaccination strategy. For a hypothetical 10-year vaccination programme, VbE had 14.18% of MSM gonorrhea cases averted over the time the programme was implemented. VoA had the highest protective impact on the MSM population with 40.26% averted cases (95% credible interval (CrI): 18.32%-52.57%), but required more vaccine doses than any other strategy. VoD had a smaller impact (12.04% averted cases (95% CrI: 7.12%-15.00%)), but was three times more efficient than VoA in terms of averted cases per dose. VoA(H) and VoD(H) improved the efficiency of VoA and VoD strategies by increasing averted cases per dose to 0.22 and 0.24 respectively, but conferred similar protective effects as VoA (VoA(H): 40.10% averted cases (95% CrI: 18.14%-52.55%)) and VoD (VoD(H): 12.04% averted cases (95% CrI: 7.12%-15.00%)), respectively. VaR (40.10% averted cases (95% CrI: 18.14%-52.55%)) had almost the same impact as VoA, but was more efficient by requiring administration of fewer doses than VoA, with 0.21 (95% CrI: 0.12-0.27) averted cases per dose. Sensitivity analyses indicated that VaR had the greatest public health impact with the highest number of averted cases per dose for vaccines of any efficacy or duration of protection (or both), although VoD and VoD(H) saved more vaccine resource and had the highest number averted MSM cases per dose for highly protective vaccines of long protection.\nCONCLUSIONS: Vaccination of MSM against gonorrhea, according to risk in sexual health clinics in Singapore, can be considered to reduce gonorrhea acquisition and transmission. Development of gonorrhea-specific vaccines which focuses on protective efficacy and the implementation of efficient vaccination programmes can maximize public health impact.","container-title":"PLoS medicine","DOI":"10.1371/journal.pmed.1004521","ISSN":"1549-1676","issue":"2","journalAbbreviation":"PLoS Med","language":"eng","note":"PMID: 39919143\nPMCID: PMC11805383","page":"e1004521","source":"PubMed","title":"Potential public health impacts of gonorrhea vaccination programmes under declining incidences: A modeling study","title-short":"Potential public health impacts of gonorrhea vaccination programmes under declining incidences","volume":"22","author":[{"family":"Geng","given":"Lin"},{"family":"Whittles","given":"Lilith K."},{"family":"Dickens","given":"Borame L."},{"family":"Chio","given":"Martin T. W."},{"family":"Chen","given":"Yihao"},{"family":"Tan","given":"Rayner Kay Jin"},{"family":"Ghani","given":"Azra"},{"family":"Lim","given":"Jue Tao"}],"issued":{"date-parts":[["2025",2]]}}},{"id":56,"uris":["http://zotero.org/users/9663344/items/5RLZEHF8","http://zotero.org/users/9663344/items/KT468CMT"],"itemData":{"id":56,"type":"article-journal","abstract":"Background Gonorrhoea is a rapidly growing public health threat, with rising incidence and increasing drug resistance. Evidence that the MeNZB and four-component serogroup B meningococcal (4CMenB) vaccines, designed against Neisseria meningitidis, can also offer protection against gonorrhoea has created interest in using 4CMenB for this purpose and for developing gonorrhoea-specific vaccines. However, cost-effectiveness, and how the efficacy and duration of protection affect a gonorrhoea vaccine’s value, have not been assessed.","container-title":"The Lancet Infectious Diseases","DOI":"10.1016/S1473-3099(21)00744-1","ISSN":"14733099","issue":"7","journalAbbreviation":"The Lancet Infectious Diseases","language":"en","page":"1030-1041","source":"DOI.org (Crossref)","title":"Public health impact and cost-effectiveness of gonorrhoea vaccination: an integrated transmission-dynamic health-economic modelling analysis","title-short":"Public health impact and cost-effectiveness of gonorrhoea vaccination","volume":"22","author":[{"family":"Whittles","given":"Lilith K"},{"family":"Didelot","given":"Xavier"},{"family":"White","given":"Peter J"}],"issued":{"date-parts":[["2022",7]]}}}],"schema":"https://github.com/citation-style-language/schema/raw/master/csl-citation.json"} </w:instrText>
      </w:r>
      <w:r w:rsidRPr="00276DCE">
        <w:rPr>
          <w:sz w:val="20"/>
          <w:szCs w:val="20"/>
        </w:rPr>
        <w:fldChar w:fldCharType="separate"/>
      </w:r>
      <w:r w:rsidRPr="00276DCE">
        <w:rPr>
          <w:noProof/>
          <w:sz w:val="20"/>
          <w:szCs w:val="20"/>
        </w:rPr>
        <w:t>[6], [7]</w:t>
      </w:r>
      <w:r w:rsidRPr="00276DCE">
        <w:rPr>
          <w:sz w:val="20"/>
          <w:szCs w:val="20"/>
        </w:rPr>
        <w:fldChar w:fldCharType="end"/>
      </w:r>
      <w:r w:rsidRPr="00276DCE">
        <w:rPr>
          <w:sz w:val="20"/>
          <w:szCs w:val="20"/>
        </w:rPr>
        <w:t xml:space="preserve">. Real-world data indicate that 4CMenB vaccination reduces gonorrhoea incidence by approximately 30-40% </w:t>
      </w:r>
      <w:r w:rsidRPr="00276DCE">
        <w:rPr>
          <w:sz w:val="20"/>
          <w:szCs w:val="20"/>
        </w:rPr>
        <w:fldChar w:fldCharType="begin"/>
      </w:r>
      <w:r w:rsidRPr="00276DCE">
        <w:rPr>
          <w:sz w:val="20"/>
          <w:szCs w:val="20"/>
        </w:rPr>
        <w:instrText xml:space="preserve"> ADDIN ZOTERO_ITEM CSL_CITATION {"citationID":"HPOzFcKr","properties":{"formattedCitation":"[8]","plainCitation":"[8]","noteIndex":0},"citationItems":[{"id":409,"uris":["http://zotero.org/users/9663344/items/S8TLUVMP"],"itemData":{"id":409,"type":"article-journal","container-title":"The Lancet Infectious Diseases","DOI":"10.1016/S1473-3099(24)00031-8","ISSN":"1473-3099, 1474-4457","issue":"9","journalAbbreviation":"The Lancet Infectious Diseases","language":"English","note":"publisher: Elsevier\nPMID: 38521080","page":"e576-e583","source":"www.thelancet.com","title":"Use of a meningococcal group B vaccine (4CMenB) in populations at high risk of gonorrhoea in the UK","volume":"24","author":[{"family":"Ladhani","given":"Shamez N."},{"family":"White","given":"Peter J."},{"family":"Campbell","given":"Helen"},{"family":"Mandal","given":"Sema"},{"family":"Borrow","given":"Ray"},{"family":"Andrews","given":"Nick"},{"family":"Bhopal","given":"Sunil"},{"family":"Saunders","given":"John"},{"family":"Mohammed","given":"Hamish"},{"family":"Drisdale-Gordon","given":"Lana"},{"family":"Callan","given":"Emma"},{"family":"Sinka","given":"Katy"},{"family":"Folkard","given":"Kate"},{"family":"Fifer","given":"Helen"},{"family":"Ramsay","given":"Mary E."}],"issued":{"date-parts":[["2024",9,1]]}}}],"schema":"https://github.com/citation-style-language/schema/raw/master/csl-citation.json"} </w:instrText>
      </w:r>
      <w:r w:rsidRPr="00276DCE">
        <w:rPr>
          <w:sz w:val="20"/>
          <w:szCs w:val="20"/>
        </w:rPr>
        <w:fldChar w:fldCharType="separate"/>
      </w:r>
      <w:r w:rsidRPr="00276DCE">
        <w:rPr>
          <w:noProof/>
          <w:sz w:val="20"/>
          <w:szCs w:val="20"/>
        </w:rPr>
        <w:t>[8]</w:t>
      </w:r>
      <w:r w:rsidRPr="00276DCE">
        <w:rPr>
          <w:sz w:val="20"/>
          <w:szCs w:val="20"/>
        </w:rPr>
        <w:fldChar w:fldCharType="end"/>
      </w:r>
      <w:r w:rsidRPr="00276DCE">
        <w:rPr>
          <w:sz w:val="20"/>
          <w:szCs w:val="20"/>
        </w:rPr>
        <w:t>. Incorporating 4CMenB into gonorrhoea prevention strategies is therefore critical, as its moderate protective effect could reduce both the incidence and transmission of antibiotic-resistant strains. Fewer infections overall would slow the spread of resistance, while reduced antibiotic treatment demand would lessen selection pressure for AMR development.</w:t>
      </w:r>
    </w:p>
    <w:p w14:paraId="30277E41" w14:textId="620A7552" w:rsidR="00276DCE" w:rsidRPr="00276DCE" w:rsidRDefault="00276DCE" w:rsidP="00276DCE">
      <w:pPr>
        <w:pStyle w:val="NormalWeb"/>
        <w:spacing w:line="276" w:lineRule="auto"/>
        <w:jc w:val="both"/>
        <w:rPr>
          <w:sz w:val="20"/>
          <w:szCs w:val="20"/>
        </w:rPr>
      </w:pPr>
      <w:r w:rsidRPr="00276DCE">
        <w:rPr>
          <w:sz w:val="20"/>
          <w:szCs w:val="20"/>
        </w:rPr>
        <w:t xml:space="preserve">Although previous modelling studies have shown that antibiotic exposure can accelerate AMR </w:t>
      </w:r>
      <w:r w:rsidRPr="00276DCE">
        <w:rPr>
          <w:color w:val="000000" w:themeColor="text1"/>
          <w:sz w:val="20"/>
          <w:szCs w:val="20"/>
          <w:shd w:val="clear" w:color="auto" w:fill="FFFFFF"/>
        </w:rPr>
        <w:fldChar w:fldCharType="begin"/>
      </w:r>
      <w:r w:rsidRPr="00276DCE">
        <w:rPr>
          <w:color w:val="000000" w:themeColor="text1"/>
          <w:sz w:val="20"/>
          <w:szCs w:val="20"/>
          <w:shd w:val="clear" w:color="auto" w:fill="FFFFFF"/>
        </w:rPr>
        <w:instrText xml:space="preserve"> ADDIN ZOTERO_ITEM CSL_CITATION {"citationID":"izu2g4UO","properties":{"formattedCitation":"[9], [10], [11]","plainCitation":"[9], [10], [11]","noteIndex":0},"citationItems":[{"id":174,"uris":["http://zotero.org/users/9663344/items/9QGBX5LM"],"itemData":{"id":174,"type":"article-journal","abstract":"Mathematical modeling suggests that rapid diagnostics that report antibiotic susceptibility have the potential to extend the usefulness of existing antibiotics for treatment of gonorrhea compared with the current guidelines for empiric 2-drug treatment.","container-title":"The Journal of Infectious Diseases","DOI":"10.1093/infdis/jix450","ISSN":"0022-1899","issue":"9","journalAbbreviation":"J Infect Dis","note":"PMID: 28968710\nPMCID: PMC5853443","page":"1141-1149","source":"PubMed Central","title":"Impact of Rapid Susceptibility Testing and Antibiotic Selection Strategy on the Emergence and Spread of Antibiotic Resistance in Gonorrhea","volume":"216","author":[{"family":"Tuite","given":"Ashleigh R"},{"family":"Gift","given":"Thomas L"},{"family":"Chesson","given":"Harrell W"},{"family":"Hsu","given":"Katherine"},{"family":"Salomon","given":"Joshua A"},{"family":"Grad","given":"Yonatan H"}],"issued":{"date-parts":[["2017",11,1]]}}},{"id":284,"uris":["http://zotero.org/users/9663344/items/ZFKAH64V"],"itemData":{"id":284,"type":"article-journal","abstract":"Background—Gonorrhoea is a highly prevalent sexually transmitted infection and an urgent public health concern because of increasing antibiotic resistance in Neisseriagonorrhoeae. Only ceftriaxone remains as the recommended treatment in the USA. With the prospect of new antigonococcal antibiotics being approved, we aimed to evaluate how to deploy a new drug to maximise its clinically useful lifespan.","container-title":"The Lancet Microbe","DOI":"10.1016/S2666-5247(23)00145-3","ISSN":"26665247","issue":"10","journalAbbreviation":"The Lancet Microbe","language":"en","page":"e781-e789","source":"DOI.org (Crossref)","title":"Resistance-minimising strategies for introducing a novel antibiotic for gonorrhoea treatment: a mathematical modelling study","title-short":"Resistance-minimising strategies for introducing a novel antibiotic for gonorrhoea treatment","volume":"4","author":[{"family":"Reichert","given":"Emily"},{"family":"Yaesoubi","given":"Reza"},{"family":"Rönn","given":"Minttu M"},{"family":"Gift","given":"Thomas L"},{"family":"Salomon","given":"Joshua A"},{"family":"Grad","given":"Yonatan H"}],"issued":{"date-parts":[["2023",10]]}}},{"id":187,"uris":["http://zotero.org/users/9663344/items/HYSVKZR9"],"itemData":{"id":187,"type":"article-journal","abstract":"Background Doxycycline post-exposure prophylaxis (PEP) has been shown to be efﬁcacious for the prevention of bacterial sexually transmitted infections, but resistance implications for Neisseria gonorrhoeae remain unknown. We aimed to use a mathematical model to investigate the anticipated impact of doxycycline PEP on the burden of gonorrhoea and antimicrobial resistance dynamics in men who have sex with men (MSM) in the USA.","container-title":"The Lancet Microbe","DOI":"10.1016/s2666-5247(24)00168-x","ISSN":"2666-5247","issue":"11","language":"en","license":"https://www.elsevier.com/tdm/userlicense/1.0/","note":"publisher: Elsevier BV","page":"100926","source":"Crossref","title":"Effects of doxycycline post-exposure prophylaxis for prevention of sexually transmitted infections on gonorrhoea prevalence and antimicrobial resistance among men who have sex with men in the USA: a modelling study","title-short":"Effects of doxycycline post-exposure prophylaxis for prevention of sexually transmitted infections on gonorrhoea prevalence and antimicrobial resistance among men who have sex with men in the USA","volume":"5","author":[{"family":"Reichert","given":"Emily"},{"family":"Grad","given":"Yonatan H"}],"issued":{"date-parts":[["2024",11]]}}}],"schema":"https://github.com/citation-style-language/schema/raw/master/csl-citation.json"} </w:instrText>
      </w:r>
      <w:r w:rsidRPr="00276DCE">
        <w:rPr>
          <w:color w:val="000000" w:themeColor="text1"/>
          <w:sz w:val="20"/>
          <w:szCs w:val="20"/>
          <w:shd w:val="clear" w:color="auto" w:fill="FFFFFF"/>
        </w:rPr>
        <w:fldChar w:fldCharType="separate"/>
      </w:r>
      <w:r w:rsidRPr="00276DCE">
        <w:rPr>
          <w:noProof/>
          <w:color w:val="000000" w:themeColor="text1"/>
          <w:sz w:val="20"/>
          <w:szCs w:val="20"/>
          <w:shd w:val="clear" w:color="auto" w:fill="FFFFFF"/>
        </w:rPr>
        <w:t>[9], [10], [11]</w:t>
      </w:r>
      <w:r w:rsidRPr="00276DCE">
        <w:rPr>
          <w:color w:val="000000" w:themeColor="text1"/>
          <w:sz w:val="20"/>
          <w:szCs w:val="20"/>
          <w:shd w:val="clear" w:color="auto" w:fill="FFFFFF"/>
        </w:rPr>
        <w:fldChar w:fldCharType="end"/>
      </w:r>
      <w:r w:rsidRPr="00276DCE">
        <w:rPr>
          <w:color w:val="000000" w:themeColor="text1"/>
          <w:sz w:val="20"/>
          <w:szCs w:val="20"/>
          <w:shd w:val="clear" w:color="auto" w:fill="FFFFFF"/>
        </w:rPr>
        <w:t xml:space="preserve"> while vaccination can ameliorate AMR </w:t>
      </w:r>
      <w:r w:rsidRPr="00276DCE">
        <w:rPr>
          <w:sz w:val="20"/>
          <w:szCs w:val="20"/>
        </w:rPr>
        <w:t xml:space="preserve">in </w:t>
      </w:r>
      <w:r w:rsidRPr="00276DCE">
        <w:rPr>
          <w:rStyle w:val="Emphasis"/>
          <w:rFonts w:eastAsiaTheme="majorEastAsia"/>
          <w:sz w:val="20"/>
          <w:szCs w:val="20"/>
        </w:rPr>
        <w:t>N. gonorrhoeae</w:t>
      </w:r>
      <w:r w:rsidRPr="00276DCE">
        <w:rPr>
          <w:sz w:val="20"/>
          <w:szCs w:val="20"/>
        </w:rPr>
        <w:t xml:space="preserve"> </w:t>
      </w:r>
      <w:r w:rsidRPr="00276DCE">
        <w:rPr>
          <w:sz w:val="20"/>
          <w:szCs w:val="20"/>
        </w:rPr>
        <w:fldChar w:fldCharType="begin"/>
      </w:r>
      <w:r w:rsidRPr="00276DCE">
        <w:rPr>
          <w:sz w:val="20"/>
          <w:szCs w:val="20"/>
        </w:rPr>
        <w:instrText xml:space="preserve"> ADDIN ZOTERO_ITEM CSL_CITATION {"citationID":"Jf1aabV3","properties":{"formattedCitation":"[12], [13]","plainCitation":"[12], [13]","noteIndex":0},"citationItems":[{"id":297,"uris":["http://zotero.org/users/9663344/items/KC9H5ARD"],"itemData":{"id":297,"type":"article-journal","abstract":"Gonorrhea incidence is increasing rapidly in many countries, while antibiotic resistance is making treatment more difficult. Combined with evidence that two meningococcal vaccines are likely partially protective against gonorrhea, this has renewed interest in a gonococcal vaccine, and several candidates are in development. Key questions are how protective and long-lasting a vaccine needs to be, and how to target it. We assessed vaccination’s potential impact and the feasibility of achieving the World Health Organization’s (WHO) target of reducing gonorrhea incidence by 90% during 2018–2030, by comparing realistic vaccination strategies under a range of scenarios of vaccine efficacy and duration of protection, and emergence of extensively-resistant gonorrhea.We developed a stochastic transmission-dynamic model, incorporating asymptomatic and symptomatic infection and heterogeneous sexual behavior in men who have sex with men (MSM). We used data from England, which has a comprehensive, consistent nationwide surveillance system. Using particle Markov chain Monte Carlo methods, we fitted to gonorrhea incidence in 2008–2017, then used Bayesian forecasting to examine an extensive range of scenarios.Even in the worst-case scenario of untreatable infection emerging, the WHO target is achievable if all MSM attending sexual health clinics receive a vaccine offering ≥ 52% protection for ≥ 6 years. A vaccine conferring 31% protection (as estimated for MeNZB) for 2–4 years could reduce incidence in 2030 by 45% in the worst-case scenario, and by 75% if &amp;gt; 70% of resistant gonorrhea remains treatable.Even a partially-protective vaccine, delivered through a realistic targeting strategy, could substantially reduce gonorrhea incidence, despite antibiotic resistance.","container-title":"Clinical Infectious Diseases","DOI":"10.1093/cid/ciz1241","ISSN":"1058-4838","issue":"8","journalAbbreviation":"Clin Infect Dis","page":"1912-1919","source":"Silverchair","title":"Assessment of the Potential of Vaccination to Combat Antibiotic Resistance in Gonorrhea: A Modeling Analysis to Determine Preferred Product Characteristics","title-short":"Assessment of the Potential of Vaccination to Combat Antibiotic Resistance in Gonorrhea","volume":"71","author":[{"family":"Whittles","given":"Lilith K"},{"family":"White","given":"Peter J"},{"family":"Didelot","given":"Xavier"}],"issued":{"date-parts":[["2020",11,5]]}}},{"id":406,"uris":["http://zotero.org/users/9663344/items/NEWELCWA"],"itemData":{"id":406,"type":"article-journal","abstract":"Background Gonorrhoea is one of the most common bacterial sexually transmitted infections in England. Over 41,000 cases were recorded in 2015, more than half of which occurred in men who have sex with men (MSM). As the bacterium has developed resistance to each first-line antibiotic in turn, we need an improved understanding of fitness benefits and costs of antibiotic resistance to inform control policy and planning. Cefixime was recommended as a singledose treatment for gonorrhoea from 2005 to 2010, during which time resistance increased, and subsequently declined.","container-title":"PLOS Medicine","DOI":"10.1371/journal.pmed.1002416","ISSN":"1549-1676","issue":"10","journalAbbreviation":"PLoS Med","language":"en","page":"e1002416","source":"DOI.org (Crossref)","title":"Estimating the fitness cost and benefit of cefixime resistance in Neisseria gonorrhoeae to inform prescription policy: A modelling study","title-short":"Estimating the fitness cost and benefit of cefixime resistance in Neisseria gonorrhoeae to inform prescription policy","volume":"14","author":[{"family":"Whittles","given":"Lilith K."},{"family":"White","given":"Peter J."},{"family":"Didelot","given":"Xavier"}],"editor":[{"family":"Low","given":"Nicola"}],"issued":{"date-parts":[["2017",10,31]]}}}],"schema":"https://github.com/citation-style-language/schema/raw/master/csl-citation.json"} </w:instrText>
      </w:r>
      <w:r w:rsidRPr="00276DCE">
        <w:rPr>
          <w:sz w:val="20"/>
          <w:szCs w:val="20"/>
        </w:rPr>
        <w:fldChar w:fldCharType="separate"/>
      </w:r>
      <w:r w:rsidRPr="00276DCE">
        <w:rPr>
          <w:noProof/>
          <w:sz w:val="20"/>
          <w:szCs w:val="20"/>
        </w:rPr>
        <w:t>[12], [13]</w:t>
      </w:r>
      <w:r w:rsidRPr="00276DCE">
        <w:rPr>
          <w:sz w:val="20"/>
          <w:szCs w:val="20"/>
        </w:rPr>
        <w:fldChar w:fldCharType="end"/>
      </w:r>
      <w:r w:rsidRPr="00276DCE">
        <w:rPr>
          <w:color w:val="000000" w:themeColor="text1"/>
          <w:sz w:val="20"/>
          <w:szCs w:val="20"/>
          <w:shd w:val="clear" w:color="auto" w:fill="FFFFFF"/>
        </w:rPr>
        <w:t xml:space="preserve">, </w:t>
      </w:r>
      <w:r w:rsidRPr="00276DCE">
        <w:rPr>
          <w:sz w:val="20"/>
          <w:szCs w:val="20"/>
        </w:rPr>
        <w:t>important uncertainties remain. These include the rate at which dual-resistant strains may emerge, the extent to which doxy-PEP for syphilis use among high-risk populations alters strain dynamics, and whether increased doxycycline use is counterbalanced by reduced gonorrhoea treatment demand. Furthermore, it remains unclear whether population-level doxy-PEP rollout will cause a sustained rise in tetracycline-resistant gonorrhoea and whether concurrent vaccination could mitigate this risk.</w:t>
      </w:r>
    </w:p>
    <w:p w14:paraId="76234F10" w14:textId="64F004C3" w:rsidR="00276DCE" w:rsidRPr="00276DCE" w:rsidRDefault="00276DCE" w:rsidP="00276DCE">
      <w:pPr>
        <w:pStyle w:val="NormalWeb"/>
        <w:spacing w:line="276" w:lineRule="auto"/>
        <w:jc w:val="both"/>
        <w:rPr>
          <w:sz w:val="20"/>
          <w:szCs w:val="20"/>
        </w:rPr>
      </w:pPr>
      <w:r w:rsidRPr="00276DCE">
        <w:rPr>
          <w:sz w:val="20"/>
          <w:szCs w:val="20"/>
        </w:rPr>
        <w:t xml:space="preserve">Given these uncertainties, this chapter aims to investigate how doxy-PEP for syphilis prevention may exacerbate the spread of doxycycline-resistant and dual-resistant </w:t>
      </w:r>
      <w:r w:rsidRPr="00276DCE">
        <w:rPr>
          <w:rStyle w:val="Emphasis"/>
          <w:rFonts w:eastAsiaTheme="majorEastAsia"/>
          <w:sz w:val="20"/>
          <w:szCs w:val="20"/>
        </w:rPr>
        <w:t>N. gonorrhoeae</w:t>
      </w:r>
      <w:r w:rsidRPr="00276DCE">
        <w:rPr>
          <w:sz w:val="20"/>
          <w:szCs w:val="20"/>
        </w:rPr>
        <w:t xml:space="preserve"> strains, particularly in the context of the already high prevalence of tetracycline resistance </w:t>
      </w:r>
      <w:r w:rsidRPr="00276DCE">
        <w:rPr>
          <w:sz w:val="20"/>
          <w:szCs w:val="20"/>
        </w:rPr>
        <w:fldChar w:fldCharType="begin"/>
      </w:r>
      <w:r w:rsidRPr="00276DCE">
        <w:rPr>
          <w:sz w:val="20"/>
          <w:szCs w:val="20"/>
        </w:rPr>
        <w:instrText xml:space="preserve"> ADDIN ZOTERO_ITEM CSL_CITATION {"citationID":"bWgM7jis","properties":{"formattedCitation":"[4]","plainCitation":"[4]","noteIndex":0},"citationItems":[{"id":408,"uris":["http://zotero.org/users/9663344/items/PRBSX5RW"],"itemData":{"id":408,"type":"article-journal","container-title":"International Journal of STD &amp; AIDS","DOI":"10.1177/0956462419886775","ISSN":"0956-4624, 1758-1052","issue":"1","journalAbbreviation":"Int J STD AIDS","language":"en","page":"4-15","source":"DOI.org (Crossref)","title":"2018 UK national guideline for the management of infection with Neisseria gonorrhoeae","volume":"31","author":[{"family":"Fifer","given":"Helen"},{"family":"Saunders","given":"John"},{"family":"Soni","given":"Suneeta"},{"family":"Sadiq","given":"S Tariq"},{"family":"FitzGerald","given":"Mark"}],"issued":{"date-parts":[["2020",1]]}}}],"schema":"https://github.com/citation-style-language/schema/raw/master/csl-citation.json"} </w:instrText>
      </w:r>
      <w:r w:rsidRPr="00276DCE">
        <w:rPr>
          <w:sz w:val="20"/>
          <w:szCs w:val="20"/>
        </w:rPr>
        <w:fldChar w:fldCharType="separate"/>
      </w:r>
      <w:r w:rsidRPr="00276DCE">
        <w:rPr>
          <w:noProof/>
          <w:sz w:val="20"/>
          <w:szCs w:val="20"/>
        </w:rPr>
        <w:t>[4]</w:t>
      </w:r>
      <w:r w:rsidRPr="00276DCE">
        <w:rPr>
          <w:sz w:val="20"/>
          <w:szCs w:val="20"/>
        </w:rPr>
        <w:fldChar w:fldCharType="end"/>
      </w:r>
      <w:r w:rsidRPr="00276DCE">
        <w:rPr>
          <w:sz w:val="20"/>
          <w:szCs w:val="20"/>
        </w:rPr>
        <w:t xml:space="preserve">, among men who have sex with men (MSM). We also evaluate how widespread implementation of 4CMenB vaccination could mitigate AMR emergence and offset the evolutionary risks introduced by doxy-PEP use for syphilis. To this end, we develop a strain-specific mathematical model to project the long-term AMR dynamics of </w:t>
      </w:r>
      <w:r w:rsidRPr="00276DCE">
        <w:rPr>
          <w:rStyle w:val="Emphasis"/>
          <w:rFonts w:eastAsiaTheme="majorEastAsia"/>
          <w:sz w:val="20"/>
          <w:szCs w:val="20"/>
        </w:rPr>
        <w:t>N. gonorrhoeae</w:t>
      </w:r>
      <w:r w:rsidRPr="00276DCE">
        <w:rPr>
          <w:sz w:val="20"/>
          <w:szCs w:val="20"/>
        </w:rPr>
        <w:t xml:space="preserve"> under varying levels of doxy-PEP uptake and 4CMenB coverage. We hypothesize that while widespread doxy-PEP use for syphilis prevention will accelerate the emergence of tetracycline resistance, co-implementation of 4CMenB could substantially reduce both gonorrhoea incidence and AMR spread, thereby providing a potential strategy to balance the prophylactic benefits of doxy-PEP against its evolutionary risks.</w:t>
      </w:r>
    </w:p>
    <w:p w14:paraId="482AFC20" w14:textId="77777777" w:rsidR="00276DCE" w:rsidRPr="00276DCE" w:rsidRDefault="00276DCE" w:rsidP="00276DCE">
      <w:pPr>
        <w:pStyle w:val="NormalWeb"/>
        <w:spacing w:line="276" w:lineRule="auto"/>
        <w:jc w:val="both"/>
        <w:rPr>
          <w:sz w:val="20"/>
          <w:szCs w:val="20"/>
        </w:rPr>
        <w:sectPr w:rsidR="00276DCE" w:rsidRPr="00276DCE" w:rsidSect="00276DCE">
          <w:pgSz w:w="11910" w:h="16840"/>
          <w:pgMar w:top="1582" w:right="1418" w:bottom="958" w:left="1418" w:header="0" w:footer="760" w:gutter="170"/>
          <w:cols w:space="720"/>
          <w:docGrid w:linePitch="360"/>
        </w:sectPr>
      </w:pPr>
    </w:p>
    <w:p w14:paraId="7C5425F1" w14:textId="25705BA9" w:rsidR="00276DCE" w:rsidRPr="00276DCE" w:rsidRDefault="00624970" w:rsidP="00276DCE">
      <w:pPr>
        <w:pStyle w:val="NormalWeb"/>
        <w:spacing w:line="276" w:lineRule="auto"/>
        <w:jc w:val="both"/>
        <w:rPr>
          <w:sz w:val="20"/>
          <w:szCs w:val="20"/>
        </w:rPr>
      </w:pPr>
      <w:r>
        <w:rPr>
          <w:noProof/>
          <w:sz w:val="20"/>
          <w:szCs w:val="20"/>
          <w14:ligatures w14:val="standardContextual"/>
        </w:rPr>
        <w:lastRenderedPageBreak/>
        <w:drawing>
          <wp:inline distT="0" distB="0" distL="0" distR="0" wp14:anchorId="62791C9D" wp14:editId="24E799F8">
            <wp:extent cx="8863330" cy="3553460"/>
            <wp:effectExtent l="0" t="0" r="1270" b="0"/>
            <wp:docPr id="8602007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200747" name="Picture 860200747"/>
                    <pic:cNvPicPr/>
                  </pic:nvPicPr>
                  <pic:blipFill>
                    <a:blip r:embed="rId5"/>
                    <a:stretch>
                      <a:fillRect/>
                    </a:stretch>
                  </pic:blipFill>
                  <pic:spPr>
                    <a:xfrm>
                      <a:off x="0" y="0"/>
                      <a:ext cx="8863330" cy="3553460"/>
                    </a:xfrm>
                    <a:prstGeom prst="rect">
                      <a:avLst/>
                    </a:prstGeom>
                  </pic:spPr>
                </pic:pic>
              </a:graphicData>
            </a:graphic>
          </wp:inline>
        </w:drawing>
      </w:r>
    </w:p>
    <w:p w14:paraId="1FFF3A91" w14:textId="77777777" w:rsidR="00276DCE" w:rsidRDefault="00276DCE" w:rsidP="00276DCE">
      <w:pPr>
        <w:spacing w:before="100" w:beforeAutospacing="1" w:after="100" w:afterAutospacing="1" w:line="276" w:lineRule="auto"/>
        <w:jc w:val="both"/>
        <w:rPr>
          <w:rFonts w:ascii="Times New Roman" w:hAnsi="Times New Roman" w:cs="Times New Roman"/>
          <w:color w:val="000000" w:themeColor="text1"/>
          <w:sz w:val="20"/>
          <w:szCs w:val="20"/>
        </w:rPr>
      </w:pPr>
      <w:r w:rsidRPr="00276DCE">
        <w:rPr>
          <w:rFonts w:ascii="Times New Roman" w:hAnsi="Times New Roman" w:cs="Times New Roman"/>
          <w:color w:val="000000" w:themeColor="text1"/>
          <w:sz w:val="20"/>
          <w:szCs w:val="20"/>
        </w:rPr>
        <w:t xml:space="preserve">Fig. 1: Model architecture of gonorrhoea AMR emergence under doxy-PEP for syphilis and 4CMenB for gonorrhoea. The model stratifies MSM population into low-activity (orange) and high-activity (red) groups, which share the same compartmental structure but differ in transition rates. For clarity, only transitions in and out of the high-activity group (upper layer) are shown. The model further divides MSM population into four strata </w:t>
      </w:r>
      <m:oMath>
        <m:d>
          <m:dPr>
            <m:begChr m:val="{"/>
            <m:endChr m:val="}"/>
            <m:ctrlPr>
              <w:rPr>
                <w:rFonts w:ascii="Cambria Math" w:hAnsi="Cambria Math" w:cs="Times New Roman"/>
                <w:i/>
                <w:color w:val="000000" w:themeColor="text1"/>
                <w:sz w:val="20"/>
                <w:szCs w:val="20"/>
                <w:lang w:val="en-US"/>
              </w:rPr>
            </m:ctrlPr>
          </m:dPr>
          <m:e>
            <m:r>
              <w:rPr>
                <w:rFonts w:ascii="Cambria Math" w:hAnsi="Cambria Math" w:cs="Times New Roman"/>
                <w:color w:val="000000" w:themeColor="text1"/>
                <w:sz w:val="20"/>
                <w:szCs w:val="20"/>
                <w:lang w:val="en-US"/>
              </w:rPr>
              <m:t>N,D,V,M</m:t>
            </m:r>
          </m:e>
        </m:d>
      </m:oMath>
      <w:r w:rsidRPr="00276DCE">
        <w:rPr>
          <w:rFonts w:ascii="Times New Roman" w:hAnsi="Times New Roman" w:cs="Times New Roman"/>
          <w:color w:val="000000" w:themeColor="text1"/>
          <w:sz w:val="20"/>
          <w:szCs w:val="20"/>
          <w:lang w:val="en-US"/>
        </w:rPr>
        <w:t xml:space="preserve"> </w:t>
      </w:r>
      <w:r w:rsidRPr="00276DCE">
        <w:rPr>
          <w:rFonts w:ascii="Times New Roman" w:hAnsi="Times New Roman" w:cs="Times New Roman"/>
          <w:color w:val="000000" w:themeColor="text1"/>
          <w:sz w:val="20"/>
          <w:szCs w:val="20"/>
        </w:rPr>
        <w:t xml:space="preserve">based on their uptake status of doxy-PEP and 4CMenB, </w:t>
      </w:r>
      <w:r w:rsidRPr="00276DCE">
        <w:rPr>
          <w:rFonts w:ascii="Times New Roman" w:hAnsi="Times New Roman" w:cs="Times New Roman"/>
          <w:sz w:val="20"/>
          <w:szCs w:val="20"/>
        </w:rPr>
        <w:t>representing individuals who take neither intervention, doxy-PEP only, 4CMenB only, or both, respectively</w:t>
      </w:r>
      <w:r w:rsidRPr="00276DCE">
        <w:rPr>
          <w:rFonts w:ascii="Times New Roman" w:hAnsi="Times New Roman" w:cs="Times New Roman"/>
          <w:color w:val="000000" w:themeColor="text1"/>
          <w:sz w:val="20"/>
          <w:szCs w:val="20"/>
        </w:rPr>
        <w:t>. Individuals enter the sexually active population as uninfected (</w:t>
      </w:r>
      <m:oMath>
        <m:r>
          <w:rPr>
            <w:rFonts w:ascii="Cambria Math" w:hAnsi="Cambria Math" w:cs="Times New Roman"/>
            <w:color w:val="000000" w:themeColor="text1"/>
            <w:sz w:val="20"/>
            <w:szCs w:val="20"/>
          </w:rPr>
          <m:t>U</m:t>
        </m:r>
      </m:oMath>
      <w:r w:rsidRPr="00276DCE">
        <w:rPr>
          <w:rFonts w:ascii="Times New Roman" w:hAnsi="Times New Roman" w:cs="Times New Roman"/>
          <w:color w:val="000000" w:themeColor="text1"/>
          <w:sz w:val="20"/>
          <w:szCs w:val="20"/>
        </w:rPr>
        <w:t xml:space="preserve">) in stratum </w:t>
      </w:r>
      <m:oMath>
        <m:r>
          <w:rPr>
            <w:rFonts w:ascii="Cambria Math" w:hAnsi="Cambria Math" w:cs="Times New Roman"/>
            <w:color w:val="000000" w:themeColor="text1"/>
            <w:sz w:val="20"/>
            <w:szCs w:val="20"/>
            <w:lang w:val="en-US"/>
          </w:rPr>
          <m:t>N</m:t>
        </m:r>
      </m:oMath>
      <w:r w:rsidRPr="00276DCE">
        <w:rPr>
          <w:rFonts w:ascii="Times New Roman" w:hAnsi="Times New Roman" w:cs="Times New Roman"/>
          <w:color w:val="000000" w:themeColor="text1"/>
          <w:sz w:val="20"/>
          <w:szCs w:val="20"/>
          <w:lang w:val="en-US"/>
        </w:rPr>
        <w:t xml:space="preserve"> and </w:t>
      </w:r>
      <w:r w:rsidRPr="00276DCE">
        <w:rPr>
          <w:rFonts w:ascii="Times New Roman" w:hAnsi="Times New Roman" w:cs="Times New Roman"/>
          <w:color w:val="000000" w:themeColor="text1"/>
          <w:sz w:val="20"/>
          <w:szCs w:val="20"/>
        </w:rPr>
        <w:t>may exit the sexually active population due to aging at any stage</w:t>
      </w:r>
      <w:r w:rsidRPr="00276DCE">
        <w:rPr>
          <w:rFonts w:ascii="Times New Roman" w:hAnsi="Times New Roman" w:cs="Times New Roman"/>
          <w:color w:val="000000" w:themeColor="text1"/>
          <w:sz w:val="20"/>
          <w:szCs w:val="20"/>
          <w:lang w:val="en-US"/>
        </w:rPr>
        <w:t xml:space="preserve">. </w:t>
      </w:r>
      <w:r w:rsidRPr="00276DCE">
        <w:rPr>
          <w:rFonts w:ascii="Times New Roman" w:hAnsi="Times New Roman" w:cs="Times New Roman"/>
          <w:color w:val="000000" w:themeColor="text1"/>
          <w:sz w:val="20"/>
          <w:szCs w:val="20"/>
        </w:rPr>
        <w:t>Infections progress from uninfected (</w:t>
      </w:r>
      <m:oMath>
        <m:r>
          <w:rPr>
            <w:rFonts w:ascii="Cambria Math" w:hAnsi="Cambria Math" w:cs="Times New Roman"/>
            <w:color w:val="000000" w:themeColor="text1"/>
            <w:sz w:val="20"/>
            <w:szCs w:val="20"/>
          </w:rPr>
          <m:t>U</m:t>
        </m:r>
      </m:oMath>
      <w:r w:rsidRPr="00276DCE">
        <w:rPr>
          <w:rFonts w:ascii="Times New Roman" w:hAnsi="Times New Roman" w:cs="Times New Roman"/>
          <w:color w:val="000000" w:themeColor="text1"/>
          <w:sz w:val="20"/>
          <w:szCs w:val="20"/>
        </w:rPr>
        <w:t>) to exposed (</w:t>
      </w:r>
      <m:oMath>
        <m:r>
          <w:rPr>
            <w:rFonts w:ascii="Cambria Math" w:hAnsi="Cambria Math" w:cs="Times New Roman"/>
            <w:color w:val="000000" w:themeColor="text1"/>
            <w:sz w:val="20"/>
            <w:szCs w:val="20"/>
          </w:rPr>
          <m:t>E</m:t>
        </m:r>
      </m:oMath>
      <w:r w:rsidRPr="00276DCE">
        <w:rPr>
          <w:rFonts w:ascii="Times New Roman" w:hAnsi="Times New Roman" w:cs="Times New Roman"/>
          <w:color w:val="000000" w:themeColor="text1"/>
          <w:sz w:val="20"/>
          <w:szCs w:val="20"/>
        </w:rPr>
        <w:t>), then to asymptomatic (</w:t>
      </w:r>
      <m:oMath>
        <m:r>
          <w:rPr>
            <w:rFonts w:ascii="Cambria Math" w:hAnsi="Cambria Math" w:cs="Times New Roman"/>
            <w:color w:val="000000" w:themeColor="text1"/>
            <w:sz w:val="20"/>
            <w:szCs w:val="20"/>
          </w:rPr>
          <m:t>A</m:t>
        </m:r>
      </m:oMath>
      <w:r w:rsidRPr="00276DCE">
        <w:rPr>
          <w:rFonts w:ascii="Times New Roman" w:hAnsi="Times New Roman" w:cs="Times New Roman"/>
          <w:color w:val="000000" w:themeColor="text1"/>
          <w:sz w:val="20"/>
          <w:szCs w:val="20"/>
        </w:rPr>
        <w:t>) or symptomatic (</w:t>
      </w:r>
      <m:oMath>
        <m:r>
          <w:rPr>
            <w:rFonts w:ascii="Cambria Math" w:hAnsi="Cambria Math" w:cs="Times New Roman"/>
            <w:color w:val="000000" w:themeColor="text1"/>
            <w:sz w:val="20"/>
            <w:szCs w:val="20"/>
          </w:rPr>
          <m:t>S</m:t>
        </m:r>
      </m:oMath>
      <w:r w:rsidRPr="00276DCE">
        <w:rPr>
          <w:rFonts w:ascii="Times New Roman" w:hAnsi="Times New Roman" w:cs="Times New Roman"/>
          <w:color w:val="000000" w:themeColor="text1"/>
          <w:sz w:val="20"/>
          <w:szCs w:val="20"/>
        </w:rPr>
        <w:t>), following with treatment (</w:t>
      </w:r>
      <m:oMath>
        <m:r>
          <w:rPr>
            <w:rFonts w:ascii="Cambria Math" w:hAnsi="Cambria Math" w:cs="Times New Roman"/>
            <w:color w:val="000000" w:themeColor="text1"/>
            <w:sz w:val="20"/>
            <w:szCs w:val="20"/>
          </w:rPr>
          <m:t>T</m:t>
        </m:r>
      </m:oMath>
      <w:r w:rsidRPr="00276DCE">
        <w:rPr>
          <w:rFonts w:ascii="Times New Roman" w:hAnsi="Times New Roman" w:cs="Times New Roman"/>
          <w:color w:val="000000" w:themeColor="text1"/>
          <w:sz w:val="20"/>
          <w:szCs w:val="20"/>
        </w:rPr>
        <w:t xml:space="preserve">) and possible natural recovery from </w:t>
      </w:r>
      <m:oMath>
        <m:r>
          <w:rPr>
            <w:rFonts w:ascii="Cambria Math" w:hAnsi="Cambria Math" w:cs="Times New Roman"/>
            <w:color w:val="000000" w:themeColor="text1"/>
            <w:sz w:val="20"/>
            <w:szCs w:val="20"/>
          </w:rPr>
          <m:t>A</m:t>
        </m:r>
      </m:oMath>
      <w:r w:rsidRPr="00276DCE">
        <w:rPr>
          <w:rFonts w:ascii="Times New Roman" w:hAnsi="Times New Roman" w:cs="Times New Roman"/>
          <w:color w:val="000000" w:themeColor="text1"/>
          <w:sz w:val="20"/>
          <w:szCs w:val="20"/>
        </w:rPr>
        <w:t xml:space="preserve"> to </w:t>
      </w:r>
      <m:oMath>
        <m:r>
          <w:rPr>
            <w:rFonts w:ascii="Cambria Math" w:hAnsi="Cambria Math" w:cs="Times New Roman"/>
            <w:color w:val="000000" w:themeColor="text1"/>
            <w:sz w:val="20"/>
            <w:szCs w:val="20"/>
          </w:rPr>
          <m:t>U</m:t>
        </m:r>
      </m:oMath>
      <w:r w:rsidRPr="00276DCE">
        <w:rPr>
          <w:rFonts w:ascii="Times New Roman" w:hAnsi="Times New Roman" w:cs="Times New Roman"/>
          <w:color w:val="000000" w:themeColor="text1"/>
          <w:sz w:val="20"/>
          <w:szCs w:val="20"/>
        </w:rPr>
        <w:t xml:space="preserve">. </w:t>
      </w:r>
      <w:r w:rsidRPr="00276DCE">
        <w:rPr>
          <w:rFonts w:ascii="Times New Roman" w:hAnsi="Times New Roman" w:cs="Times New Roman"/>
          <w:color w:val="000000" w:themeColor="text1"/>
          <w:sz w:val="20"/>
          <w:szCs w:val="20"/>
          <w:lang w:val="en-US"/>
        </w:rPr>
        <w:t xml:space="preserve">For each stratum </w:t>
      </w:r>
      <m:oMath>
        <m:r>
          <w:rPr>
            <w:rFonts w:ascii="Cambria Math" w:hAnsi="Cambria Math" w:cs="Times New Roman"/>
            <w:color w:val="000000" w:themeColor="text1"/>
            <w:sz w:val="20"/>
            <w:szCs w:val="20"/>
            <w:lang w:val="en-US"/>
          </w:rPr>
          <m:t>i∈</m:t>
        </m:r>
        <m:d>
          <m:dPr>
            <m:begChr m:val="{"/>
            <m:endChr m:val="}"/>
            <m:ctrlPr>
              <w:rPr>
                <w:rFonts w:ascii="Cambria Math" w:hAnsi="Cambria Math" w:cs="Times New Roman"/>
                <w:i/>
                <w:color w:val="000000" w:themeColor="text1"/>
                <w:sz w:val="20"/>
                <w:szCs w:val="20"/>
                <w:lang w:val="en-US"/>
              </w:rPr>
            </m:ctrlPr>
          </m:dPr>
          <m:e>
            <m:r>
              <w:rPr>
                <w:rFonts w:ascii="Cambria Math" w:hAnsi="Cambria Math" w:cs="Times New Roman"/>
                <w:color w:val="000000" w:themeColor="text1"/>
                <w:sz w:val="20"/>
                <w:szCs w:val="20"/>
                <w:lang w:val="en-US"/>
              </w:rPr>
              <m:t>N,D,V,M</m:t>
            </m:r>
          </m:e>
        </m:d>
      </m:oMath>
      <w:r w:rsidRPr="00276DCE">
        <w:rPr>
          <w:rFonts w:ascii="Times New Roman" w:hAnsi="Times New Roman" w:cs="Times New Roman"/>
          <w:color w:val="000000" w:themeColor="text1"/>
          <w:sz w:val="20"/>
          <w:szCs w:val="20"/>
          <w:lang w:val="en-US"/>
        </w:rPr>
        <w:t xml:space="preserve">, </w:t>
      </w:r>
      <w:r w:rsidRPr="00276DCE">
        <w:rPr>
          <w:rFonts w:ascii="Times New Roman" w:hAnsi="Times New Roman" w:cs="Times New Roman"/>
          <w:color w:val="000000" w:themeColor="text1"/>
          <w:sz w:val="20"/>
          <w:szCs w:val="20"/>
        </w:rPr>
        <w:t xml:space="preserve">infections are further stratified by resistance profiles. Within each stratum (refer to stratum </w:t>
      </w:r>
      <m:oMath>
        <m:r>
          <w:rPr>
            <w:rFonts w:ascii="Cambria Math" w:hAnsi="Cambria Math" w:cs="Times New Roman"/>
            <w:color w:val="000000" w:themeColor="text1"/>
            <w:sz w:val="20"/>
            <w:szCs w:val="20"/>
          </w:rPr>
          <m:t>V</m:t>
        </m:r>
      </m:oMath>
      <w:r w:rsidRPr="00276DCE">
        <w:rPr>
          <w:rFonts w:ascii="Times New Roman" w:hAnsi="Times New Roman" w:cs="Times New Roman"/>
          <w:color w:val="000000" w:themeColor="text1"/>
          <w:sz w:val="20"/>
          <w:szCs w:val="20"/>
        </w:rPr>
        <w:t xml:space="preserve">), four gonorrhoea strains are considered (denoted by superscript): </w:t>
      </w:r>
      <m:oMath>
        <m:r>
          <w:rPr>
            <w:rFonts w:ascii="Cambria Math" w:hAnsi="Cambria Math" w:cs="Times New Roman"/>
            <w:color w:val="000000" w:themeColor="text1"/>
            <w:sz w:val="20"/>
            <w:szCs w:val="20"/>
          </w:rPr>
          <m:t>0=</m:t>
        </m:r>
      </m:oMath>
      <w:r w:rsidRPr="00276DCE">
        <w:rPr>
          <w:rFonts w:ascii="Times New Roman" w:hAnsi="Times New Roman" w:cs="Times New Roman"/>
          <w:color w:val="000000" w:themeColor="text1"/>
          <w:sz w:val="20"/>
          <w:szCs w:val="20"/>
        </w:rPr>
        <w:t xml:space="preserve"> susceptible, </w:t>
      </w:r>
      <m:oMath>
        <m:r>
          <w:rPr>
            <w:rFonts w:ascii="Cambria Math" w:hAnsi="Cambria Math" w:cs="Times New Roman"/>
            <w:color w:val="000000" w:themeColor="text1"/>
            <w:sz w:val="20"/>
            <w:szCs w:val="20"/>
          </w:rPr>
          <m:t>c=</m:t>
        </m:r>
      </m:oMath>
      <w:r w:rsidRPr="00276DCE">
        <w:rPr>
          <w:rFonts w:ascii="Times New Roman" w:hAnsi="Times New Roman" w:cs="Times New Roman"/>
          <w:color w:val="000000" w:themeColor="text1"/>
          <w:sz w:val="20"/>
          <w:szCs w:val="20"/>
        </w:rPr>
        <w:t xml:space="preserve"> ceftriaxone resistant, </w:t>
      </w:r>
      <m:oMath>
        <m:r>
          <w:rPr>
            <w:rFonts w:ascii="Cambria Math" w:hAnsi="Cambria Math" w:cs="Times New Roman"/>
            <w:color w:val="000000" w:themeColor="text1"/>
            <w:sz w:val="20"/>
            <w:szCs w:val="20"/>
          </w:rPr>
          <m:t>t=</m:t>
        </m:r>
      </m:oMath>
      <w:r w:rsidRPr="00276DCE">
        <w:rPr>
          <w:rFonts w:ascii="Times New Roman" w:hAnsi="Times New Roman" w:cs="Times New Roman"/>
          <w:color w:val="000000" w:themeColor="text1"/>
          <w:sz w:val="20"/>
          <w:szCs w:val="20"/>
        </w:rPr>
        <w:t xml:space="preserve"> tetracycline resistant, and </w:t>
      </w:r>
      <m:oMath>
        <m:r>
          <w:rPr>
            <w:rFonts w:ascii="Cambria Math" w:hAnsi="Cambria Math" w:cs="Times New Roman"/>
            <w:color w:val="000000" w:themeColor="text1"/>
            <w:sz w:val="20"/>
            <w:szCs w:val="20"/>
          </w:rPr>
          <m:t>d2=</m:t>
        </m:r>
      </m:oMath>
      <w:r w:rsidRPr="00276DCE">
        <w:rPr>
          <w:rFonts w:ascii="Times New Roman" w:hAnsi="Times New Roman" w:cs="Times New Roman"/>
          <w:color w:val="000000" w:themeColor="text1"/>
          <w:sz w:val="20"/>
          <w:szCs w:val="20"/>
        </w:rPr>
        <w:t xml:space="preserve"> dual resistant. Ceftriaxone is assumed to be the sole first-line therapy, with probabilities of resistance emergence upon treatment (</w:t>
      </w:r>
      <m:oMath>
        <m:sSup>
          <m:sSupPr>
            <m:ctrlPr>
              <w:rPr>
                <w:rFonts w:ascii="Cambria Math" w:hAnsi="Cambria Math" w:cs="Times New Roman"/>
                <w:i/>
                <w:color w:val="000000" w:themeColor="text1"/>
                <w:sz w:val="20"/>
                <w:szCs w:val="20"/>
              </w:rPr>
            </m:ctrlPr>
          </m:sSupPr>
          <m:e>
            <m:r>
              <w:rPr>
                <w:rFonts w:ascii="Cambria Math" w:hAnsi="Cambria Math" w:cs="Times New Roman"/>
                <w:color w:val="000000" w:themeColor="text1"/>
                <w:sz w:val="20"/>
                <w:szCs w:val="20"/>
              </w:rPr>
              <m:t>T</m:t>
            </m:r>
          </m:e>
          <m:sup>
            <m:r>
              <w:rPr>
                <w:rFonts w:ascii="Cambria Math" w:hAnsi="Cambria Math" w:cs="Times New Roman"/>
                <w:color w:val="000000" w:themeColor="text1"/>
                <w:sz w:val="20"/>
                <w:szCs w:val="20"/>
              </w:rPr>
              <m:t>0</m:t>
            </m:r>
          </m:sup>
        </m:sSup>
        <m:r>
          <m:rPr>
            <m:sty m:val="p"/>
          </m:rPr>
          <w:rPr>
            <w:rFonts w:ascii="Cambria Math" w:hAnsi="Cambria Math" w:cs="Times New Roman"/>
            <w:color w:val="000000" w:themeColor="text1"/>
            <w:sz w:val="20"/>
            <w:szCs w:val="20"/>
          </w:rPr>
          <m:t>→</m:t>
        </m:r>
        <m:sSup>
          <m:sSupPr>
            <m:ctrlPr>
              <w:rPr>
                <w:rFonts w:ascii="Cambria Math" w:hAnsi="Cambria Math" w:cs="Times New Roman"/>
                <w:i/>
                <w:color w:val="000000" w:themeColor="text1"/>
                <w:sz w:val="20"/>
                <w:szCs w:val="20"/>
              </w:rPr>
            </m:ctrlPr>
          </m:sSupPr>
          <m:e>
            <m:r>
              <w:rPr>
                <w:rFonts w:ascii="Cambria Math" w:hAnsi="Cambria Math" w:cs="Times New Roman"/>
                <w:color w:val="000000" w:themeColor="text1"/>
                <w:sz w:val="20"/>
                <w:szCs w:val="20"/>
              </w:rPr>
              <m:t>T</m:t>
            </m:r>
          </m:e>
          <m:sup>
            <m:r>
              <w:rPr>
                <w:rFonts w:ascii="Cambria Math" w:hAnsi="Cambria Math" w:cs="Times New Roman"/>
                <w:color w:val="000000" w:themeColor="text1"/>
                <w:sz w:val="20"/>
                <w:szCs w:val="20"/>
              </w:rPr>
              <m:t>c</m:t>
            </m:r>
          </m:sup>
        </m:sSup>
      </m:oMath>
      <w:r w:rsidRPr="00276DCE">
        <w:rPr>
          <w:rFonts w:ascii="Times New Roman" w:hAnsi="Times New Roman" w:cs="Times New Roman"/>
          <w:color w:val="000000" w:themeColor="text1"/>
          <w:sz w:val="20"/>
          <w:szCs w:val="20"/>
        </w:rPr>
        <w:t xml:space="preserve">,  </w:t>
      </w:r>
      <m:oMath>
        <m:sSup>
          <m:sSupPr>
            <m:ctrlPr>
              <w:rPr>
                <w:rFonts w:ascii="Cambria Math" w:hAnsi="Cambria Math" w:cs="Times New Roman"/>
                <w:i/>
                <w:color w:val="000000" w:themeColor="text1"/>
                <w:sz w:val="20"/>
                <w:szCs w:val="20"/>
              </w:rPr>
            </m:ctrlPr>
          </m:sSupPr>
          <m:e>
            <m:r>
              <w:rPr>
                <w:rFonts w:ascii="Cambria Math" w:hAnsi="Cambria Math" w:cs="Times New Roman"/>
                <w:color w:val="000000" w:themeColor="text1"/>
                <w:sz w:val="20"/>
                <w:szCs w:val="20"/>
              </w:rPr>
              <m:t>T</m:t>
            </m:r>
          </m:e>
          <m:sup>
            <m:r>
              <w:rPr>
                <w:rFonts w:ascii="Cambria Math" w:hAnsi="Cambria Math" w:cs="Times New Roman"/>
                <w:color w:val="000000" w:themeColor="text1"/>
                <w:sz w:val="20"/>
                <w:szCs w:val="20"/>
              </w:rPr>
              <m:t>t</m:t>
            </m:r>
          </m:sup>
        </m:sSup>
        <m:r>
          <m:rPr>
            <m:sty m:val="p"/>
          </m:rPr>
          <w:rPr>
            <w:rFonts w:ascii="Cambria Math" w:hAnsi="Cambria Math" w:cs="Times New Roman"/>
            <w:color w:val="000000" w:themeColor="text1"/>
            <w:sz w:val="20"/>
            <w:szCs w:val="20"/>
          </w:rPr>
          <m:t>→</m:t>
        </m:r>
        <m:sSup>
          <m:sSupPr>
            <m:ctrlPr>
              <w:rPr>
                <w:rFonts w:ascii="Cambria Math" w:hAnsi="Cambria Math" w:cs="Times New Roman"/>
                <w:i/>
                <w:color w:val="000000" w:themeColor="text1"/>
                <w:sz w:val="20"/>
                <w:szCs w:val="20"/>
              </w:rPr>
            </m:ctrlPr>
          </m:sSupPr>
          <m:e>
            <m:r>
              <w:rPr>
                <w:rFonts w:ascii="Cambria Math" w:hAnsi="Cambria Math" w:cs="Times New Roman"/>
                <w:color w:val="000000" w:themeColor="text1"/>
                <w:sz w:val="20"/>
                <w:szCs w:val="20"/>
              </w:rPr>
              <m:t>T</m:t>
            </m:r>
            <m:ctrlPr>
              <w:rPr>
                <w:rFonts w:ascii="Cambria Math" w:hAnsi="Cambria Math" w:cs="Times New Roman"/>
                <w:color w:val="000000" w:themeColor="text1"/>
                <w:sz w:val="20"/>
                <w:szCs w:val="20"/>
              </w:rPr>
            </m:ctrlPr>
          </m:e>
          <m:sup>
            <m:r>
              <w:rPr>
                <w:rFonts w:ascii="Cambria Math" w:hAnsi="Cambria Math" w:cs="Times New Roman"/>
                <w:color w:val="000000" w:themeColor="text1"/>
                <w:sz w:val="20"/>
                <w:szCs w:val="20"/>
              </w:rPr>
              <m:t>d2</m:t>
            </m:r>
          </m:sup>
        </m:sSup>
      </m:oMath>
      <w:r w:rsidRPr="00276DCE">
        <w:rPr>
          <w:rFonts w:ascii="Times New Roman" w:hAnsi="Times New Roman" w:cs="Times New Roman"/>
          <w:color w:val="000000" w:themeColor="text1"/>
          <w:sz w:val="20"/>
          <w:szCs w:val="20"/>
        </w:rPr>
        <w:t xml:space="preserve">). Doxy-PEP and 4CMenB together reduce the effective force of infection for </w:t>
      </w:r>
      <m:oMath>
        <m:r>
          <w:rPr>
            <w:rFonts w:ascii="Cambria Math" w:hAnsi="Cambria Math" w:cs="Times New Roman"/>
            <w:color w:val="000000" w:themeColor="text1"/>
            <w:sz w:val="20"/>
            <w:szCs w:val="20"/>
          </w:rPr>
          <m:t>U</m:t>
        </m:r>
        <m:r>
          <m:rPr>
            <m:sty m:val="p"/>
          </m:rPr>
          <w:rPr>
            <w:rFonts w:ascii="Cambria Math" w:hAnsi="Cambria Math" w:cs="Times New Roman"/>
            <w:color w:val="000000" w:themeColor="text1"/>
            <w:sz w:val="20"/>
            <w:szCs w:val="20"/>
          </w:rPr>
          <m:t>→</m:t>
        </m:r>
        <m:sSup>
          <m:sSupPr>
            <m:ctrlPr>
              <w:rPr>
                <w:rFonts w:ascii="Cambria Math" w:hAnsi="Cambria Math" w:cs="Times New Roman"/>
                <w:i/>
                <w:color w:val="000000" w:themeColor="text1"/>
                <w:sz w:val="20"/>
                <w:szCs w:val="20"/>
              </w:rPr>
            </m:ctrlPr>
          </m:sSupPr>
          <m:e>
            <m:r>
              <w:rPr>
                <w:rFonts w:ascii="Cambria Math" w:hAnsi="Cambria Math" w:cs="Times New Roman"/>
                <w:color w:val="000000" w:themeColor="text1"/>
                <w:sz w:val="20"/>
                <w:szCs w:val="20"/>
              </w:rPr>
              <m:t>E</m:t>
            </m:r>
            <m:ctrlPr>
              <w:rPr>
                <w:rFonts w:ascii="Cambria Math" w:hAnsi="Cambria Math" w:cs="Times New Roman"/>
                <w:color w:val="000000" w:themeColor="text1"/>
                <w:sz w:val="20"/>
                <w:szCs w:val="20"/>
              </w:rPr>
            </m:ctrlPr>
          </m:e>
          <m:sup>
            <m:r>
              <w:rPr>
                <w:rFonts w:ascii="Cambria Math" w:hAnsi="Cambria Math" w:cs="Times New Roman"/>
                <w:color w:val="000000" w:themeColor="text1"/>
                <w:sz w:val="20"/>
                <w:szCs w:val="20"/>
              </w:rPr>
              <m:t>0</m:t>
            </m:r>
          </m:sup>
        </m:sSup>
      </m:oMath>
      <w:r w:rsidRPr="00276DCE">
        <w:rPr>
          <w:rFonts w:ascii="Times New Roman" w:hAnsi="Times New Roman" w:cs="Times New Roman"/>
          <w:color w:val="000000" w:themeColor="text1"/>
          <w:sz w:val="20"/>
          <w:szCs w:val="20"/>
        </w:rPr>
        <w:t xml:space="preserve"> and </w:t>
      </w:r>
      <m:oMath>
        <m:r>
          <w:rPr>
            <w:rFonts w:ascii="Cambria Math" w:hAnsi="Cambria Math" w:cs="Times New Roman"/>
            <w:color w:val="000000" w:themeColor="text1"/>
            <w:sz w:val="20"/>
            <w:szCs w:val="20"/>
          </w:rPr>
          <m:t>U</m:t>
        </m:r>
        <m:r>
          <m:rPr>
            <m:sty m:val="p"/>
          </m:rPr>
          <w:rPr>
            <w:rFonts w:ascii="Cambria Math" w:hAnsi="Cambria Math" w:cs="Times New Roman"/>
            <w:color w:val="000000" w:themeColor="text1"/>
            <w:sz w:val="20"/>
            <w:szCs w:val="20"/>
          </w:rPr>
          <m:t>→</m:t>
        </m:r>
        <m:sSup>
          <m:sSupPr>
            <m:ctrlPr>
              <w:rPr>
                <w:rFonts w:ascii="Cambria Math" w:hAnsi="Cambria Math" w:cs="Times New Roman"/>
                <w:i/>
                <w:color w:val="000000" w:themeColor="text1"/>
                <w:sz w:val="20"/>
                <w:szCs w:val="20"/>
              </w:rPr>
            </m:ctrlPr>
          </m:sSupPr>
          <m:e>
            <m:r>
              <w:rPr>
                <w:rFonts w:ascii="Cambria Math" w:hAnsi="Cambria Math" w:cs="Times New Roman"/>
                <w:color w:val="000000" w:themeColor="text1"/>
                <w:sz w:val="20"/>
                <w:szCs w:val="20"/>
              </w:rPr>
              <m:t>E</m:t>
            </m:r>
          </m:e>
          <m:sup>
            <m:r>
              <w:rPr>
                <w:rFonts w:ascii="Cambria Math" w:hAnsi="Cambria Math" w:cs="Times New Roman"/>
                <w:color w:val="000000" w:themeColor="text1"/>
                <w:sz w:val="20"/>
                <w:szCs w:val="20"/>
              </w:rPr>
              <m:t>c</m:t>
            </m:r>
          </m:sup>
        </m:sSup>
      </m:oMath>
      <w:r w:rsidRPr="00276DCE">
        <w:rPr>
          <w:rFonts w:ascii="Times New Roman" w:hAnsi="Times New Roman" w:cs="Times New Roman"/>
          <w:color w:val="000000" w:themeColor="text1"/>
          <w:sz w:val="20"/>
          <w:szCs w:val="20"/>
        </w:rPr>
        <w:t xml:space="preserve"> (yellow arrows in stratum </w:t>
      </w:r>
      <m:oMath>
        <m:r>
          <w:rPr>
            <w:rFonts w:ascii="Cambria Math" w:hAnsi="Cambria Math" w:cs="Times New Roman"/>
            <w:color w:val="000000" w:themeColor="text1"/>
            <w:sz w:val="20"/>
            <w:szCs w:val="20"/>
          </w:rPr>
          <m:t>V</m:t>
        </m:r>
      </m:oMath>
      <w:r w:rsidRPr="00276DCE">
        <w:rPr>
          <w:rFonts w:ascii="Times New Roman" w:hAnsi="Times New Roman" w:cs="Times New Roman"/>
          <w:color w:val="000000" w:themeColor="text1"/>
          <w:sz w:val="20"/>
          <w:szCs w:val="20"/>
        </w:rPr>
        <w:t>). 4CMenB alone reduces the effective force of infection for</w:t>
      </w:r>
      <w:r w:rsidRPr="00276DCE">
        <w:rPr>
          <w:rFonts w:ascii="Times New Roman" w:hAnsi="Times New Roman" w:cs="Times New Roman"/>
          <w:i/>
          <w:color w:val="000000" w:themeColor="text1"/>
          <w:sz w:val="20"/>
          <w:szCs w:val="20"/>
        </w:rPr>
        <w:t xml:space="preserve"> </w:t>
      </w:r>
      <m:oMath>
        <m:r>
          <w:rPr>
            <w:rFonts w:ascii="Cambria Math" w:hAnsi="Cambria Math" w:cs="Times New Roman"/>
            <w:color w:val="000000" w:themeColor="text1"/>
            <w:sz w:val="20"/>
            <w:szCs w:val="20"/>
          </w:rPr>
          <m:t>U</m:t>
        </m:r>
        <m:r>
          <m:rPr>
            <m:sty m:val="p"/>
          </m:rPr>
          <w:rPr>
            <w:rFonts w:ascii="Cambria Math" w:hAnsi="Cambria Math" w:cs="Times New Roman"/>
            <w:color w:val="000000" w:themeColor="text1"/>
            <w:sz w:val="20"/>
            <w:szCs w:val="20"/>
          </w:rPr>
          <m:t>→</m:t>
        </m:r>
        <m:sSup>
          <m:sSupPr>
            <m:ctrlPr>
              <w:rPr>
                <w:rFonts w:ascii="Cambria Math" w:hAnsi="Cambria Math" w:cs="Times New Roman"/>
                <w:i/>
                <w:color w:val="000000" w:themeColor="text1"/>
                <w:sz w:val="20"/>
                <w:szCs w:val="20"/>
              </w:rPr>
            </m:ctrlPr>
          </m:sSupPr>
          <m:e>
            <m:r>
              <w:rPr>
                <w:rFonts w:ascii="Cambria Math" w:hAnsi="Cambria Math" w:cs="Times New Roman"/>
                <w:color w:val="000000" w:themeColor="text1"/>
                <w:sz w:val="20"/>
                <w:szCs w:val="20"/>
              </w:rPr>
              <m:t>E</m:t>
            </m:r>
            <m:ctrlPr>
              <w:rPr>
                <w:rFonts w:ascii="Cambria Math" w:hAnsi="Cambria Math" w:cs="Times New Roman"/>
                <w:color w:val="000000" w:themeColor="text1"/>
                <w:sz w:val="20"/>
                <w:szCs w:val="20"/>
              </w:rPr>
            </m:ctrlPr>
          </m:e>
          <m:sup>
            <m:r>
              <w:rPr>
                <w:rFonts w:ascii="Cambria Math" w:hAnsi="Cambria Math" w:cs="Times New Roman"/>
                <w:color w:val="000000" w:themeColor="text1"/>
                <w:sz w:val="20"/>
                <w:szCs w:val="20"/>
              </w:rPr>
              <m:t>0</m:t>
            </m:r>
          </m:sup>
        </m:sSup>
      </m:oMath>
      <w:r w:rsidRPr="00276DCE">
        <w:rPr>
          <w:rFonts w:ascii="Times New Roman" w:hAnsi="Times New Roman" w:cs="Times New Roman"/>
          <w:color w:val="000000" w:themeColor="text1"/>
          <w:sz w:val="20"/>
          <w:szCs w:val="20"/>
        </w:rPr>
        <w:t xml:space="preserve">, </w:t>
      </w:r>
      <m:oMath>
        <m:r>
          <w:rPr>
            <w:rFonts w:ascii="Cambria Math" w:hAnsi="Cambria Math" w:cs="Times New Roman"/>
            <w:color w:val="000000" w:themeColor="text1"/>
            <w:sz w:val="20"/>
            <w:szCs w:val="20"/>
          </w:rPr>
          <m:t>U</m:t>
        </m:r>
        <m:r>
          <m:rPr>
            <m:sty m:val="p"/>
          </m:rPr>
          <w:rPr>
            <w:rFonts w:ascii="Cambria Math" w:hAnsi="Cambria Math" w:cs="Times New Roman"/>
            <w:color w:val="000000" w:themeColor="text1"/>
            <w:sz w:val="20"/>
            <w:szCs w:val="20"/>
          </w:rPr>
          <m:t>→</m:t>
        </m:r>
        <m:sSup>
          <m:sSupPr>
            <m:ctrlPr>
              <w:rPr>
                <w:rFonts w:ascii="Cambria Math" w:hAnsi="Cambria Math" w:cs="Times New Roman"/>
                <w:i/>
                <w:color w:val="000000" w:themeColor="text1"/>
                <w:sz w:val="20"/>
                <w:szCs w:val="20"/>
              </w:rPr>
            </m:ctrlPr>
          </m:sSupPr>
          <m:e>
            <m:r>
              <w:rPr>
                <w:rFonts w:ascii="Cambria Math" w:hAnsi="Cambria Math" w:cs="Times New Roman"/>
                <w:color w:val="000000" w:themeColor="text1"/>
                <w:sz w:val="20"/>
                <w:szCs w:val="20"/>
              </w:rPr>
              <m:t>E</m:t>
            </m:r>
          </m:e>
          <m:sup>
            <m:r>
              <w:rPr>
                <w:rFonts w:ascii="Cambria Math" w:hAnsi="Cambria Math" w:cs="Times New Roman"/>
                <w:color w:val="000000" w:themeColor="text1"/>
                <w:sz w:val="20"/>
                <w:szCs w:val="20"/>
              </w:rPr>
              <m:t>c</m:t>
            </m:r>
          </m:sup>
        </m:sSup>
      </m:oMath>
      <w:r w:rsidRPr="00276DCE">
        <w:rPr>
          <w:rFonts w:ascii="Times New Roman" w:hAnsi="Times New Roman" w:cs="Times New Roman"/>
          <w:color w:val="000000" w:themeColor="text1"/>
          <w:sz w:val="20"/>
          <w:szCs w:val="20"/>
        </w:rPr>
        <w:t xml:space="preserve">, </w:t>
      </w:r>
      <m:oMath>
        <m:r>
          <w:rPr>
            <w:rFonts w:ascii="Cambria Math" w:hAnsi="Cambria Math" w:cs="Times New Roman"/>
            <w:color w:val="000000" w:themeColor="text1"/>
            <w:sz w:val="20"/>
            <w:szCs w:val="20"/>
          </w:rPr>
          <m:t>U</m:t>
        </m:r>
        <m:r>
          <m:rPr>
            <m:sty m:val="p"/>
          </m:rPr>
          <w:rPr>
            <w:rFonts w:ascii="Cambria Math" w:hAnsi="Cambria Math" w:cs="Times New Roman"/>
            <w:color w:val="000000" w:themeColor="text1"/>
            <w:sz w:val="20"/>
            <w:szCs w:val="20"/>
          </w:rPr>
          <m:t>→</m:t>
        </m:r>
        <m:sSup>
          <m:sSupPr>
            <m:ctrlPr>
              <w:rPr>
                <w:rFonts w:ascii="Cambria Math" w:hAnsi="Cambria Math" w:cs="Times New Roman"/>
                <w:i/>
                <w:color w:val="000000" w:themeColor="text1"/>
                <w:sz w:val="20"/>
                <w:szCs w:val="20"/>
              </w:rPr>
            </m:ctrlPr>
          </m:sSupPr>
          <m:e>
            <m:r>
              <w:rPr>
                <w:rFonts w:ascii="Cambria Math" w:hAnsi="Cambria Math" w:cs="Times New Roman"/>
                <w:color w:val="000000" w:themeColor="text1"/>
                <w:sz w:val="20"/>
                <w:szCs w:val="20"/>
              </w:rPr>
              <m:t>E</m:t>
            </m:r>
          </m:e>
          <m:sup>
            <m:r>
              <w:rPr>
                <w:rFonts w:ascii="Cambria Math" w:hAnsi="Cambria Math" w:cs="Times New Roman"/>
                <w:color w:val="000000" w:themeColor="text1"/>
                <w:sz w:val="20"/>
                <w:szCs w:val="20"/>
              </w:rPr>
              <m:t>t</m:t>
            </m:r>
          </m:sup>
        </m:sSup>
      </m:oMath>
      <w:r w:rsidRPr="00276DCE">
        <w:rPr>
          <w:rFonts w:ascii="Times New Roman" w:hAnsi="Times New Roman" w:cs="Times New Roman"/>
          <w:color w:val="000000" w:themeColor="text1"/>
          <w:sz w:val="20"/>
          <w:szCs w:val="20"/>
        </w:rPr>
        <w:t xml:space="preserve"> and </w:t>
      </w:r>
      <m:oMath>
        <m:r>
          <w:rPr>
            <w:rFonts w:ascii="Cambria Math" w:hAnsi="Cambria Math" w:cs="Times New Roman"/>
            <w:color w:val="000000" w:themeColor="text1"/>
            <w:sz w:val="20"/>
            <w:szCs w:val="20"/>
          </w:rPr>
          <m:t>U</m:t>
        </m:r>
        <m:r>
          <m:rPr>
            <m:sty m:val="p"/>
          </m:rPr>
          <w:rPr>
            <w:rFonts w:ascii="Cambria Math" w:hAnsi="Cambria Math" w:cs="Times New Roman"/>
            <w:color w:val="000000" w:themeColor="text1"/>
            <w:sz w:val="20"/>
            <w:szCs w:val="20"/>
          </w:rPr>
          <m:t>→</m:t>
        </m:r>
        <m:sSup>
          <m:sSupPr>
            <m:ctrlPr>
              <w:rPr>
                <w:rFonts w:ascii="Cambria Math" w:hAnsi="Cambria Math" w:cs="Times New Roman"/>
                <w:i/>
                <w:color w:val="000000" w:themeColor="text1"/>
                <w:sz w:val="20"/>
                <w:szCs w:val="20"/>
              </w:rPr>
            </m:ctrlPr>
          </m:sSupPr>
          <m:e>
            <m:r>
              <w:rPr>
                <w:rFonts w:ascii="Cambria Math" w:hAnsi="Cambria Math" w:cs="Times New Roman"/>
                <w:color w:val="000000" w:themeColor="text1"/>
                <w:sz w:val="20"/>
                <w:szCs w:val="20"/>
              </w:rPr>
              <m:t>E</m:t>
            </m:r>
          </m:e>
          <m:sup>
            <m:r>
              <w:rPr>
                <w:rFonts w:ascii="Cambria Math" w:hAnsi="Cambria Math" w:cs="Times New Roman"/>
                <w:color w:val="000000" w:themeColor="text1"/>
                <w:sz w:val="20"/>
                <w:szCs w:val="20"/>
              </w:rPr>
              <m:t>d2</m:t>
            </m:r>
          </m:sup>
        </m:sSup>
      </m:oMath>
      <w:r w:rsidRPr="00276DCE">
        <w:rPr>
          <w:rFonts w:ascii="Times New Roman" w:hAnsi="Times New Roman" w:cs="Times New Roman"/>
          <w:color w:val="000000" w:themeColor="text1"/>
          <w:sz w:val="20"/>
          <w:szCs w:val="20"/>
        </w:rPr>
        <w:t xml:space="preserve"> (blue arrows in strata </w:t>
      </w:r>
      <m:oMath>
        <m:r>
          <w:rPr>
            <w:rFonts w:ascii="Cambria Math" w:hAnsi="Cambria Math" w:cs="Times New Roman"/>
            <w:color w:val="000000" w:themeColor="text1"/>
            <w:sz w:val="20"/>
            <w:szCs w:val="20"/>
          </w:rPr>
          <m:t>V</m:t>
        </m:r>
      </m:oMath>
      <w:r w:rsidRPr="00276DCE">
        <w:rPr>
          <w:rFonts w:ascii="Times New Roman" w:hAnsi="Times New Roman" w:cs="Times New Roman"/>
          <w:color w:val="000000" w:themeColor="text1"/>
          <w:sz w:val="20"/>
          <w:szCs w:val="20"/>
        </w:rPr>
        <w:t xml:space="preserve"> and </w:t>
      </w:r>
      <m:oMath>
        <m:r>
          <w:rPr>
            <w:rFonts w:ascii="Cambria Math" w:hAnsi="Cambria Math" w:cs="Times New Roman"/>
            <w:color w:val="000000" w:themeColor="text1"/>
            <w:sz w:val="20"/>
            <w:szCs w:val="20"/>
          </w:rPr>
          <m:t>M</m:t>
        </m:r>
      </m:oMath>
      <w:r w:rsidRPr="00276DCE">
        <w:rPr>
          <w:rFonts w:ascii="Times New Roman" w:hAnsi="Times New Roman" w:cs="Times New Roman"/>
          <w:color w:val="000000" w:themeColor="text1"/>
          <w:sz w:val="20"/>
          <w:szCs w:val="20"/>
        </w:rPr>
        <w:t xml:space="preserve">). Doxy-PEP alone reduces the effective force of infection for </w:t>
      </w:r>
      <m:oMath>
        <m:sSup>
          <m:sSupPr>
            <m:ctrlPr>
              <w:rPr>
                <w:rFonts w:ascii="Cambria Math" w:hAnsi="Cambria Math" w:cs="Times New Roman"/>
                <w:i/>
                <w:color w:val="000000" w:themeColor="text1"/>
                <w:sz w:val="20"/>
                <w:szCs w:val="20"/>
              </w:rPr>
            </m:ctrlPr>
          </m:sSupPr>
          <m:e>
            <m:r>
              <w:rPr>
                <w:rFonts w:ascii="Cambria Math" w:hAnsi="Cambria Math" w:cs="Times New Roman"/>
                <w:color w:val="000000" w:themeColor="text1"/>
                <w:sz w:val="20"/>
                <w:szCs w:val="20"/>
              </w:rPr>
              <m:t>U</m:t>
            </m:r>
            <m:r>
              <m:rPr>
                <m:sty m:val="p"/>
              </m:rPr>
              <w:rPr>
                <w:rFonts w:ascii="Cambria Math" w:hAnsi="Cambria Math" w:cs="Times New Roman"/>
                <w:color w:val="000000" w:themeColor="text1"/>
                <w:sz w:val="20"/>
                <w:szCs w:val="20"/>
              </w:rPr>
              <m:t>→</m:t>
            </m:r>
            <m:r>
              <w:rPr>
                <w:rFonts w:ascii="Cambria Math" w:hAnsi="Cambria Math" w:cs="Times New Roman"/>
                <w:color w:val="000000" w:themeColor="text1"/>
                <w:sz w:val="20"/>
                <w:szCs w:val="20"/>
              </w:rPr>
              <m:t>E</m:t>
            </m:r>
          </m:e>
          <m:sup>
            <m:r>
              <w:rPr>
                <w:rFonts w:ascii="Cambria Math" w:hAnsi="Cambria Math" w:cs="Times New Roman"/>
                <w:color w:val="000000" w:themeColor="text1"/>
                <w:sz w:val="20"/>
                <w:szCs w:val="20"/>
              </w:rPr>
              <m:t>0</m:t>
            </m:r>
          </m:sup>
        </m:sSup>
      </m:oMath>
      <w:r w:rsidRPr="00276DCE">
        <w:rPr>
          <w:rFonts w:ascii="Times New Roman" w:hAnsi="Times New Roman" w:cs="Times New Roman"/>
          <w:color w:val="000000" w:themeColor="text1"/>
          <w:sz w:val="20"/>
          <w:szCs w:val="20"/>
        </w:rPr>
        <w:t xml:space="preserve"> and </w:t>
      </w:r>
      <m:oMath>
        <m:r>
          <w:rPr>
            <w:rFonts w:ascii="Cambria Math" w:hAnsi="Cambria Math" w:cs="Times New Roman"/>
            <w:color w:val="000000" w:themeColor="text1"/>
            <w:sz w:val="20"/>
            <w:szCs w:val="20"/>
          </w:rPr>
          <m:t>U</m:t>
        </m:r>
        <m:r>
          <m:rPr>
            <m:sty m:val="p"/>
          </m:rPr>
          <w:rPr>
            <w:rFonts w:ascii="Cambria Math" w:hAnsi="Cambria Math" w:cs="Times New Roman"/>
            <w:color w:val="000000" w:themeColor="text1"/>
            <w:sz w:val="20"/>
            <w:szCs w:val="20"/>
          </w:rPr>
          <m:t>→</m:t>
        </m:r>
        <m:sSup>
          <m:sSupPr>
            <m:ctrlPr>
              <w:rPr>
                <w:rFonts w:ascii="Cambria Math" w:hAnsi="Cambria Math" w:cs="Times New Roman"/>
                <w:i/>
                <w:color w:val="000000" w:themeColor="text1"/>
                <w:sz w:val="20"/>
                <w:szCs w:val="20"/>
              </w:rPr>
            </m:ctrlPr>
          </m:sSupPr>
          <m:e>
            <m:r>
              <w:rPr>
                <w:rFonts w:ascii="Cambria Math" w:hAnsi="Cambria Math" w:cs="Times New Roman"/>
                <w:color w:val="000000" w:themeColor="text1"/>
                <w:sz w:val="20"/>
                <w:szCs w:val="20"/>
              </w:rPr>
              <m:t>E</m:t>
            </m:r>
          </m:e>
          <m:sup>
            <m:r>
              <w:rPr>
                <w:rFonts w:ascii="Cambria Math" w:hAnsi="Cambria Math" w:cs="Times New Roman"/>
                <w:color w:val="000000" w:themeColor="text1"/>
                <w:sz w:val="20"/>
                <w:szCs w:val="20"/>
              </w:rPr>
              <m:t>c</m:t>
            </m:r>
          </m:sup>
        </m:sSup>
      </m:oMath>
      <w:r w:rsidRPr="00276DCE">
        <w:rPr>
          <w:rFonts w:ascii="Times New Roman" w:hAnsi="Times New Roman" w:cs="Times New Roman"/>
          <w:color w:val="000000" w:themeColor="text1"/>
          <w:sz w:val="20"/>
          <w:szCs w:val="20"/>
        </w:rPr>
        <w:t xml:space="preserve"> (green arrows in stratum </w:t>
      </w:r>
      <m:oMath>
        <m:r>
          <w:rPr>
            <w:rFonts w:ascii="Cambria Math" w:hAnsi="Cambria Math" w:cs="Times New Roman"/>
            <w:color w:val="000000" w:themeColor="text1"/>
            <w:sz w:val="20"/>
            <w:szCs w:val="20"/>
          </w:rPr>
          <m:t>D</m:t>
        </m:r>
      </m:oMath>
      <w:r w:rsidRPr="00276DCE">
        <w:rPr>
          <w:rFonts w:ascii="Times New Roman" w:hAnsi="Times New Roman" w:cs="Times New Roman"/>
          <w:color w:val="000000" w:themeColor="text1"/>
          <w:sz w:val="20"/>
          <w:szCs w:val="20"/>
        </w:rPr>
        <w:t xml:space="preserve">). Without doxy-PEP, or with doxy-PEP only, the absolute effective force of infection for </w:t>
      </w:r>
      <m:oMath>
        <m:r>
          <w:rPr>
            <w:rFonts w:ascii="Cambria Math" w:hAnsi="Cambria Math" w:cs="Times New Roman"/>
            <w:color w:val="000000" w:themeColor="text1"/>
            <w:sz w:val="20"/>
            <w:szCs w:val="20"/>
          </w:rPr>
          <m:t>U</m:t>
        </m:r>
        <m:r>
          <m:rPr>
            <m:sty m:val="p"/>
          </m:rPr>
          <w:rPr>
            <w:rFonts w:ascii="Cambria Math" w:hAnsi="Cambria Math" w:cs="Times New Roman"/>
            <w:color w:val="000000" w:themeColor="text1"/>
            <w:sz w:val="20"/>
            <w:szCs w:val="20"/>
          </w:rPr>
          <m:t>→</m:t>
        </m:r>
        <m:sSup>
          <m:sSupPr>
            <m:ctrlPr>
              <w:rPr>
                <w:rFonts w:ascii="Cambria Math" w:hAnsi="Cambria Math" w:cs="Times New Roman"/>
                <w:i/>
                <w:color w:val="000000" w:themeColor="text1"/>
                <w:sz w:val="20"/>
                <w:szCs w:val="20"/>
              </w:rPr>
            </m:ctrlPr>
          </m:sSupPr>
          <m:e>
            <m:r>
              <w:rPr>
                <w:rFonts w:ascii="Cambria Math" w:hAnsi="Cambria Math" w:cs="Times New Roman"/>
                <w:color w:val="000000" w:themeColor="text1"/>
                <w:sz w:val="20"/>
                <w:szCs w:val="20"/>
              </w:rPr>
              <m:t>E</m:t>
            </m:r>
          </m:e>
          <m:sup>
            <m:r>
              <w:rPr>
                <w:rFonts w:ascii="Cambria Math" w:hAnsi="Cambria Math" w:cs="Times New Roman"/>
                <w:color w:val="000000" w:themeColor="text1"/>
                <w:sz w:val="20"/>
                <w:szCs w:val="20"/>
              </w:rPr>
              <m:t>t</m:t>
            </m:r>
          </m:sup>
        </m:sSup>
      </m:oMath>
      <w:r w:rsidRPr="00276DCE">
        <w:rPr>
          <w:rFonts w:ascii="Times New Roman" w:hAnsi="Times New Roman" w:cs="Times New Roman"/>
          <w:color w:val="000000" w:themeColor="text1"/>
          <w:sz w:val="20"/>
          <w:szCs w:val="20"/>
        </w:rPr>
        <w:t xml:space="preserve"> and </w:t>
      </w:r>
      <m:oMath>
        <m:sSup>
          <m:sSupPr>
            <m:ctrlPr>
              <w:rPr>
                <w:rFonts w:ascii="Cambria Math" w:hAnsi="Cambria Math" w:cs="Times New Roman"/>
                <w:i/>
                <w:color w:val="000000" w:themeColor="text1"/>
                <w:sz w:val="20"/>
                <w:szCs w:val="20"/>
              </w:rPr>
            </m:ctrlPr>
          </m:sSupPr>
          <m:e>
            <m:r>
              <w:rPr>
                <w:rFonts w:ascii="Cambria Math" w:hAnsi="Cambria Math" w:cs="Times New Roman"/>
                <w:color w:val="000000" w:themeColor="text1"/>
                <w:sz w:val="20"/>
                <w:szCs w:val="20"/>
              </w:rPr>
              <m:t>U</m:t>
            </m:r>
            <m:r>
              <m:rPr>
                <m:sty m:val="p"/>
              </m:rPr>
              <w:rPr>
                <w:rFonts w:ascii="Cambria Math" w:hAnsi="Cambria Math" w:cs="Times New Roman"/>
                <w:color w:val="000000" w:themeColor="text1"/>
                <w:sz w:val="20"/>
                <w:szCs w:val="20"/>
              </w:rPr>
              <m:t>→</m:t>
            </m:r>
            <m:r>
              <w:rPr>
                <w:rFonts w:ascii="Cambria Math" w:hAnsi="Cambria Math" w:cs="Times New Roman"/>
                <w:color w:val="000000" w:themeColor="text1"/>
                <w:sz w:val="20"/>
                <w:szCs w:val="20"/>
              </w:rPr>
              <m:t>E</m:t>
            </m:r>
          </m:e>
          <m:sup>
            <m:r>
              <w:rPr>
                <w:rFonts w:ascii="Cambria Math" w:hAnsi="Cambria Math" w:cs="Times New Roman"/>
                <w:color w:val="000000" w:themeColor="text1"/>
                <w:sz w:val="20"/>
                <w:szCs w:val="20"/>
              </w:rPr>
              <m:t>d2</m:t>
            </m:r>
          </m:sup>
        </m:sSup>
      </m:oMath>
      <w:r w:rsidRPr="00276DCE">
        <w:rPr>
          <w:rFonts w:ascii="Times New Roman" w:hAnsi="Times New Roman" w:cs="Times New Roman"/>
          <w:color w:val="000000" w:themeColor="text1"/>
          <w:sz w:val="20"/>
          <w:szCs w:val="20"/>
        </w:rPr>
        <w:t xml:space="preserve"> remains unchanged (black arrows in strata </w:t>
      </w:r>
      <m:oMath>
        <m:r>
          <w:rPr>
            <w:rFonts w:ascii="Cambria Math" w:hAnsi="Cambria Math" w:cs="Times New Roman"/>
            <w:color w:val="000000" w:themeColor="text1"/>
            <w:sz w:val="20"/>
            <w:szCs w:val="20"/>
          </w:rPr>
          <m:t>N</m:t>
        </m:r>
      </m:oMath>
      <w:r w:rsidRPr="00276DCE">
        <w:rPr>
          <w:rFonts w:ascii="Times New Roman" w:hAnsi="Times New Roman" w:cs="Times New Roman"/>
          <w:color w:val="000000" w:themeColor="text1"/>
          <w:sz w:val="20"/>
          <w:szCs w:val="20"/>
        </w:rPr>
        <w:t xml:space="preserve"> and </w:t>
      </w:r>
      <m:oMath>
        <m:r>
          <w:rPr>
            <w:rFonts w:ascii="Cambria Math" w:hAnsi="Cambria Math" w:cs="Times New Roman"/>
            <w:color w:val="000000" w:themeColor="text1"/>
            <w:sz w:val="20"/>
            <w:szCs w:val="20"/>
          </w:rPr>
          <m:t>D</m:t>
        </m:r>
      </m:oMath>
      <w:r w:rsidRPr="00276DCE">
        <w:rPr>
          <w:rFonts w:ascii="Times New Roman" w:hAnsi="Times New Roman" w:cs="Times New Roman"/>
          <w:color w:val="000000" w:themeColor="text1"/>
          <w:sz w:val="20"/>
          <w:szCs w:val="20"/>
        </w:rPr>
        <w:t xml:space="preserve">). Additionally, </w:t>
      </w:r>
      <w:r w:rsidRPr="00276DCE">
        <w:rPr>
          <w:rFonts w:ascii="Times New Roman" w:hAnsi="Times New Roman" w:cs="Times New Roman"/>
          <w:color w:val="000000" w:themeColor="text1"/>
          <w:sz w:val="20"/>
          <w:szCs w:val="20"/>
        </w:rPr>
        <w:lastRenderedPageBreak/>
        <w:t xml:space="preserve">doxy-PEP introduces a nonzero probability of </w:t>
      </w:r>
      <w:r w:rsidRPr="00276DCE">
        <w:rPr>
          <w:rFonts w:ascii="Times New Roman" w:hAnsi="Times New Roman" w:cs="Times New Roman"/>
          <w:i/>
          <w:iCs/>
          <w:color w:val="000000" w:themeColor="text1"/>
          <w:sz w:val="20"/>
          <w:szCs w:val="20"/>
        </w:rPr>
        <w:t>de novo</w:t>
      </w:r>
      <w:r w:rsidRPr="00276DCE">
        <w:rPr>
          <w:rFonts w:ascii="Times New Roman" w:hAnsi="Times New Roman" w:cs="Times New Roman"/>
          <w:color w:val="000000" w:themeColor="text1"/>
          <w:sz w:val="20"/>
          <w:szCs w:val="20"/>
        </w:rPr>
        <w:t xml:space="preserve"> resistance emergence (dotted red arrows in strata </w:t>
      </w:r>
      <m:oMath>
        <m:r>
          <w:rPr>
            <w:rFonts w:ascii="Cambria Math" w:hAnsi="Cambria Math" w:cs="Times New Roman"/>
            <w:color w:val="000000" w:themeColor="text1"/>
            <w:sz w:val="20"/>
            <w:szCs w:val="20"/>
          </w:rPr>
          <m:t>D</m:t>
        </m:r>
      </m:oMath>
      <w:r w:rsidRPr="00276DCE">
        <w:rPr>
          <w:rFonts w:ascii="Times New Roman" w:hAnsi="Times New Roman" w:cs="Times New Roman"/>
          <w:color w:val="000000" w:themeColor="text1"/>
          <w:sz w:val="20"/>
          <w:szCs w:val="20"/>
        </w:rPr>
        <w:t xml:space="preserve"> and </w:t>
      </w:r>
      <m:oMath>
        <m:r>
          <w:rPr>
            <w:rFonts w:ascii="Cambria Math" w:hAnsi="Cambria Math" w:cs="Times New Roman"/>
            <w:color w:val="000000" w:themeColor="text1"/>
            <w:sz w:val="20"/>
            <w:szCs w:val="20"/>
          </w:rPr>
          <m:t>V</m:t>
        </m:r>
      </m:oMath>
      <w:r w:rsidRPr="00276DCE">
        <w:rPr>
          <w:rFonts w:ascii="Times New Roman" w:hAnsi="Times New Roman" w:cs="Times New Roman"/>
          <w:color w:val="000000" w:themeColor="text1"/>
          <w:sz w:val="20"/>
          <w:szCs w:val="20"/>
        </w:rPr>
        <w:t xml:space="preserve">). Based on the uptake status of doxy-PEP and 4CMenB, between-stratum transitions occur as follows: </w:t>
      </w:r>
      <m:oMath>
        <m:r>
          <w:rPr>
            <w:rFonts w:ascii="Cambria Math" w:hAnsi="Cambria Math" w:cs="Times New Roman"/>
            <w:color w:val="000000" w:themeColor="text1"/>
            <w:sz w:val="20"/>
            <w:szCs w:val="20"/>
          </w:rPr>
          <m:t>N</m:t>
        </m:r>
        <m:r>
          <m:rPr>
            <m:sty m:val="p"/>
          </m:rPr>
          <w:rPr>
            <w:rFonts w:ascii="Cambria Math" w:hAnsi="Cambria Math" w:cs="Times New Roman"/>
            <w:color w:val="000000" w:themeColor="text1"/>
            <w:sz w:val="20"/>
            <w:szCs w:val="20"/>
          </w:rPr>
          <m:t>→</m:t>
        </m:r>
        <m:r>
          <w:rPr>
            <w:rFonts w:ascii="Cambria Math" w:hAnsi="Cambria Math" w:cs="Times New Roman"/>
            <w:color w:val="000000" w:themeColor="text1"/>
            <w:sz w:val="20"/>
            <w:szCs w:val="20"/>
          </w:rPr>
          <m:t>D</m:t>
        </m:r>
      </m:oMath>
      <w:r w:rsidRPr="00276DCE">
        <w:rPr>
          <w:rFonts w:ascii="Times New Roman" w:hAnsi="Times New Roman" w:cs="Times New Roman"/>
          <w:color w:val="000000" w:themeColor="text1"/>
          <w:sz w:val="20"/>
          <w:szCs w:val="20"/>
        </w:rPr>
        <w:t xml:space="preserve"> and </w:t>
      </w:r>
      <m:oMath>
        <m:r>
          <w:rPr>
            <w:rFonts w:ascii="Cambria Math" w:hAnsi="Cambria Math" w:cs="Times New Roman"/>
            <w:color w:val="000000" w:themeColor="text1"/>
            <w:sz w:val="20"/>
            <w:szCs w:val="20"/>
          </w:rPr>
          <m:t>M</m:t>
        </m:r>
        <m:r>
          <m:rPr>
            <m:sty m:val="p"/>
          </m:rPr>
          <w:rPr>
            <w:rFonts w:ascii="Cambria Math" w:hAnsi="Cambria Math" w:cs="Times New Roman"/>
            <w:color w:val="000000" w:themeColor="text1"/>
            <w:sz w:val="20"/>
            <w:szCs w:val="20"/>
          </w:rPr>
          <m:t>→</m:t>
        </m:r>
        <m:r>
          <w:rPr>
            <w:rFonts w:ascii="Cambria Math" w:hAnsi="Cambria Math" w:cs="Times New Roman"/>
            <w:color w:val="000000" w:themeColor="text1"/>
            <w:sz w:val="20"/>
            <w:szCs w:val="20"/>
          </w:rPr>
          <m:t>V</m:t>
        </m:r>
      </m:oMath>
      <w:r w:rsidRPr="00276DCE">
        <w:rPr>
          <w:rFonts w:ascii="Times New Roman" w:hAnsi="Times New Roman" w:cs="Times New Roman"/>
          <w:color w:val="000000" w:themeColor="text1"/>
          <w:sz w:val="20"/>
          <w:szCs w:val="20"/>
        </w:rPr>
        <w:t xml:space="preserve"> upon initiation of doxy-PEP (pink arrows); </w:t>
      </w:r>
      <m:oMath>
        <m:r>
          <w:rPr>
            <w:rFonts w:ascii="Cambria Math" w:hAnsi="Cambria Math" w:cs="Times New Roman"/>
            <w:color w:val="000000" w:themeColor="text1"/>
            <w:sz w:val="20"/>
            <w:szCs w:val="20"/>
          </w:rPr>
          <m:t>N</m:t>
        </m:r>
        <m:r>
          <m:rPr>
            <m:sty m:val="p"/>
          </m:rPr>
          <w:rPr>
            <w:rFonts w:ascii="Cambria Math" w:hAnsi="Cambria Math" w:cs="Times New Roman"/>
            <w:color w:val="000000" w:themeColor="text1"/>
            <w:sz w:val="20"/>
            <w:szCs w:val="20"/>
          </w:rPr>
          <m:t>→</m:t>
        </m:r>
        <m:r>
          <w:rPr>
            <w:rFonts w:ascii="Cambria Math" w:hAnsi="Cambria Math" w:cs="Times New Roman"/>
            <w:color w:val="000000" w:themeColor="text1"/>
            <w:sz w:val="20"/>
            <w:szCs w:val="20"/>
          </w:rPr>
          <m:t>M</m:t>
        </m:r>
      </m:oMath>
      <w:r w:rsidRPr="00276DCE">
        <w:rPr>
          <w:rFonts w:ascii="Times New Roman" w:hAnsi="Times New Roman" w:cs="Times New Roman"/>
          <w:color w:val="000000" w:themeColor="text1"/>
          <w:sz w:val="20"/>
          <w:szCs w:val="20"/>
        </w:rPr>
        <w:t xml:space="preserve"> and </w:t>
      </w:r>
      <m:oMath>
        <m:r>
          <w:rPr>
            <w:rFonts w:ascii="Cambria Math" w:hAnsi="Cambria Math" w:cs="Times New Roman"/>
            <w:color w:val="000000" w:themeColor="text1"/>
            <w:sz w:val="20"/>
            <w:szCs w:val="20"/>
          </w:rPr>
          <m:t>D</m:t>
        </m:r>
        <m:r>
          <m:rPr>
            <m:sty m:val="p"/>
          </m:rPr>
          <w:rPr>
            <w:rFonts w:ascii="Cambria Math" w:hAnsi="Cambria Math" w:cs="Times New Roman"/>
            <w:color w:val="000000" w:themeColor="text1"/>
            <w:sz w:val="20"/>
            <w:szCs w:val="20"/>
          </w:rPr>
          <m:t>→</m:t>
        </m:r>
        <m:r>
          <w:rPr>
            <w:rFonts w:ascii="Cambria Math" w:hAnsi="Cambria Math" w:cs="Times New Roman"/>
            <w:color w:val="000000" w:themeColor="text1"/>
            <w:sz w:val="20"/>
            <w:szCs w:val="20"/>
          </w:rPr>
          <m:t>V</m:t>
        </m:r>
      </m:oMath>
      <w:r w:rsidRPr="00276DCE">
        <w:rPr>
          <w:rFonts w:ascii="Times New Roman" w:hAnsi="Times New Roman" w:cs="Times New Roman"/>
          <w:color w:val="000000" w:themeColor="text1"/>
          <w:sz w:val="20"/>
          <w:szCs w:val="20"/>
        </w:rPr>
        <w:t xml:space="preserve"> upon initiation of 4CMenB (dark green arrows); </w:t>
      </w:r>
      <m:oMath>
        <m:r>
          <w:rPr>
            <w:rFonts w:ascii="Cambria Math" w:hAnsi="Cambria Math" w:cs="Times New Roman"/>
            <w:color w:val="000000" w:themeColor="text1"/>
            <w:sz w:val="20"/>
            <w:szCs w:val="20"/>
          </w:rPr>
          <m:t>D</m:t>
        </m:r>
        <m:r>
          <m:rPr>
            <m:sty m:val="p"/>
          </m:rPr>
          <w:rPr>
            <w:rFonts w:ascii="Cambria Math" w:hAnsi="Cambria Math" w:cs="Times New Roman"/>
            <w:color w:val="000000" w:themeColor="text1"/>
            <w:sz w:val="20"/>
            <w:szCs w:val="20"/>
          </w:rPr>
          <m:t>→</m:t>
        </m:r>
        <m:r>
          <w:rPr>
            <w:rFonts w:ascii="Cambria Math" w:hAnsi="Cambria Math" w:cs="Times New Roman"/>
            <w:color w:val="000000" w:themeColor="text1"/>
            <w:sz w:val="20"/>
            <w:szCs w:val="20"/>
          </w:rPr>
          <m:t>N</m:t>
        </m:r>
      </m:oMath>
      <w:r w:rsidRPr="00276DCE">
        <w:rPr>
          <w:rFonts w:ascii="Times New Roman" w:hAnsi="Times New Roman" w:cs="Times New Roman"/>
          <w:color w:val="000000" w:themeColor="text1"/>
          <w:sz w:val="20"/>
          <w:szCs w:val="20"/>
        </w:rPr>
        <w:t xml:space="preserve"> or </w:t>
      </w:r>
      <m:oMath>
        <m:r>
          <w:rPr>
            <w:rFonts w:ascii="Cambria Math" w:hAnsi="Cambria Math" w:cs="Times New Roman"/>
            <w:color w:val="000000" w:themeColor="text1"/>
            <w:sz w:val="20"/>
            <w:szCs w:val="20"/>
          </w:rPr>
          <m:t>V</m:t>
        </m:r>
        <m:r>
          <m:rPr>
            <m:sty m:val="p"/>
          </m:rPr>
          <w:rPr>
            <w:rFonts w:ascii="Cambria Math" w:hAnsi="Cambria Math" w:cs="Times New Roman"/>
            <w:color w:val="000000" w:themeColor="text1"/>
            <w:sz w:val="20"/>
            <w:szCs w:val="20"/>
          </w:rPr>
          <m:t>→</m:t>
        </m:r>
        <m:r>
          <w:rPr>
            <w:rFonts w:ascii="Cambria Math" w:hAnsi="Cambria Math" w:cs="Times New Roman"/>
            <w:color w:val="000000" w:themeColor="text1"/>
            <w:sz w:val="20"/>
            <w:szCs w:val="20"/>
          </w:rPr>
          <m:t>M</m:t>
        </m:r>
      </m:oMath>
      <w:r w:rsidRPr="00276DCE">
        <w:rPr>
          <w:rFonts w:ascii="Times New Roman" w:hAnsi="Times New Roman" w:cs="Times New Roman"/>
          <w:color w:val="000000" w:themeColor="text1"/>
          <w:sz w:val="20"/>
          <w:szCs w:val="20"/>
        </w:rPr>
        <w:t xml:space="preserve"> upon discontinuation of doxy-PEP (dark blue arrows); and </w:t>
      </w:r>
      <m:oMath>
        <m:r>
          <w:rPr>
            <w:rFonts w:ascii="Cambria Math" w:hAnsi="Cambria Math" w:cs="Times New Roman"/>
            <w:color w:val="000000" w:themeColor="text1"/>
            <w:sz w:val="20"/>
            <w:szCs w:val="20"/>
          </w:rPr>
          <m:t>V</m:t>
        </m:r>
        <m:r>
          <m:rPr>
            <m:sty m:val="p"/>
          </m:rPr>
          <w:rPr>
            <w:rFonts w:ascii="Cambria Math" w:hAnsi="Cambria Math" w:cs="Times New Roman"/>
            <w:color w:val="000000" w:themeColor="text1"/>
            <w:sz w:val="20"/>
            <w:szCs w:val="20"/>
          </w:rPr>
          <m:t>→</m:t>
        </m:r>
        <m:r>
          <w:rPr>
            <w:rFonts w:ascii="Cambria Math" w:hAnsi="Cambria Math" w:cs="Times New Roman"/>
            <w:color w:val="000000" w:themeColor="text1"/>
            <w:sz w:val="20"/>
            <w:szCs w:val="20"/>
          </w:rPr>
          <m:t>D</m:t>
        </m:r>
      </m:oMath>
      <w:r w:rsidRPr="00276DCE">
        <w:rPr>
          <w:rFonts w:ascii="Times New Roman" w:hAnsi="Times New Roman" w:cs="Times New Roman"/>
          <w:color w:val="000000" w:themeColor="text1"/>
          <w:sz w:val="20"/>
          <w:szCs w:val="20"/>
        </w:rPr>
        <w:t xml:space="preserve"> or </w:t>
      </w:r>
      <m:oMath>
        <m:r>
          <w:rPr>
            <w:rFonts w:ascii="Cambria Math" w:hAnsi="Cambria Math" w:cs="Times New Roman"/>
            <w:color w:val="000000" w:themeColor="text1"/>
            <w:sz w:val="20"/>
            <w:szCs w:val="20"/>
          </w:rPr>
          <m:t>M</m:t>
        </m:r>
        <m:r>
          <m:rPr>
            <m:sty m:val="p"/>
          </m:rPr>
          <w:rPr>
            <w:rFonts w:ascii="Cambria Math" w:hAnsi="Cambria Math" w:cs="Times New Roman"/>
            <w:color w:val="000000" w:themeColor="text1"/>
            <w:sz w:val="20"/>
            <w:szCs w:val="20"/>
          </w:rPr>
          <m:t>→</m:t>
        </m:r>
        <m:r>
          <w:rPr>
            <w:rFonts w:ascii="Cambria Math" w:hAnsi="Cambria Math" w:cs="Times New Roman"/>
            <w:color w:val="000000" w:themeColor="text1"/>
            <w:sz w:val="20"/>
            <w:szCs w:val="20"/>
          </w:rPr>
          <m:t>N</m:t>
        </m:r>
      </m:oMath>
      <w:r w:rsidRPr="00276DCE">
        <w:rPr>
          <w:rFonts w:ascii="Times New Roman" w:hAnsi="Times New Roman" w:cs="Times New Roman"/>
          <w:color w:val="000000" w:themeColor="text1"/>
          <w:sz w:val="20"/>
          <w:szCs w:val="20"/>
        </w:rPr>
        <w:t xml:space="preserve"> upon waning of 4CMenB (dark orange arrows). For simplicity, uptake of doxy-PEP and 4CMenB occur only at the uninfected (</w:t>
      </w:r>
      <m:oMath>
        <m:r>
          <w:rPr>
            <w:rFonts w:ascii="Cambria Math" w:hAnsi="Cambria Math" w:cs="Times New Roman"/>
            <w:color w:val="000000" w:themeColor="text1"/>
            <w:sz w:val="20"/>
            <w:szCs w:val="20"/>
          </w:rPr>
          <m:t>U</m:t>
        </m:r>
      </m:oMath>
      <w:r w:rsidRPr="00276DCE">
        <w:rPr>
          <w:rFonts w:ascii="Times New Roman" w:hAnsi="Times New Roman" w:cs="Times New Roman"/>
          <w:color w:val="000000" w:themeColor="text1"/>
          <w:sz w:val="20"/>
          <w:szCs w:val="20"/>
        </w:rPr>
        <w:t>) state.</w:t>
      </w:r>
    </w:p>
    <w:p w14:paraId="6AF8F1F8" w14:textId="77777777" w:rsidR="004F3D14" w:rsidRDefault="004F3D14" w:rsidP="00276DCE">
      <w:pPr>
        <w:spacing w:before="100" w:beforeAutospacing="1" w:after="100" w:afterAutospacing="1" w:line="276" w:lineRule="auto"/>
        <w:jc w:val="both"/>
        <w:rPr>
          <w:rFonts w:ascii="Times New Roman" w:hAnsi="Times New Roman" w:cs="Times New Roman"/>
          <w:color w:val="000000" w:themeColor="text1"/>
          <w:sz w:val="20"/>
          <w:szCs w:val="20"/>
        </w:rPr>
      </w:pPr>
    </w:p>
    <w:p w14:paraId="34173FC7" w14:textId="77777777" w:rsidR="004F3D14" w:rsidRPr="00276DCE" w:rsidRDefault="004F3D14" w:rsidP="00276DCE">
      <w:pPr>
        <w:spacing w:before="100" w:beforeAutospacing="1" w:after="100" w:afterAutospacing="1" w:line="276" w:lineRule="auto"/>
        <w:jc w:val="both"/>
        <w:rPr>
          <w:rFonts w:ascii="Times New Roman" w:hAnsi="Times New Roman" w:cs="Times New Roman"/>
          <w:color w:val="000000" w:themeColor="text1"/>
          <w:sz w:val="20"/>
          <w:szCs w:val="20"/>
        </w:rPr>
        <w:sectPr w:rsidR="004F3D14" w:rsidRPr="00276DCE" w:rsidSect="00276DCE">
          <w:pgSz w:w="16838" w:h="11906" w:orient="landscape"/>
          <w:pgMar w:top="1440" w:right="1440" w:bottom="1440" w:left="1440" w:header="708" w:footer="708" w:gutter="0"/>
          <w:cols w:space="708"/>
          <w:docGrid w:linePitch="360"/>
        </w:sectPr>
      </w:pPr>
    </w:p>
    <w:p w14:paraId="265C82F7" w14:textId="77777777" w:rsidR="003300DF" w:rsidRDefault="003300DF" w:rsidP="00276DCE">
      <w:pPr>
        <w:spacing w:before="100" w:beforeAutospacing="1" w:after="100" w:afterAutospacing="1" w:line="276" w:lineRule="auto"/>
        <w:jc w:val="both"/>
        <w:rPr>
          <w:rFonts w:ascii="Times New Roman" w:eastAsia="Times New Roman" w:hAnsi="Times New Roman" w:cs="Times New Roman"/>
          <w:color w:val="000000" w:themeColor="text1"/>
          <w:kern w:val="0"/>
          <w:sz w:val="20"/>
          <w:szCs w:val="20"/>
          <w14:ligatures w14:val="none"/>
        </w:rPr>
      </w:pPr>
    </w:p>
    <w:tbl>
      <w:tblPr>
        <w:tblStyle w:val="TableGrid"/>
        <w:tblW w:w="0" w:type="auto"/>
        <w:tblLook w:val="04A0" w:firstRow="1" w:lastRow="0" w:firstColumn="1" w:lastColumn="0" w:noHBand="0" w:noVBand="1"/>
      </w:tblPr>
      <w:tblGrid>
        <w:gridCol w:w="2250"/>
        <w:gridCol w:w="6776"/>
      </w:tblGrid>
      <w:tr w:rsidR="004F3D14" w14:paraId="6DF6C332" w14:textId="77777777" w:rsidTr="004F3D14">
        <w:tc>
          <w:tcPr>
            <w:tcW w:w="2250" w:type="dxa"/>
          </w:tcPr>
          <w:p w14:paraId="45ADDF1C" w14:textId="77777777" w:rsidR="004F3D14" w:rsidRDefault="004F3D14" w:rsidP="00BB3EC6">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Symbol</w:t>
            </w:r>
          </w:p>
        </w:tc>
        <w:tc>
          <w:tcPr>
            <w:tcW w:w="6776" w:type="dxa"/>
          </w:tcPr>
          <w:p w14:paraId="3A551AED" w14:textId="77777777" w:rsidR="004F3D14" w:rsidRDefault="004F3D14" w:rsidP="00BB3EC6">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Definition</w:t>
            </w:r>
          </w:p>
        </w:tc>
      </w:tr>
      <w:tr w:rsidR="005B2DA0" w14:paraId="49B340AF" w14:textId="77777777" w:rsidTr="004F3D14">
        <w:tc>
          <w:tcPr>
            <w:tcW w:w="2250" w:type="dxa"/>
          </w:tcPr>
          <w:p w14:paraId="660A885C" w14:textId="0BD1F3E7" w:rsidR="005B2DA0" w:rsidRPr="000D0539" w:rsidRDefault="005B2DA0" w:rsidP="00BB3EC6">
            <w:pPr>
              <w:spacing w:before="100" w:beforeAutospacing="1" w:after="100" w:afterAutospacing="1" w:line="276" w:lineRule="auto"/>
              <w:rPr>
                <w:rFonts w:eastAsia="Times New Roman" w:cs="Times New Roman"/>
                <w:color w:val="000000" w:themeColor="text1"/>
                <w:kern w:val="0"/>
                <w:szCs w:val="20"/>
                <w14:ligatures w14:val="none"/>
              </w:rPr>
            </w:pPr>
            <m:oMathPara>
              <m:oMath>
                <m:r>
                  <m:rPr>
                    <m:sty m:val="p"/>
                  </m:rPr>
                  <w:rPr>
                    <w:rFonts w:ascii="Cambria Math" w:eastAsia="Times New Roman" w:hAnsi="Cambria Math" w:cs="Times New Roman"/>
                    <w:color w:val="000000" w:themeColor="text1"/>
                    <w:kern w:val="0"/>
                    <w:szCs w:val="20"/>
                    <w14:ligatures w14:val="none"/>
                  </w:rPr>
                  <m:t>β</m:t>
                </m:r>
              </m:oMath>
            </m:oMathPara>
          </w:p>
        </w:tc>
        <w:tc>
          <w:tcPr>
            <w:tcW w:w="6776" w:type="dxa"/>
          </w:tcPr>
          <w:p w14:paraId="3D1E2D0E" w14:textId="1470F077" w:rsidR="005B2DA0" w:rsidRDefault="005B2DA0" w:rsidP="00BB3EC6">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Probability of transmission per-partnership</w:t>
            </w:r>
          </w:p>
        </w:tc>
      </w:tr>
      <w:tr w:rsidR="005B2DA0" w14:paraId="39BD5428" w14:textId="77777777" w:rsidTr="004F3D14">
        <w:tc>
          <w:tcPr>
            <w:tcW w:w="2250" w:type="dxa"/>
          </w:tcPr>
          <w:p w14:paraId="30C56F44" w14:textId="36127DDE" w:rsidR="005B2DA0" w:rsidRPr="005B2DA0" w:rsidRDefault="005B2DA0" w:rsidP="00BB3EC6">
            <w:pPr>
              <w:spacing w:before="100" w:beforeAutospacing="1" w:after="100" w:afterAutospacing="1" w:line="276" w:lineRule="auto"/>
              <w:rPr>
                <w:rFonts w:eastAsia="Times New Roman" w:cs="Times New Roman"/>
                <w:color w:val="000000" w:themeColor="text1"/>
                <w:kern w:val="0"/>
                <w:szCs w:val="20"/>
                <w14:ligatures w14:val="none"/>
              </w:rPr>
            </w:pPr>
            <m:oMathPara>
              <m:oMath>
                <m:sSub>
                  <m:sSubPr>
                    <m:ctrlPr>
                      <w:rPr>
                        <w:rFonts w:ascii="Cambria Math" w:eastAsia="Times New Roman" w:hAnsi="Cambria Math" w:cs="Times New Roman"/>
                        <w:i/>
                        <w:color w:val="000000" w:themeColor="text1"/>
                        <w:kern w:val="0"/>
                        <w:szCs w:val="20"/>
                        <w14:ligatures w14:val="none"/>
                      </w:rPr>
                    </m:ctrlPr>
                  </m:sSubPr>
                  <m:e>
                    <m:r>
                      <m:rPr>
                        <m:sty m:val="p"/>
                      </m:rPr>
                      <w:rPr>
                        <w:rFonts w:ascii="Cambria Math" w:eastAsia="Times New Roman" w:hAnsi="Cambria Math" w:cs="Times New Roman"/>
                        <w:color w:val="000000" w:themeColor="text1"/>
                        <w:kern w:val="0"/>
                        <w:szCs w:val="20"/>
                        <w14:ligatures w14:val="none"/>
                      </w:rPr>
                      <m:t>ϕ</m:t>
                    </m:r>
                    <m:ctrlPr>
                      <w:rPr>
                        <w:rFonts w:ascii="Cambria Math" w:eastAsia="Times New Roman" w:hAnsi="Cambria Math" w:cs="Times New Roman"/>
                        <w:color w:val="000000" w:themeColor="text1"/>
                        <w:kern w:val="0"/>
                        <w:szCs w:val="20"/>
                        <w14:ligatures w14:val="none"/>
                      </w:rPr>
                    </m:ctrlPr>
                  </m:e>
                  <m:sub>
                    <m:r>
                      <m:rPr>
                        <m:sty m:val="p"/>
                      </m:rPr>
                      <w:rPr>
                        <w:rFonts w:ascii="Cambria Math" w:eastAsia="Times New Roman" w:hAnsi="Cambria Math" w:cs="Times New Roman"/>
                        <w:color w:val="000000" w:themeColor="text1"/>
                        <w:kern w:val="0"/>
                        <w:szCs w:val="20"/>
                        <w14:ligatures w14:val="none"/>
                      </w:rPr>
                      <m:t>β</m:t>
                    </m:r>
                  </m:sub>
                </m:sSub>
              </m:oMath>
            </m:oMathPara>
          </w:p>
        </w:tc>
        <w:tc>
          <w:tcPr>
            <w:tcW w:w="6776" w:type="dxa"/>
          </w:tcPr>
          <w:p w14:paraId="214A481D" w14:textId="67F65BBD" w:rsidR="005B2DA0" w:rsidRDefault="005B2DA0" w:rsidP="00BB3EC6">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Annual increase in transmission risk behaviour</w:t>
            </w:r>
          </w:p>
        </w:tc>
      </w:tr>
      <w:tr w:rsidR="005B2DA0" w14:paraId="5E1821BC" w14:textId="77777777" w:rsidTr="004F3D14">
        <w:tc>
          <w:tcPr>
            <w:tcW w:w="2250" w:type="dxa"/>
          </w:tcPr>
          <w:p w14:paraId="75918587" w14:textId="70E7C2E9" w:rsidR="005B2DA0" w:rsidRDefault="005B2DA0" w:rsidP="00BB3EC6">
            <w:pPr>
              <w:spacing w:before="100" w:beforeAutospacing="1" w:after="100" w:afterAutospacing="1" w:line="276" w:lineRule="auto"/>
              <w:rPr>
                <w:rFonts w:eastAsia="Times New Roman" w:cs="Times New Roman"/>
                <w:color w:val="000000" w:themeColor="text1"/>
                <w:kern w:val="0"/>
                <w:szCs w:val="20"/>
                <w14:ligatures w14:val="none"/>
              </w:rPr>
            </w:pPr>
            <m:oMathPara>
              <m:oMath>
                <m:r>
                  <w:rPr>
                    <w:rFonts w:ascii="Cambria Math" w:eastAsia="Times New Roman" w:hAnsi="Cambria Math" w:cs="Times New Roman"/>
                    <w:color w:val="000000" w:themeColor="text1"/>
                    <w:kern w:val="0"/>
                    <w:szCs w:val="20"/>
                    <w14:ligatures w14:val="none"/>
                  </w:rPr>
                  <m:t>ϵ</m:t>
                </m:r>
              </m:oMath>
            </m:oMathPara>
          </w:p>
        </w:tc>
        <w:tc>
          <w:tcPr>
            <w:tcW w:w="6776" w:type="dxa"/>
          </w:tcPr>
          <w:p w14:paraId="6ABC8A72" w14:textId="478E6D4D" w:rsidR="005B2DA0" w:rsidRDefault="005B2DA0" w:rsidP="00BB3EC6">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Level of assotativity in sexual mixing</w:t>
            </w:r>
          </w:p>
        </w:tc>
      </w:tr>
      <w:tr w:rsidR="004F3D14" w14:paraId="065F0E53" w14:textId="77777777" w:rsidTr="004F3D14">
        <w:tc>
          <w:tcPr>
            <w:tcW w:w="2250" w:type="dxa"/>
          </w:tcPr>
          <w:p w14:paraId="3CA6493C" w14:textId="77777777" w:rsidR="004F3D14" w:rsidRDefault="004F3D14" w:rsidP="00BB3EC6">
            <w:pPr>
              <w:spacing w:before="100" w:beforeAutospacing="1" w:after="100" w:afterAutospacing="1" w:line="276" w:lineRule="auto"/>
              <w:rPr>
                <w:rFonts w:eastAsia="Times New Roman" w:cs="Times New Roman"/>
                <w:color w:val="000000" w:themeColor="text1"/>
                <w:kern w:val="0"/>
                <w:szCs w:val="20"/>
                <w14:ligatures w14:val="none"/>
              </w:rPr>
            </w:pPr>
            <m:oMathPara>
              <m:oMath>
                <m:r>
                  <m:rPr>
                    <m:sty m:val="p"/>
                  </m:rPr>
                  <w:rPr>
                    <w:rFonts w:ascii="Cambria Math" w:eastAsia="Times New Roman" w:hAnsi="Cambria Math" w:cs="Times New Roman"/>
                    <w:color w:val="000000" w:themeColor="text1"/>
                    <w:kern w:val="0"/>
                    <w:szCs w:val="20"/>
                    <w14:ligatures w14:val="none"/>
                  </w:rPr>
                  <m:t>σ</m:t>
                </m:r>
              </m:oMath>
            </m:oMathPara>
          </w:p>
        </w:tc>
        <w:tc>
          <w:tcPr>
            <w:tcW w:w="6776" w:type="dxa"/>
          </w:tcPr>
          <w:p w14:paraId="5254481B" w14:textId="77777777" w:rsidR="004F3D14" w:rsidRDefault="004F3D14" w:rsidP="00BB3EC6">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Rate of leaving incubation period</w:t>
            </w:r>
          </w:p>
        </w:tc>
      </w:tr>
      <w:tr w:rsidR="004F3D14" w14:paraId="5E3301AA" w14:textId="77777777" w:rsidTr="004F3D14">
        <w:tc>
          <w:tcPr>
            <w:tcW w:w="2250" w:type="dxa"/>
          </w:tcPr>
          <w:p w14:paraId="07B549D1" w14:textId="77777777" w:rsidR="004F3D14" w:rsidRDefault="004F3D14" w:rsidP="00BB3EC6">
            <w:pPr>
              <w:spacing w:before="100" w:beforeAutospacing="1" w:after="100" w:afterAutospacing="1" w:line="276" w:lineRule="auto"/>
              <w:rPr>
                <w:rFonts w:eastAsia="Times New Roman" w:cs="Times New Roman"/>
                <w:color w:val="000000" w:themeColor="text1"/>
                <w:kern w:val="0"/>
                <w:szCs w:val="20"/>
                <w14:ligatures w14:val="none"/>
              </w:rPr>
            </w:pPr>
            <m:oMathPara>
              <m:oMath>
                <m:r>
                  <m:rPr>
                    <m:sty m:val="p"/>
                  </m:rPr>
                  <w:rPr>
                    <w:rFonts w:ascii="Cambria Math" w:eastAsia="Times New Roman" w:hAnsi="Cambria Math" w:cs="Times New Roman"/>
                    <w:color w:val="000000" w:themeColor="text1"/>
                    <w:kern w:val="0"/>
                    <w:szCs w:val="20"/>
                    <w14:ligatures w14:val="none"/>
                  </w:rPr>
                  <m:t>ψ</m:t>
                </m:r>
              </m:oMath>
            </m:oMathPara>
          </w:p>
        </w:tc>
        <w:tc>
          <w:tcPr>
            <w:tcW w:w="6776" w:type="dxa"/>
          </w:tcPr>
          <w:p w14:paraId="50DD8B3A" w14:textId="77777777" w:rsidR="004F3D14" w:rsidRDefault="004F3D14" w:rsidP="00BB3EC6">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Probability that incident infection is symptomatic</w:t>
            </w:r>
          </w:p>
        </w:tc>
      </w:tr>
      <w:tr w:rsidR="004F3D14" w14:paraId="392AFED9" w14:textId="77777777" w:rsidTr="004F3D14">
        <w:tc>
          <w:tcPr>
            <w:tcW w:w="2250" w:type="dxa"/>
          </w:tcPr>
          <w:p w14:paraId="65D3CF8A" w14:textId="77777777" w:rsidR="004F3D14" w:rsidRDefault="004F3D14" w:rsidP="00BB3EC6">
            <w:pPr>
              <w:spacing w:before="100" w:beforeAutospacing="1" w:after="100" w:afterAutospacing="1" w:line="276" w:lineRule="auto"/>
              <w:rPr>
                <w:rFonts w:eastAsia="Times New Roman" w:cs="Times New Roman"/>
                <w:color w:val="000000" w:themeColor="text1"/>
                <w:kern w:val="0"/>
                <w:szCs w:val="20"/>
                <w14:ligatures w14:val="none"/>
              </w:rPr>
            </w:pPr>
            <m:oMathPara>
              <m:oMath>
                <m:r>
                  <m:rPr>
                    <m:sty m:val="p"/>
                  </m:rPr>
                  <w:rPr>
                    <w:rFonts w:ascii="Cambria Math" w:eastAsia="Times New Roman" w:hAnsi="Cambria Math" w:cs="Times New Roman"/>
                    <w:color w:val="000000" w:themeColor="text1"/>
                    <w:kern w:val="0"/>
                    <w:szCs w:val="20"/>
                    <w14:ligatures w14:val="none"/>
                  </w:rPr>
                  <m:t>μ</m:t>
                </m:r>
              </m:oMath>
            </m:oMathPara>
          </w:p>
        </w:tc>
        <w:tc>
          <w:tcPr>
            <w:tcW w:w="6776" w:type="dxa"/>
          </w:tcPr>
          <w:p w14:paraId="09CDD9D9" w14:textId="77777777" w:rsidR="004F3D14" w:rsidRDefault="004F3D14" w:rsidP="00BB3EC6">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Rate of seeking treatment due to symptom</w:t>
            </w:r>
          </w:p>
        </w:tc>
      </w:tr>
      <w:tr w:rsidR="004F3D14" w14:paraId="45FEBF02" w14:textId="77777777" w:rsidTr="004F3D14">
        <w:tc>
          <w:tcPr>
            <w:tcW w:w="2250" w:type="dxa"/>
          </w:tcPr>
          <w:p w14:paraId="417F9A55" w14:textId="77777777" w:rsidR="004F3D14" w:rsidRDefault="004F3D14" w:rsidP="00BB3EC6">
            <w:pPr>
              <w:spacing w:before="100" w:beforeAutospacing="1" w:after="100" w:afterAutospacing="1" w:line="276" w:lineRule="auto"/>
              <w:rPr>
                <w:rFonts w:eastAsia="Times New Roman" w:cs="Times New Roman"/>
                <w:color w:val="000000" w:themeColor="text1"/>
                <w:kern w:val="0"/>
                <w:szCs w:val="20"/>
                <w14:ligatures w14:val="none"/>
              </w:rPr>
            </w:pPr>
            <m:oMathPara>
              <m:oMath>
                <m:sSub>
                  <m:sSubPr>
                    <m:ctrlPr>
                      <w:rPr>
                        <w:rFonts w:ascii="Cambria Math" w:eastAsia="Times New Roman" w:hAnsi="Cambria Math" w:cs="Times New Roman"/>
                        <w:i/>
                        <w:color w:val="000000" w:themeColor="text1"/>
                        <w:kern w:val="0"/>
                        <w:szCs w:val="20"/>
                        <w14:ligatures w14:val="none"/>
                      </w:rPr>
                    </m:ctrlPr>
                  </m:sSubPr>
                  <m:e>
                    <m:r>
                      <m:rPr>
                        <m:sty m:val="p"/>
                      </m:rPr>
                      <w:rPr>
                        <w:rFonts w:ascii="Cambria Math" w:eastAsia="Times New Roman" w:hAnsi="Cambria Math" w:cs="Times New Roman"/>
                        <w:color w:val="000000" w:themeColor="text1"/>
                        <w:kern w:val="0"/>
                        <w:szCs w:val="20"/>
                        <w14:ligatures w14:val="none"/>
                      </w:rPr>
                      <m:t>η</m:t>
                    </m:r>
                    <m:ctrlPr>
                      <w:rPr>
                        <w:rFonts w:ascii="Cambria Math" w:eastAsia="Times New Roman" w:hAnsi="Cambria Math" w:cs="Times New Roman"/>
                        <w:color w:val="000000" w:themeColor="text1"/>
                        <w:kern w:val="0"/>
                        <w:szCs w:val="20"/>
                        <w14:ligatures w14:val="none"/>
                      </w:rPr>
                    </m:ctrlPr>
                  </m:e>
                  <m:sub>
                    <m:r>
                      <w:rPr>
                        <w:rFonts w:ascii="Cambria Math" w:eastAsia="Times New Roman" w:hAnsi="Cambria Math" w:cs="Times New Roman"/>
                        <w:color w:val="000000" w:themeColor="text1"/>
                        <w:kern w:val="0"/>
                        <w:szCs w:val="20"/>
                        <w14:ligatures w14:val="none"/>
                      </w:rPr>
                      <m:t>H</m:t>
                    </m:r>
                  </m:sub>
                </m:sSub>
                <m:d>
                  <m:dPr>
                    <m:ctrlPr>
                      <w:rPr>
                        <w:rFonts w:ascii="Cambria Math" w:eastAsia="Times New Roman" w:hAnsi="Cambria Math" w:cs="Times New Roman"/>
                        <w:i/>
                        <w:color w:val="000000" w:themeColor="text1"/>
                        <w:kern w:val="0"/>
                        <w:szCs w:val="20"/>
                        <w14:ligatures w14:val="none"/>
                      </w:rPr>
                    </m:ctrlPr>
                  </m:dPr>
                  <m:e>
                    <m:sSub>
                      <m:sSubPr>
                        <m:ctrlPr>
                          <w:rPr>
                            <w:rFonts w:ascii="Cambria Math" w:eastAsia="Times New Roman" w:hAnsi="Cambria Math" w:cs="Times New Roman"/>
                            <w:i/>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t</m:t>
                        </m:r>
                      </m:e>
                      <m:sub>
                        <m:r>
                          <w:rPr>
                            <w:rFonts w:ascii="Cambria Math" w:eastAsia="Times New Roman" w:hAnsi="Cambria Math" w:cs="Times New Roman"/>
                            <w:color w:val="000000" w:themeColor="text1"/>
                            <w:kern w:val="0"/>
                            <w:szCs w:val="20"/>
                            <w14:ligatures w14:val="none"/>
                          </w:rPr>
                          <m:t>0</m:t>
                        </m:r>
                      </m:sub>
                    </m:sSub>
                  </m:e>
                </m:d>
              </m:oMath>
            </m:oMathPara>
          </w:p>
        </w:tc>
        <w:tc>
          <w:tcPr>
            <w:tcW w:w="6776" w:type="dxa"/>
          </w:tcPr>
          <w:p w14:paraId="57507E01" w14:textId="77777777" w:rsidR="004F3D14" w:rsidRDefault="004F3D14" w:rsidP="00BB3EC6">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 xml:space="preserve">Initial rate of asymptomatic screening in group </w:t>
            </w:r>
            <m:oMath>
              <m:r>
                <w:rPr>
                  <w:rFonts w:ascii="Cambria Math" w:eastAsia="Times New Roman" w:hAnsi="Cambria Math" w:cs="Times New Roman"/>
                  <w:color w:val="000000" w:themeColor="text1"/>
                  <w:kern w:val="0"/>
                  <w:szCs w:val="20"/>
                  <w14:ligatures w14:val="none"/>
                </w:rPr>
                <m:t>H</m:t>
              </m:r>
            </m:oMath>
          </w:p>
        </w:tc>
      </w:tr>
      <w:tr w:rsidR="00C052D4" w14:paraId="0625B934" w14:textId="77777777" w:rsidTr="004F3D14">
        <w:tc>
          <w:tcPr>
            <w:tcW w:w="2250" w:type="dxa"/>
          </w:tcPr>
          <w:p w14:paraId="31284754" w14:textId="70BFF53D" w:rsidR="00C052D4" w:rsidRDefault="00C052D4" w:rsidP="00BB3EC6">
            <w:pPr>
              <w:spacing w:before="100" w:beforeAutospacing="1" w:after="100" w:afterAutospacing="1" w:line="276" w:lineRule="auto"/>
              <w:rPr>
                <w:rFonts w:eastAsia="Times New Roman" w:cs="Times New Roman"/>
                <w:color w:val="000000" w:themeColor="text1"/>
                <w:kern w:val="0"/>
                <w:szCs w:val="20"/>
                <w14:ligatures w14:val="none"/>
              </w:rPr>
            </w:pPr>
            <m:oMathPara>
              <m:oMath>
                <m:r>
                  <m:rPr>
                    <m:sty m:val="p"/>
                  </m:rPr>
                  <w:rPr>
                    <w:rFonts w:ascii="Cambria Math" w:eastAsia="Times New Roman" w:hAnsi="Cambria Math" w:cs="Times New Roman"/>
                    <w:color w:val="000000" w:themeColor="text1"/>
                    <w:kern w:val="0"/>
                    <w:szCs w:val="20"/>
                    <w14:ligatures w14:val="none"/>
                  </w:rPr>
                  <m:t>ω</m:t>
                </m:r>
              </m:oMath>
            </m:oMathPara>
          </w:p>
        </w:tc>
        <w:tc>
          <w:tcPr>
            <w:tcW w:w="6776" w:type="dxa"/>
          </w:tcPr>
          <w:p w14:paraId="71452EEA" w14:textId="06E3F7BF" w:rsidR="00C052D4" w:rsidRDefault="00C052D4" w:rsidP="00BB3EC6">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 xml:space="preserve">Ratio of screening rate in group </w:t>
            </w:r>
            <m:oMath>
              <m:r>
                <w:rPr>
                  <w:rFonts w:ascii="Cambria Math" w:eastAsia="Times New Roman" w:hAnsi="Cambria Math" w:cs="Times New Roman"/>
                  <w:color w:val="000000" w:themeColor="text1"/>
                  <w:kern w:val="0"/>
                  <w:szCs w:val="20"/>
                  <w14:ligatures w14:val="none"/>
                </w:rPr>
                <m:t>L</m:t>
              </m:r>
            </m:oMath>
            <w:r>
              <w:rPr>
                <w:rFonts w:eastAsia="Times New Roman" w:cs="Times New Roman"/>
                <w:color w:val="000000" w:themeColor="text1"/>
                <w:kern w:val="0"/>
                <w:szCs w:val="20"/>
                <w14:ligatures w14:val="none"/>
              </w:rPr>
              <w:t xml:space="preserve"> vs </w:t>
            </w:r>
            <m:oMath>
              <m:r>
                <w:rPr>
                  <w:rFonts w:ascii="Cambria Math" w:eastAsia="Times New Roman" w:hAnsi="Cambria Math" w:cs="Times New Roman"/>
                  <w:color w:val="000000" w:themeColor="text1"/>
                  <w:kern w:val="0"/>
                  <w:szCs w:val="20"/>
                  <w14:ligatures w14:val="none"/>
                </w:rPr>
                <m:t>H</m:t>
              </m:r>
            </m:oMath>
          </w:p>
        </w:tc>
      </w:tr>
      <w:tr w:rsidR="00C052D4" w14:paraId="1C685687" w14:textId="77777777" w:rsidTr="004F3D14">
        <w:tc>
          <w:tcPr>
            <w:tcW w:w="2250" w:type="dxa"/>
          </w:tcPr>
          <w:p w14:paraId="1BB6960E" w14:textId="4DC9053A" w:rsidR="00C052D4" w:rsidRPr="00C052D4" w:rsidRDefault="00C052D4" w:rsidP="00BB3EC6">
            <w:pPr>
              <w:spacing w:before="100" w:beforeAutospacing="1" w:after="100" w:afterAutospacing="1" w:line="276" w:lineRule="auto"/>
              <w:rPr>
                <w:rFonts w:eastAsia="Times New Roman" w:cs="Times New Roman"/>
                <w:color w:val="000000" w:themeColor="text1"/>
                <w:kern w:val="0"/>
                <w:szCs w:val="20"/>
                <w14:ligatures w14:val="none"/>
              </w:rPr>
            </w:pPr>
            <m:oMathPara>
              <m:oMath>
                <m:sSub>
                  <m:sSubPr>
                    <m:ctrlPr>
                      <w:rPr>
                        <w:rFonts w:ascii="Cambria Math" w:eastAsia="Times New Roman" w:hAnsi="Cambria Math" w:cs="Times New Roman"/>
                        <w:i/>
                        <w:color w:val="000000" w:themeColor="text1"/>
                        <w:kern w:val="0"/>
                        <w:szCs w:val="20"/>
                        <w14:ligatures w14:val="none"/>
                      </w:rPr>
                    </m:ctrlPr>
                  </m:sSubPr>
                  <m:e>
                    <m:r>
                      <m:rPr>
                        <m:sty m:val="p"/>
                      </m:rPr>
                      <w:rPr>
                        <w:rFonts w:ascii="Cambria Math" w:eastAsia="Times New Roman" w:hAnsi="Cambria Math" w:cs="Times New Roman"/>
                        <w:color w:val="000000" w:themeColor="text1"/>
                        <w:kern w:val="0"/>
                        <w:szCs w:val="20"/>
                        <w14:ligatures w14:val="none"/>
                      </w:rPr>
                      <m:t>ϕ</m:t>
                    </m:r>
                    <m:ctrlPr>
                      <w:rPr>
                        <w:rFonts w:ascii="Cambria Math" w:eastAsia="Times New Roman" w:hAnsi="Cambria Math" w:cs="Times New Roman"/>
                        <w:color w:val="000000" w:themeColor="text1"/>
                        <w:kern w:val="0"/>
                        <w:szCs w:val="20"/>
                        <w14:ligatures w14:val="none"/>
                      </w:rPr>
                    </m:ctrlPr>
                  </m:e>
                  <m:sub>
                    <m:r>
                      <m:rPr>
                        <m:sty m:val="p"/>
                      </m:rPr>
                      <w:rPr>
                        <w:rFonts w:ascii="Cambria Math" w:eastAsia="Times New Roman" w:hAnsi="Cambria Math" w:cs="Times New Roman"/>
                        <w:color w:val="000000" w:themeColor="text1"/>
                        <w:kern w:val="0"/>
                        <w:szCs w:val="20"/>
                        <w14:ligatures w14:val="none"/>
                      </w:rPr>
                      <m:t>η</m:t>
                    </m:r>
                  </m:sub>
                </m:sSub>
              </m:oMath>
            </m:oMathPara>
          </w:p>
        </w:tc>
        <w:tc>
          <w:tcPr>
            <w:tcW w:w="6776" w:type="dxa"/>
          </w:tcPr>
          <w:p w14:paraId="46A754AD" w14:textId="592F3391" w:rsidR="00C052D4" w:rsidRDefault="00C052D4" w:rsidP="00BB3EC6">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Annual increase in screening rate</w:t>
            </w:r>
          </w:p>
        </w:tc>
      </w:tr>
      <w:tr w:rsidR="004F3D14" w14:paraId="4F3DA726" w14:textId="77777777" w:rsidTr="004F3D14">
        <w:tc>
          <w:tcPr>
            <w:tcW w:w="2250" w:type="dxa"/>
          </w:tcPr>
          <w:p w14:paraId="58F296FA" w14:textId="77777777" w:rsidR="004F3D14" w:rsidRDefault="004F3D14" w:rsidP="00BB3EC6">
            <w:pPr>
              <w:spacing w:before="100" w:beforeAutospacing="1" w:after="100" w:afterAutospacing="1" w:line="276" w:lineRule="auto"/>
              <w:rPr>
                <w:rFonts w:eastAsia="Times New Roman" w:cs="Times New Roman"/>
                <w:color w:val="000000" w:themeColor="text1"/>
                <w:kern w:val="0"/>
                <w:szCs w:val="20"/>
                <w14:ligatures w14:val="none"/>
              </w:rPr>
            </w:pPr>
            <m:oMathPara>
              <m:oMath>
                <m:r>
                  <m:rPr>
                    <m:sty m:val="p"/>
                  </m:rPr>
                  <w:rPr>
                    <w:rFonts w:ascii="Cambria Math" w:eastAsia="Times New Roman" w:hAnsi="Cambria Math" w:cs="Times New Roman"/>
                    <w:color w:val="000000" w:themeColor="text1"/>
                    <w:kern w:val="0"/>
                    <w:szCs w:val="20"/>
                    <w14:ligatures w14:val="none"/>
                  </w:rPr>
                  <m:t>ρ</m:t>
                </m:r>
              </m:oMath>
            </m:oMathPara>
          </w:p>
        </w:tc>
        <w:tc>
          <w:tcPr>
            <w:tcW w:w="6776" w:type="dxa"/>
          </w:tcPr>
          <w:p w14:paraId="6D96DA32" w14:textId="77777777" w:rsidR="004F3D14" w:rsidRDefault="004F3D14" w:rsidP="00BB3EC6">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Rate of recovery after treatment</w:t>
            </w:r>
          </w:p>
        </w:tc>
      </w:tr>
      <w:tr w:rsidR="004F3D14" w14:paraId="43FA947F" w14:textId="77777777" w:rsidTr="004F3D14">
        <w:tc>
          <w:tcPr>
            <w:tcW w:w="2250" w:type="dxa"/>
          </w:tcPr>
          <w:p w14:paraId="0B4247BB" w14:textId="77777777" w:rsidR="004F3D14" w:rsidRDefault="004F3D14" w:rsidP="00BB3EC6">
            <w:pPr>
              <w:spacing w:before="100" w:beforeAutospacing="1" w:after="100" w:afterAutospacing="1" w:line="276" w:lineRule="auto"/>
              <w:rPr>
                <w:rFonts w:eastAsia="Times New Roman" w:cs="Times New Roman"/>
                <w:color w:val="000000" w:themeColor="text1"/>
                <w:kern w:val="0"/>
                <w:szCs w:val="20"/>
                <w14:ligatures w14:val="none"/>
              </w:rPr>
            </w:pPr>
            <m:oMathPara>
              <m:oMath>
                <m:r>
                  <m:rPr>
                    <m:sty m:val="p"/>
                  </m:rPr>
                  <w:rPr>
                    <w:rFonts w:ascii="Cambria Math" w:eastAsia="Times New Roman" w:hAnsi="Cambria Math" w:cs="Times New Roman"/>
                    <w:color w:val="000000" w:themeColor="text1"/>
                    <w:kern w:val="0"/>
                    <w:szCs w:val="20"/>
                    <w14:ligatures w14:val="none"/>
                  </w:rPr>
                  <m:t>ν</m:t>
                </m:r>
              </m:oMath>
            </m:oMathPara>
          </w:p>
        </w:tc>
        <w:tc>
          <w:tcPr>
            <w:tcW w:w="6776" w:type="dxa"/>
          </w:tcPr>
          <w:p w14:paraId="08C68C21" w14:textId="77777777" w:rsidR="004F3D14" w:rsidRDefault="004F3D14" w:rsidP="00BB3EC6">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Rate of natural recovery</w:t>
            </w:r>
          </w:p>
        </w:tc>
      </w:tr>
    </w:tbl>
    <w:p w14:paraId="1CC09B59" w14:textId="77777777" w:rsidR="004F3D14" w:rsidRDefault="004F3D14" w:rsidP="00276DCE">
      <w:pPr>
        <w:spacing w:before="100" w:beforeAutospacing="1" w:after="100" w:afterAutospacing="1" w:line="276" w:lineRule="auto"/>
        <w:jc w:val="both"/>
        <w:rPr>
          <w:rFonts w:ascii="Times New Roman" w:eastAsia="Times New Roman" w:hAnsi="Times New Roman" w:cs="Times New Roman"/>
          <w:color w:val="000000" w:themeColor="text1"/>
          <w:kern w:val="0"/>
          <w:sz w:val="20"/>
          <w:szCs w:val="20"/>
          <w14:ligatures w14:val="none"/>
        </w:rPr>
      </w:pPr>
    </w:p>
    <w:tbl>
      <w:tblPr>
        <w:tblStyle w:val="TableGrid"/>
        <w:tblW w:w="0" w:type="auto"/>
        <w:tblLook w:val="04A0" w:firstRow="1" w:lastRow="0" w:firstColumn="1" w:lastColumn="0" w:noHBand="0" w:noVBand="1"/>
      </w:tblPr>
      <w:tblGrid>
        <w:gridCol w:w="2250"/>
        <w:gridCol w:w="6776"/>
      </w:tblGrid>
      <w:tr w:rsidR="004F3D14" w14:paraId="54AB8378" w14:textId="77777777" w:rsidTr="00BB3EC6">
        <w:tc>
          <w:tcPr>
            <w:tcW w:w="2250" w:type="dxa"/>
          </w:tcPr>
          <w:p w14:paraId="7BDE15F9" w14:textId="31174748" w:rsidR="004F3D14" w:rsidRDefault="004F3D14" w:rsidP="00BB3EC6">
            <w:pPr>
              <w:spacing w:before="100" w:beforeAutospacing="1" w:after="100" w:afterAutospacing="1" w:line="276" w:lineRule="auto"/>
              <w:rPr>
                <w:rFonts w:eastAsia="Times New Roman" w:cs="Times New Roman"/>
                <w:color w:val="000000" w:themeColor="text1"/>
                <w:kern w:val="0"/>
                <w:szCs w:val="20"/>
                <w14:ligatures w14:val="none"/>
              </w:rPr>
            </w:pPr>
          </w:p>
        </w:tc>
        <w:tc>
          <w:tcPr>
            <w:tcW w:w="6776" w:type="dxa"/>
          </w:tcPr>
          <w:p w14:paraId="11FDE79F" w14:textId="77777777" w:rsidR="004F3D14" w:rsidRDefault="004F3D14" w:rsidP="00166618">
            <w:pPr>
              <w:spacing w:before="100" w:beforeAutospacing="1" w:after="100" w:afterAutospacing="1" w:line="276" w:lineRule="auto"/>
              <w:jc w:val="left"/>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Definition</w:t>
            </w:r>
          </w:p>
        </w:tc>
      </w:tr>
      <w:tr w:rsidR="00C052D4" w14:paraId="0FE9BADD" w14:textId="77777777" w:rsidTr="00BB3EC6">
        <w:tc>
          <w:tcPr>
            <w:tcW w:w="2250" w:type="dxa"/>
          </w:tcPr>
          <w:p w14:paraId="19EF6B92" w14:textId="7A1CAC04" w:rsidR="00C052D4" w:rsidRDefault="00C052D4" w:rsidP="00C052D4">
            <w:pPr>
              <w:spacing w:before="100" w:beforeAutospacing="1" w:after="100" w:afterAutospacing="1" w:line="276" w:lineRule="auto"/>
              <w:rPr>
                <w:rFonts w:eastAsia="Times New Roman" w:cs="Times New Roman"/>
                <w:color w:val="000000" w:themeColor="text1"/>
                <w:kern w:val="0"/>
                <w:szCs w:val="20"/>
                <w14:ligatures w14:val="none"/>
              </w:rPr>
            </w:pPr>
            <m:oMathPara>
              <m:oMath>
                <m:r>
                  <m:rPr>
                    <m:sty m:val="p"/>
                  </m:rPr>
                  <w:rPr>
                    <w:rFonts w:ascii="Cambria Math" w:eastAsia="Times New Roman" w:hAnsi="Cambria Math" w:cs="Times New Roman"/>
                    <w:color w:val="000000" w:themeColor="text1"/>
                    <w:kern w:val="0"/>
                    <w:szCs w:val="20"/>
                    <w14:ligatures w14:val="none"/>
                  </w:rPr>
                  <m:t>ϕ</m:t>
                </m:r>
              </m:oMath>
            </m:oMathPara>
          </w:p>
        </w:tc>
        <w:tc>
          <w:tcPr>
            <w:tcW w:w="6776" w:type="dxa"/>
          </w:tcPr>
          <w:p w14:paraId="10FE8966" w14:textId="3900185B" w:rsidR="00C052D4" w:rsidRDefault="00C052D4" w:rsidP="00C052D4">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Treatment failure rate for ceftriaxone-resistant infections treated with ceftriaxone</w:t>
            </w:r>
          </w:p>
        </w:tc>
      </w:tr>
      <w:tr w:rsidR="00C052D4" w14:paraId="699D2D6D" w14:textId="77777777" w:rsidTr="00BB3EC6">
        <w:tc>
          <w:tcPr>
            <w:tcW w:w="2250" w:type="dxa"/>
          </w:tcPr>
          <w:p w14:paraId="52DF8216" w14:textId="41EE332A" w:rsidR="00C052D4" w:rsidRDefault="00C052D4" w:rsidP="00C052D4">
            <w:pPr>
              <w:spacing w:before="100" w:beforeAutospacing="1" w:after="100" w:afterAutospacing="1" w:line="276" w:lineRule="auto"/>
              <w:rPr>
                <w:rFonts w:eastAsia="Times New Roman" w:cs="Times New Roman"/>
                <w:color w:val="000000" w:themeColor="text1"/>
                <w:kern w:val="0"/>
                <w:szCs w:val="20"/>
                <w14:ligatures w14:val="none"/>
              </w:rPr>
            </w:pPr>
            <m:oMathPara>
              <m:oMath>
                <m:sSub>
                  <m:sSubPr>
                    <m:ctrlPr>
                      <w:rPr>
                        <w:rFonts w:ascii="Cambria Math" w:eastAsia="Times New Roman" w:hAnsi="Cambria Math" w:cs="Times New Roman"/>
                        <w:i/>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f</m:t>
                    </m:r>
                  </m:e>
                  <m:sub>
                    <m:r>
                      <w:rPr>
                        <w:rFonts w:ascii="Cambria Math" w:eastAsia="Times New Roman" w:hAnsi="Cambria Math" w:cs="Times New Roman"/>
                        <w:color w:val="000000" w:themeColor="text1"/>
                        <w:kern w:val="0"/>
                        <w:szCs w:val="20"/>
                        <w14:ligatures w14:val="none"/>
                      </w:rPr>
                      <m:t>c</m:t>
                    </m:r>
                  </m:sub>
                </m:sSub>
              </m:oMath>
            </m:oMathPara>
          </w:p>
        </w:tc>
        <w:tc>
          <w:tcPr>
            <w:tcW w:w="6776" w:type="dxa"/>
          </w:tcPr>
          <w:p w14:paraId="638E6A9E" w14:textId="72BD68F2" w:rsidR="00C052D4" w:rsidRDefault="00C052D4" w:rsidP="00C052D4">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Relative fitness of ceftriaxone-resistant bacteria, compared with susceptible</w:t>
            </w:r>
          </w:p>
        </w:tc>
      </w:tr>
      <w:tr w:rsidR="00C052D4" w14:paraId="7A45BEF9" w14:textId="77777777" w:rsidTr="00BB3EC6">
        <w:tc>
          <w:tcPr>
            <w:tcW w:w="2250" w:type="dxa"/>
          </w:tcPr>
          <w:p w14:paraId="74FE6CD8" w14:textId="676FF556" w:rsidR="00C052D4" w:rsidRDefault="00C052D4" w:rsidP="00C052D4">
            <w:pPr>
              <w:spacing w:before="100" w:beforeAutospacing="1" w:after="100" w:afterAutospacing="1" w:line="276" w:lineRule="auto"/>
              <w:rPr>
                <w:rFonts w:ascii="Aptos" w:eastAsia="Times New Roman" w:hAnsi="Aptos" w:cs="Times New Roman"/>
                <w:color w:val="000000" w:themeColor="text1"/>
                <w:kern w:val="0"/>
                <w:szCs w:val="20"/>
                <w14:ligatures w14:val="none"/>
              </w:rPr>
            </w:pPr>
            <m:oMathPara>
              <m:oMath>
                <m:sSub>
                  <m:sSubPr>
                    <m:ctrlPr>
                      <w:rPr>
                        <w:rFonts w:ascii="Cambria Math" w:eastAsia="Times New Roman" w:hAnsi="Cambria Math" w:cs="Times New Roman"/>
                        <w:i/>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f</m:t>
                    </m:r>
                  </m:e>
                  <m:sub>
                    <m:r>
                      <w:rPr>
                        <w:rFonts w:ascii="Cambria Math" w:eastAsia="Times New Roman" w:hAnsi="Cambria Math" w:cs="Times New Roman"/>
                        <w:color w:val="000000" w:themeColor="text1"/>
                        <w:kern w:val="0"/>
                        <w:szCs w:val="20"/>
                        <w14:ligatures w14:val="none"/>
                      </w:rPr>
                      <m:t>t</m:t>
                    </m:r>
                  </m:sub>
                </m:sSub>
              </m:oMath>
            </m:oMathPara>
          </w:p>
        </w:tc>
        <w:tc>
          <w:tcPr>
            <w:tcW w:w="6776" w:type="dxa"/>
          </w:tcPr>
          <w:p w14:paraId="5FA28E9B" w14:textId="4D23D3F6" w:rsidR="00C052D4" w:rsidRDefault="00C052D4" w:rsidP="00C052D4">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Relative fitness of tetracycline-resistant bacteria, compared with susceptible</w:t>
            </w:r>
          </w:p>
        </w:tc>
      </w:tr>
      <w:tr w:rsidR="00C052D4" w14:paraId="23AF0A2D" w14:textId="77777777" w:rsidTr="00BB3EC6">
        <w:tc>
          <w:tcPr>
            <w:tcW w:w="2250" w:type="dxa"/>
          </w:tcPr>
          <w:p w14:paraId="40A856B6" w14:textId="72875789" w:rsidR="00C052D4" w:rsidRDefault="00C052D4" w:rsidP="00C052D4">
            <w:pPr>
              <w:spacing w:before="100" w:beforeAutospacing="1" w:after="100" w:afterAutospacing="1" w:line="276" w:lineRule="auto"/>
              <w:rPr>
                <w:rFonts w:ascii="Aptos" w:eastAsia="Times New Roman" w:hAnsi="Aptos" w:cs="Times New Roman"/>
                <w:color w:val="000000" w:themeColor="text1"/>
                <w:kern w:val="0"/>
                <w:szCs w:val="20"/>
                <w14:ligatures w14:val="none"/>
              </w:rPr>
            </w:pPr>
            <m:oMathPara>
              <m:oMath>
                <m:sSub>
                  <m:sSubPr>
                    <m:ctrlPr>
                      <w:rPr>
                        <w:rFonts w:ascii="Cambria Math" w:eastAsia="Times New Roman" w:hAnsi="Cambria Math" w:cs="Times New Roman"/>
                        <w:i/>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f</m:t>
                    </m:r>
                  </m:e>
                  <m:sub>
                    <m:r>
                      <w:rPr>
                        <w:rFonts w:ascii="Cambria Math" w:eastAsia="Times New Roman" w:hAnsi="Cambria Math" w:cs="Times New Roman"/>
                        <w:color w:val="000000" w:themeColor="text1"/>
                        <w:kern w:val="0"/>
                        <w:szCs w:val="20"/>
                        <w14:ligatures w14:val="none"/>
                      </w:rPr>
                      <m:t>d2</m:t>
                    </m:r>
                  </m:sub>
                </m:sSub>
              </m:oMath>
            </m:oMathPara>
          </w:p>
        </w:tc>
        <w:tc>
          <w:tcPr>
            <w:tcW w:w="6776" w:type="dxa"/>
          </w:tcPr>
          <w:p w14:paraId="1513624E" w14:textId="4D36146F" w:rsidR="00C052D4" w:rsidRDefault="00C052D4" w:rsidP="00C052D4">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Relative fitness of dual resistant bacteria, compared with susceptible</w:t>
            </w:r>
          </w:p>
        </w:tc>
      </w:tr>
      <w:tr w:rsidR="00C052D4" w14:paraId="64BD0E48" w14:textId="77777777" w:rsidTr="00BB3EC6">
        <w:tc>
          <w:tcPr>
            <w:tcW w:w="2250" w:type="dxa"/>
          </w:tcPr>
          <w:p w14:paraId="3F14E964" w14:textId="7B59DB5F" w:rsidR="00C052D4" w:rsidRDefault="00C052D4" w:rsidP="00C052D4">
            <w:pPr>
              <w:spacing w:before="100" w:beforeAutospacing="1" w:after="100" w:afterAutospacing="1" w:line="276" w:lineRule="auto"/>
              <w:rPr>
                <w:rFonts w:ascii="Aptos" w:eastAsia="Times New Roman" w:hAnsi="Aptos" w:cs="Times New Roman"/>
                <w:color w:val="000000" w:themeColor="text1"/>
                <w:kern w:val="0"/>
                <w:szCs w:val="20"/>
                <w14:ligatures w14:val="none"/>
              </w:rPr>
            </w:pPr>
            <m:oMathPara>
              <m:oMath>
                <m:sSub>
                  <m:sSubPr>
                    <m:ctrlPr>
                      <w:rPr>
                        <w:rFonts w:ascii="Cambria Math" w:eastAsia="Times New Roman" w:hAnsi="Cambria Math" w:cs="Times New Roman"/>
                        <w:i/>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w</m:t>
                    </m:r>
                  </m:e>
                  <m:sub>
                    <m:r>
                      <w:rPr>
                        <w:rFonts w:ascii="Cambria Math" w:eastAsia="Times New Roman" w:hAnsi="Cambria Math" w:cs="Times New Roman"/>
                        <w:color w:val="000000" w:themeColor="text1"/>
                        <w:kern w:val="0"/>
                        <w:szCs w:val="20"/>
                        <w14:ligatures w14:val="none"/>
                      </w:rPr>
                      <m:t>c</m:t>
                    </m:r>
                  </m:sub>
                </m:sSub>
              </m:oMath>
            </m:oMathPara>
          </w:p>
        </w:tc>
        <w:tc>
          <w:tcPr>
            <w:tcW w:w="6776" w:type="dxa"/>
          </w:tcPr>
          <w:p w14:paraId="204A7D7E" w14:textId="4141C5CC" w:rsidR="00C052D4" w:rsidRDefault="00C052D4" w:rsidP="00C052D4">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Probability of emergence of ceftriaxone resistance upon treatment with ceftriaxone</w:t>
            </w:r>
          </w:p>
        </w:tc>
      </w:tr>
      <w:tr w:rsidR="00C052D4" w14:paraId="4B2059D4" w14:textId="77777777" w:rsidTr="00BB3EC6">
        <w:tc>
          <w:tcPr>
            <w:tcW w:w="2250" w:type="dxa"/>
          </w:tcPr>
          <w:p w14:paraId="2D3643C5" w14:textId="134DE75F" w:rsidR="00C052D4" w:rsidRDefault="00C052D4" w:rsidP="00C052D4">
            <w:pPr>
              <w:spacing w:before="100" w:beforeAutospacing="1" w:after="100" w:afterAutospacing="1" w:line="276" w:lineRule="auto"/>
              <w:rPr>
                <w:rFonts w:ascii="Aptos" w:eastAsia="Times New Roman" w:hAnsi="Aptos" w:cs="Times New Roman"/>
                <w:color w:val="000000" w:themeColor="text1"/>
                <w:kern w:val="0"/>
                <w:szCs w:val="20"/>
                <w14:ligatures w14:val="none"/>
              </w:rPr>
            </w:pPr>
            <m:oMathPara>
              <m:oMath>
                <m:sSub>
                  <m:sSubPr>
                    <m:ctrlPr>
                      <w:rPr>
                        <w:rFonts w:ascii="Cambria Math" w:eastAsia="Times New Roman" w:hAnsi="Cambria Math" w:cs="Times New Roman"/>
                        <w:i/>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w</m:t>
                    </m:r>
                  </m:e>
                  <m:sub>
                    <m:r>
                      <w:rPr>
                        <w:rFonts w:ascii="Cambria Math" w:eastAsia="Times New Roman" w:hAnsi="Cambria Math" w:cs="Times New Roman"/>
                        <w:color w:val="000000" w:themeColor="text1"/>
                        <w:kern w:val="0"/>
                        <w:szCs w:val="20"/>
                        <w14:ligatures w14:val="none"/>
                      </w:rPr>
                      <m:t>t</m:t>
                    </m:r>
                  </m:sub>
                </m:sSub>
              </m:oMath>
            </m:oMathPara>
          </w:p>
        </w:tc>
        <w:tc>
          <w:tcPr>
            <w:tcW w:w="6776" w:type="dxa"/>
          </w:tcPr>
          <w:p w14:paraId="15D29810" w14:textId="2EB1ED32" w:rsidR="00C052D4" w:rsidRDefault="00C052D4" w:rsidP="00C052D4">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Probability of emergence of tetracycline resistance upon taking doxy-PEP for syphilis after gonorrhoea infection</w:t>
            </w:r>
          </w:p>
        </w:tc>
      </w:tr>
      <w:tr w:rsidR="00C052D4" w14:paraId="49F709FF" w14:textId="77777777" w:rsidTr="00BB3EC6">
        <w:tc>
          <w:tcPr>
            <w:tcW w:w="2250" w:type="dxa"/>
          </w:tcPr>
          <w:p w14:paraId="5F2F52CC" w14:textId="020AC059" w:rsidR="00C052D4" w:rsidRDefault="00C052D4" w:rsidP="00C052D4">
            <w:pPr>
              <w:spacing w:before="100" w:beforeAutospacing="1" w:after="100" w:afterAutospacing="1" w:line="276" w:lineRule="auto"/>
              <w:rPr>
                <w:rFonts w:ascii="Aptos" w:eastAsia="Times New Roman" w:hAnsi="Aptos" w:cs="Times New Roman"/>
                <w:color w:val="000000" w:themeColor="text1"/>
                <w:kern w:val="0"/>
                <w:szCs w:val="20"/>
                <w14:ligatures w14:val="none"/>
              </w:rPr>
            </w:pPr>
            <m:oMathPara>
              <m:oMath>
                <m:sSub>
                  <m:sSubPr>
                    <m:ctrlPr>
                      <w:rPr>
                        <w:rFonts w:ascii="Cambria Math" w:eastAsia="Times New Roman" w:hAnsi="Cambria Math" w:cs="Times New Roman"/>
                        <w:i/>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e</m:t>
                    </m:r>
                  </m:e>
                  <m:sub>
                    <m:r>
                      <w:rPr>
                        <w:rFonts w:ascii="Cambria Math" w:eastAsia="Times New Roman" w:hAnsi="Cambria Math" w:cs="Times New Roman"/>
                        <w:color w:val="000000" w:themeColor="text1"/>
                        <w:kern w:val="0"/>
                        <w:szCs w:val="20"/>
                        <w14:ligatures w14:val="none"/>
                      </w:rPr>
                      <m:t>d</m:t>
                    </m:r>
                  </m:sub>
                </m:sSub>
              </m:oMath>
            </m:oMathPara>
          </w:p>
        </w:tc>
        <w:tc>
          <w:tcPr>
            <w:tcW w:w="6776" w:type="dxa"/>
          </w:tcPr>
          <w:p w14:paraId="35885379" w14:textId="7181D9B1" w:rsidR="00C052D4" w:rsidRDefault="00C052D4" w:rsidP="00C052D4">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Doxy-PEP efficacy against gonorrhoea infection</w:t>
            </w:r>
          </w:p>
        </w:tc>
      </w:tr>
      <w:tr w:rsidR="00C052D4" w14:paraId="46C6533E" w14:textId="77777777" w:rsidTr="00BB3EC6">
        <w:tc>
          <w:tcPr>
            <w:tcW w:w="2250" w:type="dxa"/>
          </w:tcPr>
          <w:p w14:paraId="16E99D95" w14:textId="1D894075" w:rsidR="00C052D4" w:rsidRDefault="00C052D4" w:rsidP="00C052D4">
            <w:pPr>
              <w:spacing w:before="100" w:beforeAutospacing="1" w:after="100" w:afterAutospacing="1" w:line="276" w:lineRule="auto"/>
              <w:rPr>
                <w:rFonts w:ascii="Aptos" w:eastAsia="Times New Roman" w:hAnsi="Aptos" w:cs="Times New Roman"/>
                <w:color w:val="000000" w:themeColor="text1"/>
                <w:kern w:val="0"/>
                <w:szCs w:val="20"/>
                <w14:ligatures w14:val="none"/>
              </w:rPr>
            </w:pPr>
            <m:oMathPara>
              <m:oMath>
                <m:sSub>
                  <m:sSubPr>
                    <m:ctrlPr>
                      <w:rPr>
                        <w:rFonts w:ascii="Cambria Math" w:eastAsia="Times New Roman" w:hAnsi="Cambria Math" w:cs="Times New Roman"/>
                        <w:i/>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e</m:t>
                    </m:r>
                  </m:e>
                  <m:sub>
                    <m:r>
                      <w:rPr>
                        <w:rFonts w:ascii="Cambria Math" w:eastAsia="Times New Roman" w:hAnsi="Cambria Math" w:cs="Times New Roman"/>
                        <w:color w:val="000000" w:themeColor="text1"/>
                        <w:kern w:val="0"/>
                        <w:szCs w:val="20"/>
                        <w14:ligatures w14:val="none"/>
                      </w:rPr>
                      <m:t>v</m:t>
                    </m:r>
                  </m:sub>
                </m:sSub>
              </m:oMath>
            </m:oMathPara>
          </w:p>
        </w:tc>
        <w:tc>
          <w:tcPr>
            <w:tcW w:w="6776" w:type="dxa"/>
          </w:tcPr>
          <w:p w14:paraId="1B4F2836" w14:textId="357A9B27" w:rsidR="00C052D4" w:rsidRDefault="00C052D4" w:rsidP="00C052D4">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4CMenB efficacy against gonorrhoea infection</w:t>
            </w:r>
          </w:p>
        </w:tc>
      </w:tr>
      <w:tr w:rsidR="00C052D4" w14:paraId="7DACFBA3" w14:textId="77777777" w:rsidTr="00BB3EC6">
        <w:tc>
          <w:tcPr>
            <w:tcW w:w="2250" w:type="dxa"/>
          </w:tcPr>
          <w:p w14:paraId="355ED9D7" w14:textId="3B9EE80E" w:rsidR="00C052D4" w:rsidRDefault="00C052D4" w:rsidP="00C052D4">
            <w:pPr>
              <w:spacing w:before="100" w:beforeAutospacing="1" w:after="100" w:afterAutospacing="1" w:line="276" w:lineRule="auto"/>
              <w:rPr>
                <w:rFonts w:ascii="Aptos" w:eastAsia="Times New Roman" w:hAnsi="Aptos" w:cs="Times New Roman"/>
                <w:color w:val="000000" w:themeColor="text1"/>
                <w:kern w:val="0"/>
                <w:szCs w:val="20"/>
                <w14:ligatures w14:val="none"/>
              </w:rPr>
            </w:pPr>
            <m:oMathPara>
              <m:oMath>
                <m:sSub>
                  <m:sSubPr>
                    <m:ctrlPr>
                      <w:rPr>
                        <w:rFonts w:ascii="Cambria Math" w:eastAsia="Times New Roman" w:hAnsi="Cambria Math" w:cs="Times New Roman"/>
                        <w:i/>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p</m:t>
                    </m:r>
                  </m:e>
                  <m:sub>
                    <m:r>
                      <w:rPr>
                        <w:rFonts w:ascii="Cambria Math" w:eastAsia="Times New Roman" w:hAnsi="Cambria Math" w:cs="Times New Roman"/>
                        <w:color w:val="000000" w:themeColor="text1"/>
                        <w:kern w:val="0"/>
                        <w:szCs w:val="20"/>
                        <w14:ligatures w14:val="none"/>
                      </w:rPr>
                      <m:t>d</m:t>
                    </m:r>
                  </m:sub>
                </m:sSub>
              </m:oMath>
            </m:oMathPara>
          </w:p>
        </w:tc>
        <w:tc>
          <w:tcPr>
            <w:tcW w:w="6776" w:type="dxa"/>
          </w:tcPr>
          <w:p w14:paraId="12D7D903" w14:textId="5A394676" w:rsidR="00C052D4" w:rsidRDefault="00C052D4" w:rsidP="00C052D4">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Uptake of doxy-PEP for syphilis</w:t>
            </w:r>
          </w:p>
        </w:tc>
      </w:tr>
      <w:tr w:rsidR="00C052D4" w14:paraId="2B2479D5" w14:textId="77777777" w:rsidTr="00BB3EC6">
        <w:tc>
          <w:tcPr>
            <w:tcW w:w="2250" w:type="dxa"/>
          </w:tcPr>
          <w:p w14:paraId="55A89678" w14:textId="625113DA" w:rsidR="00C052D4" w:rsidRDefault="00C052D4" w:rsidP="00C052D4">
            <w:pPr>
              <w:spacing w:before="100" w:beforeAutospacing="1" w:after="100" w:afterAutospacing="1" w:line="276" w:lineRule="auto"/>
              <w:rPr>
                <w:rFonts w:ascii="Aptos" w:eastAsia="Times New Roman" w:hAnsi="Aptos" w:cs="Times New Roman"/>
                <w:color w:val="000000" w:themeColor="text1"/>
                <w:kern w:val="0"/>
                <w:szCs w:val="20"/>
                <w14:ligatures w14:val="none"/>
              </w:rPr>
            </w:pPr>
            <m:oMathPara>
              <m:oMath>
                <m:sSub>
                  <m:sSubPr>
                    <m:ctrlPr>
                      <w:rPr>
                        <w:rFonts w:ascii="Cambria Math" w:eastAsia="Times New Roman" w:hAnsi="Cambria Math" w:cs="Times New Roman"/>
                        <w:i/>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p</m:t>
                    </m:r>
                  </m:e>
                  <m:sub>
                    <m:r>
                      <w:rPr>
                        <w:rFonts w:ascii="Cambria Math" w:eastAsia="Times New Roman" w:hAnsi="Cambria Math" w:cs="Times New Roman"/>
                        <w:color w:val="000000" w:themeColor="text1"/>
                        <w:kern w:val="0"/>
                        <w:szCs w:val="20"/>
                        <w14:ligatures w14:val="none"/>
                      </w:rPr>
                      <m:t>v</m:t>
                    </m:r>
                  </m:sub>
                </m:sSub>
              </m:oMath>
            </m:oMathPara>
          </w:p>
        </w:tc>
        <w:tc>
          <w:tcPr>
            <w:tcW w:w="6776" w:type="dxa"/>
          </w:tcPr>
          <w:p w14:paraId="3FA1541C" w14:textId="5B737D1E" w:rsidR="00C052D4" w:rsidRDefault="00C052D4" w:rsidP="00C052D4">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Uptake of 4CMenB for gonorrhoea</w:t>
            </w:r>
          </w:p>
        </w:tc>
      </w:tr>
      <w:tr w:rsidR="00C052D4" w14:paraId="03E90163" w14:textId="77777777" w:rsidTr="00BB3EC6">
        <w:tc>
          <w:tcPr>
            <w:tcW w:w="2250" w:type="dxa"/>
          </w:tcPr>
          <w:p w14:paraId="337ED82A" w14:textId="7893C974" w:rsidR="00C052D4" w:rsidRDefault="00C052D4" w:rsidP="00C052D4">
            <w:pPr>
              <w:spacing w:before="100" w:beforeAutospacing="1" w:after="100" w:afterAutospacing="1" w:line="276" w:lineRule="auto"/>
              <w:rPr>
                <w:rFonts w:ascii="Aptos" w:eastAsia="Times New Roman" w:hAnsi="Aptos" w:cs="Times New Roman"/>
                <w:color w:val="000000" w:themeColor="text1"/>
                <w:kern w:val="0"/>
                <w:szCs w:val="20"/>
                <w14:ligatures w14:val="none"/>
              </w:rPr>
            </w:pPr>
            <m:oMathPara>
              <m:oMath>
                <m:sSub>
                  <m:sSubPr>
                    <m:ctrlPr>
                      <w:rPr>
                        <w:rFonts w:ascii="Cambria Math" w:eastAsia="Times New Roman" w:hAnsi="Cambria Math" w:cs="Times New Roman"/>
                        <w:i/>
                        <w:color w:val="000000" w:themeColor="text1"/>
                        <w:kern w:val="0"/>
                        <w:szCs w:val="20"/>
                        <w14:ligatures w14:val="none"/>
                      </w:rPr>
                    </m:ctrlPr>
                  </m:sSubPr>
                  <m:e>
                    <m:r>
                      <m:rPr>
                        <m:sty m:val="p"/>
                      </m:rPr>
                      <w:rPr>
                        <w:rFonts w:ascii="Cambria Math" w:eastAsia="Times New Roman" w:hAnsi="Cambria Math" w:cs="Times New Roman"/>
                        <w:color w:val="000000" w:themeColor="text1"/>
                        <w:kern w:val="0"/>
                        <w:szCs w:val="20"/>
                        <w14:ligatures w14:val="none"/>
                      </w:rPr>
                      <m:t>ξ</m:t>
                    </m:r>
                    <m:ctrlPr>
                      <w:rPr>
                        <w:rFonts w:ascii="Cambria Math" w:eastAsia="Times New Roman" w:hAnsi="Cambria Math" w:cs="Times New Roman"/>
                        <w:color w:val="000000" w:themeColor="text1"/>
                        <w:kern w:val="0"/>
                        <w:szCs w:val="20"/>
                        <w14:ligatures w14:val="none"/>
                      </w:rPr>
                    </m:ctrlPr>
                  </m:e>
                  <m:sub>
                    <m:r>
                      <w:rPr>
                        <w:rFonts w:ascii="Cambria Math" w:eastAsia="Times New Roman" w:hAnsi="Cambria Math" w:cs="Times New Roman"/>
                        <w:color w:val="000000" w:themeColor="text1"/>
                        <w:kern w:val="0"/>
                        <w:szCs w:val="20"/>
                        <w14:ligatures w14:val="none"/>
                      </w:rPr>
                      <m:t>n</m:t>
                    </m:r>
                  </m:sub>
                </m:sSub>
              </m:oMath>
            </m:oMathPara>
          </w:p>
        </w:tc>
        <w:tc>
          <w:tcPr>
            <w:tcW w:w="6776" w:type="dxa"/>
          </w:tcPr>
          <w:p w14:paraId="243798AE" w14:textId="58A45403" w:rsidR="00C052D4" w:rsidRDefault="00C052D4" w:rsidP="00C052D4">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Discontinuation rate of doxy-PEP for syphilis</w:t>
            </w:r>
          </w:p>
        </w:tc>
      </w:tr>
      <w:tr w:rsidR="00C052D4" w14:paraId="111A6694" w14:textId="77777777" w:rsidTr="00BB3EC6">
        <w:tc>
          <w:tcPr>
            <w:tcW w:w="2250" w:type="dxa"/>
          </w:tcPr>
          <w:p w14:paraId="127EFC57" w14:textId="3337CE15" w:rsidR="00C052D4" w:rsidRDefault="00C052D4" w:rsidP="00C052D4">
            <w:pPr>
              <w:spacing w:before="100" w:beforeAutospacing="1" w:after="100" w:afterAutospacing="1" w:line="276" w:lineRule="auto"/>
              <w:rPr>
                <w:rFonts w:ascii="Aptos" w:eastAsia="Times New Roman" w:hAnsi="Aptos" w:cs="Times New Roman"/>
                <w:color w:val="000000" w:themeColor="text1"/>
                <w:kern w:val="0"/>
                <w:szCs w:val="20"/>
                <w14:ligatures w14:val="none"/>
              </w:rPr>
            </w:pPr>
            <m:oMathPara>
              <m:oMath>
                <m:sSub>
                  <m:sSubPr>
                    <m:ctrlPr>
                      <w:rPr>
                        <w:rFonts w:ascii="Cambria Math" w:eastAsia="Times New Roman" w:hAnsi="Cambria Math" w:cs="Times New Roman"/>
                        <w:i/>
                        <w:color w:val="000000" w:themeColor="text1"/>
                        <w:kern w:val="0"/>
                        <w:szCs w:val="20"/>
                        <w14:ligatures w14:val="none"/>
                      </w:rPr>
                    </m:ctrlPr>
                  </m:sSubPr>
                  <m:e>
                    <m:r>
                      <m:rPr>
                        <m:sty m:val="p"/>
                      </m:rPr>
                      <w:rPr>
                        <w:rFonts w:ascii="Cambria Math" w:eastAsia="Times New Roman" w:hAnsi="Cambria Math" w:cs="Times New Roman"/>
                        <w:color w:val="000000" w:themeColor="text1"/>
                        <w:kern w:val="0"/>
                        <w:szCs w:val="20"/>
                        <w14:ligatures w14:val="none"/>
                      </w:rPr>
                      <m:t>ξ</m:t>
                    </m:r>
                    <m:ctrlPr>
                      <w:rPr>
                        <w:rFonts w:ascii="Cambria Math" w:eastAsia="Times New Roman" w:hAnsi="Cambria Math" w:cs="Times New Roman"/>
                        <w:color w:val="000000" w:themeColor="text1"/>
                        <w:kern w:val="0"/>
                        <w:szCs w:val="20"/>
                        <w14:ligatures w14:val="none"/>
                      </w:rPr>
                    </m:ctrlPr>
                  </m:e>
                  <m:sub>
                    <m:r>
                      <w:rPr>
                        <w:rFonts w:ascii="Cambria Math" w:eastAsia="Times New Roman" w:hAnsi="Cambria Math" w:cs="Times New Roman"/>
                        <w:color w:val="000000" w:themeColor="text1"/>
                        <w:kern w:val="0"/>
                        <w:szCs w:val="20"/>
                        <w14:ligatures w14:val="none"/>
                      </w:rPr>
                      <m:t>d</m:t>
                    </m:r>
                  </m:sub>
                </m:sSub>
              </m:oMath>
            </m:oMathPara>
          </w:p>
        </w:tc>
        <w:tc>
          <w:tcPr>
            <w:tcW w:w="6776" w:type="dxa"/>
          </w:tcPr>
          <w:p w14:paraId="2CA355AC" w14:textId="7EE9D10B" w:rsidR="00C052D4" w:rsidRDefault="00C052D4" w:rsidP="00C052D4">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Duration of protection of 4CMenB</w:t>
            </w:r>
          </w:p>
        </w:tc>
      </w:tr>
    </w:tbl>
    <w:p w14:paraId="0DD33D29" w14:textId="77777777" w:rsidR="004F3D14" w:rsidRDefault="004F3D14" w:rsidP="00276DCE">
      <w:pPr>
        <w:spacing w:before="100" w:beforeAutospacing="1" w:after="100" w:afterAutospacing="1" w:line="276" w:lineRule="auto"/>
        <w:jc w:val="both"/>
        <w:rPr>
          <w:rFonts w:ascii="Times New Roman" w:eastAsia="Times New Roman" w:hAnsi="Times New Roman" w:cs="Times New Roman"/>
          <w:color w:val="000000" w:themeColor="text1"/>
          <w:kern w:val="0"/>
          <w:sz w:val="20"/>
          <w:szCs w:val="20"/>
          <w14:ligatures w14:val="none"/>
        </w:rPr>
      </w:pPr>
    </w:p>
    <w:tbl>
      <w:tblPr>
        <w:tblStyle w:val="TableGrid"/>
        <w:tblW w:w="0" w:type="auto"/>
        <w:tblLook w:val="04A0" w:firstRow="1" w:lastRow="0" w:firstColumn="1" w:lastColumn="0" w:noHBand="0" w:noVBand="1"/>
      </w:tblPr>
      <w:tblGrid>
        <w:gridCol w:w="2250"/>
        <w:gridCol w:w="6776"/>
      </w:tblGrid>
      <w:tr w:rsidR="004F3D14" w14:paraId="6E1B23A8" w14:textId="77777777" w:rsidTr="00BB3EC6">
        <w:tc>
          <w:tcPr>
            <w:tcW w:w="2250" w:type="dxa"/>
          </w:tcPr>
          <w:p w14:paraId="29B9B013" w14:textId="02E10F6F" w:rsidR="004F3D14" w:rsidRDefault="004F3D14" w:rsidP="00BB3EC6">
            <w:pPr>
              <w:spacing w:before="100" w:beforeAutospacing="1" w:after="100" w:afterAutospacing="1" w:line="276" w:lineRule="auto"/>
              <w:rPr>
                <w:rFonts w:eastAsia="Times New Roman" w:cs="Times New Roman"/>
                <w:color w:val="000000" w:themeColor="text1"/>
                <w:kern w:val="0"/>
                <w:szCs w:val="20"/>
                <w14:ligatures w14:val="none"/>
              </w:rPr>
            </w:pPr>
          </w:p>
        </w:tc>
        <w:tc>
          <w:tcPr>
            <w:tcW w:w="6776" w:type="dxa"/>
          </w:tcPr>
          <w:p w14:paraId="53A4A357" w14:textId="77777777" w:rsidR="004F3D14" w:rsidRDefault="004F3D14" w:rsidP="00422602">
            <w:pPr>
              <w:spacing w:before="100" w:beforeAutospacing="1" w:after="100" w:afterAutospacing="1" w:line="276" w:lineRule="auto"/>
              <w:jc w:val="left"/>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Definition</w:t>
            </w:r>
          </w:p>
        </w:tc>
      </w:tr>
      <w:tr w:rsidR="004F3D14" w14:paraId="630138A3" w14:textId="77777777" w:rsidTr="00BB3EC6">
        <w:tc>
          <w:tcPr>
            <w:tcW w:w="2250" w:type="dxa"/>
          </w:tcPr>
          <w:p w14:paraId="2233E92E" w14:textId="5200E0FC" w:rsidR="004F3D14" w:rsidRDefault="004F3D14" w:rsidP="00BB3EC6">
            <w:pPr>
              <w:spacing w:before="100" w:beforeAutospacing="1" w:after="100" w:afterAutospacing="1" w:line="276" w:lineRule="auto"/>
              <w:rPr>
                <w:rFonts w:eastAsia="Times New Roman" w:cs="Times New Roman"/>
                <w:color w:val="000000" w:themeColor="text1"/>
                <w:kern w:val="0"/>
                <w:szCs w:val="20"/>
                <w14:ligatures w14:val="none"/>
              </w:rPr>
            </w:pPr>
            <m:oMathPara>
              <m:oMath>
                <m:r>
                  <w:rPr>
                    <w:rFonts w:ascii="Cambria Math" w:eastAsia="Times New Roman" w:hAnsi="Cambria Math" w:cs="Times New Roman"/>
                    <w:color w:val="000000" w:themeColor="text1"/>
                    <w:kern w:val="0"/>
                    <w:szCs w:val="20"/>
                    <w14:ligatures w14:val="none"/>
                  </w:rPr>
                  <m:t>N</m:t>
                </m:r>
                <m:d>
                  <m:dPr>
                    <m:ctrlPr>
                      <w:rPr>
                        <w:rFonts w:ascii="Cambria Math" w:eastAsia="Times New Roman" w:hAnsi="Cambria Math" w:cs="Times New Roman"/>
                        <w:i/>
                        <w:color w:val="000000" w:themeColor="text1"/>
                        <w:kern w:val="0"/>
                        <w:szCs w:val="20"/>
                        <w14:ligatures w14:val="none"/>
                      </w:rPr>
                    </m:ctrlPr>
                  </m:dPr>
                  <m:e>
                    <m:sSub>
                      <m:sSubPr>
                        <m:ctrlPr>
                          <w:rPr>
                            <w:rFonts w:ascii="Cambria Math" w:eastAsia="Times New Roman" w:hAnsi="Cambria Math" w:cs="Times New Roman"/>
                            <w:i/>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t</m:t>
                        </m:r>
                      </m:e>
                      <m:sub>
                        <m:r>
                          <w:rPr>
                            <w:rFonts w:ascii="Cambria Math" w:eastAsia="Times New Roman" w:hAnsi="Cambria Math" w:cs="Times New Roman"/>
                            <w:color w:val="000000" w:themeColor="text1"/>
                            <w:kern w:val="0"/>
                            <w:szCs w:val="20"/>
                            <w14:ligatures w14:val="none"/>
                          </w:rPr>
                          <m:t>0</m:t>
                        </m:r>
                      </m:sub>
                    </m:sSub>
                  </m:e>
                </m:d>
              </m:oMath>
            </m:oMathPara>
          </w:p>
        </w:tc>
        <w:tc>
          <w:tcPr>
            <w:tcW w:w="6776" w:type="dxa"/>
          </w:tcPr>
          <w:p w14:paraId="3C855B02" w14:textId="2115EC7E" w:rsidR="004F3D14" w:rsidRDefault="004F3D14" w:rsidP="00BB3EC6">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Initial population size of Singapore MSM</w:t>
            </w:r>
          </w:p>
        </w:tc>
      </w:tr>
      <w:tr w:rsidR="004F3D14" w14:paraId="30C867BF" w14:textId="77777777" w:rsidTr="00BB3EC6">
        <w:tc>
          <w:tcPr>
            <w:tcW w:w="2250" w:type="dxa"/>
          </w:tcPr>
          <w:p w14:paraId="40E6A80C" w14:textId="5F41FC04" w:rsidR="004F3D14" w:rsidRDefault="004F3D14" w:rsidP="00BB3EC6">
            <w:pPr>
              <w:spacing w:before="100" w:beforeAutospacing="1" w:after="100" w:afterAutospacing="1" w:line="276" w:lineRule="auto"/>
              <w:rPr>
                <w:rFonts w:ascii="Aptos" w:eastAsia="Times New Roman" w:hAnsi="Aptos" w:cs="Times New Roman"/>
                <w:color w:val="000000" w:themeColor="text1"/>
                <w:kern w:val="0"/>
                <w:szCs w:val="20"/>
                <w14:ligatures w14:val="none"/>
              </w:rPr>
            </w:pPr>
            <m:oMathPara>
              <m:oMath>
                <m:r>
                  <m:rPr>
                    <m:sty m:val="p"/>
                  </m:rPr>
                  <w:rPr>
                    <w:rFonts w:ascii="Cambria Math" w:eastAsia="Times New Roman" w:hAnsi="Cambria Math" w:cs="Times New Roman"/>
                    <w:color w:val="000000" w:themeColor="text1"/>
                    <w:kern w:val="0"/>
                    <w:szCs w:val="20"/>
                    <w14:ligatures w14:val="none"/>
                  </w:rPr>
                  <m:t>α</m:t>
                </m:r>
              </m:oMath>
            </m:oMathPara>
          </w:p>
        </w:tc>
        <w:tc>
          <w:tcPr>
            <w:tcW w:w="6776" w:type="dxa"/>
          </w:tcPr>
          <w:p w14:paraId="6BC99E3C" w14:textId="5BB717BF" w:rsidR="004F3D14" w:rsidRDefault="004F3D14" w:rsidP="00BB3EC6">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Annual population entrance (at age 15)</w:t>
            </w:r>
          </w:p>
        </w:tc>
      </w:tr>
      <w:tr w:rsidR="004F3D14" w14:paraId="576543A1" w14:textId="77777777" w:rsidTr="00BB3EC6">
        <w:tc>
          <w:tcPr>
            <w:tcW w:w="2250" w:type="dxa"/>
          </w:tcPr>
          <w:p w14:paraId="1340DF49" w14:textId="43004337" w:rsidR="004F3D14" w:rsidRDefault="004F3D14" w:rsidP="00BB3EC6">
            <w:pPr>
              <w:spacing w:before="100" w:beforeAutospacing="1" w:after="100" w:afterAutospacing="1" w:line="276" w:lineRule="auto"/>
              <w:rPr>
                <w:rFonts w:ascii="Aptos" w:eastAsia="Times New Roman" w:hAnsi="Aptos" w:cs="Times New Roman"/>
                <w:color w:val="000000" w:themeColor="text1"/>
                <w:kern w:val="0"/>
                <w:szCs w:val="20"/>
                <w14:ligatures w14:val="none"/>
              </w:rPr>
            </w:pPr>
            <m:oMathPara>
              <m:oMath>
                <m:r>
                  <m:rPr>
                    <m:sty m:val="p"/>
                  </m:rPr>
                  <w:rPr>
                    <w:rFonts w:ascii="Cambria Math" w:eastAsia="Times New Roman" w:hAnsi="Cambria Math" w:cs="Times New Roman"/>
                    <w:color w:val="000000" w:themeColor="text1"/>
                    <w:kern w:val="0"/>
                    <w:szCs w:val="20"/>
                    <w14:ligatures w14:val="none"/>
                  </w:rPr>
                  <m:t>γ</m:t>
                </m:r>
              </m:oMath>
            </m:oMathPara>
          </w:p>
        </w:tc>
        <w:tc>
          <w:tcPr>
            <w:tcW w:w="6776" w:type="dxa"/>
          </w:tcPr>
          <w:p w14:paraId="3AC29F47" w14:textId="75ED579E" w:rsidR="004F3D14" w:rsidRDefault="004F3D14" w:rsidP="00BB3EC6">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Years spent in the sexually-active population</w:t>
            </w:r>
          </w:p>
        </w:tc>
      </w:tr>
      <w:tr w:rsidR="004F3D14" w14:paraId="4F312C62" w14:textId="77777777" w:rsidTr="00BB3EC6">
        <w:tc>
          <w:tcPr>
            <w:tcW w:w="2250" w:type="dxa"/>
          </w:tcPr>
          <w:p w14:paraId="1A6A6A1A" w14:textId="79E63BC3" w:rsidR="004F3D14" w:rsidRPr="004F3D14" w:rsidRDefault="004F3D14" w:rsidP="00BB3EC6">
            <w:pPr>
              <w:spacing w:before="100" w:beforeAutospacing="1" w:after="100" w:afterAutospacing="1" w:line="276" w:lineRule="auto"/>
              <w:rPr>
                <w:rFonts w:ascii="Aptos" w:eastAsia="Times New Roman" w:hAnsi="Aptos" w:cs="Times New Roman"/>
                <w:color w:val="000000" w:themeColor="text1"/>
                <w:kern w:val="0"/>
                <w:szCs w:val="20"/>
                <w14:ligatures w14:val="none"/>
              </w:rPr>
            </w:pPr>
            <m:oMathPara>
              <m:oMath>
                <m:sSub>
                  <m:sSubPr>
                    <m:ctrlPr>
                      <w:rPr>
                        <w:rFonts w:ascii="Cambria Math" w:eastAsia="Times New Roman" w:hAnsi="Cambria Math" w:cs="Times New Roman"/>
                        <w:i/>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q</m:t>
                    </m:r>
                  </m:e>
                  <m:sub>
                    <m:r>
                      <w:rPr>
                        <w:rFonts w:ascii="Cambria Math" w:eastAsia="Times New Roman" w:hAnsi="Cambria Math" w:cs="Times New Roman"/>
                        <w:color w:val="000000" w:themeColor="text1"/>
                        <w:kern w:val="0"/>
                        <w:szCs w:val="20"/>
                        <w14:ligatures w14:val="none"/>
                      </w:rPr>
                      <m:t>L</m:t>
                    </m:r>
                  </m:sub>
                </m:sSub>
              </m:oMath>
            </m:oMathPara>
          </w:p>
        </w:tc>
        <w:tc>
          <w:tcPr>
            <w:tcW w:w="6776" w:type="dxa"/>
          </w:tcPr>
          <w:p w14:paraId="7F7539A3" w14:textId="4973D2FD" w:rsidR="004F3D14" w:rsidRDefault="004F3D14" w:rsidP="00BB3EC6">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 xml:space="preserve">Proportion of the population in group </w:t>
            </w:r>
            <m:oMath>
              <m:r>
                <w:rPr>
                  <w:rFonts w:ascii="Cambria Math" w:eastAsia="Times New Roman" w:hAnsi="Cambria Math" w:cs="Times New Roman"/>
                  <w:color w:val="000000" w:themeColor="text1"/>
                  <w:kern w:val="0"/>
                  <w:szCs w:val="20"/>
                  <w14:ligatures w14:val="none"/>
                </w:rPr>
                <m:t>L</m:t>
              </m:r>
            </m:oMath>
          </w:p>
        </w:tc>
      </w:tr>
      <w:tr w:rsidR="004F3D14" w14:paraId="640C8E0D" w14:textId="77777777" w:rsidTr="00BB3EC6">
        <w:tc>
          <w:tcPr>
            <w:tcW w:w="2250" w:type="dxa"/>
          </w:tcPr>
          <w:p w14:paraId="13667A1D" w14:textId="013D18FF" w:rsidR="004F3D14" w:rsidRPr="004F3D14" w:rsidRDefault="004F3D14" w:rsidP="004F3D14">
            <w:pPr>
              <w:spacing w:before="100" w:beforeAutospacing="1" w:after="100" w:afterAutospacing="1" w:line="276" w:lineRule="auto"/>
              <w:rPr>
                <w:rFonts w:ascii="Aptos" w:eastAsia="Times New Roman" w:hAnsi="Aptos" w:cs="Times New Roman"/>
                <w:i/>
                <w:color w:val="000000" w:themeColor="text1"/>
                <w:kern w:val="0"/>
                <w:szCs w:val="20"/>
                <w14:ligatures w14:val="none"/>
              </w:rPr>
            </w:pPr>
            <m:oMathPara>
              <m:oMath>
                <m:sSub>
                  <m:sSubPr>
                    <m:ctrlPr>
                      <w:rPr>
                        <w:rFonts w:ascii="Cambria Math" w:eastAsia="Times New Roman" w:hAnsi="Cambria Math" w:cs="Times New Roman"/>
                        <w:i/>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q</m:t>
                    </m:r>
                  </m:e>
                  <m:sub>
                    <m:r>
                      <w:rPr>
                        <w:rFonts w:ascii="Cambria Math" w:eastAsia="Times New Roman" w:hAnsi="Cambria Math" w:cs="Times New Roman"/>
                        <w:color w:val="000000" w:themeColor="text1"/>
                        <w:kern w:val="0"/>
                        <w:szCs w:val="20"/>
                        <w14:ligatures w14:val="none"/>
                      </w:rPr>
                      <m:t>H</m:t>
                    </m:r>
                  </m:sub>
                </m:sSub>
              </m:oMath>
            </m:oMathPara>
          </w:p>
        </w:tc>
        <w:tc>
          <w:tcPr>
            <w:tcW w:w="6776" w:type="dxa"/>
          </w:tcPr>
          <w:p w14:paraId="5D676EA5" w14:textId="6E495AE4" w:rsidR="004F3D14" w:rsidRDefault="004F3D14" w:rsidP="004F3D14">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 xml:space="preserve">Proportion of the population in group </w:t>
            </w:r>
            <m:oMath>
              <m:r>
                <w:rPr>
                  <w:rFonts w:ascii="Cambria Math" w:eastAsia="Times New Roman" w:hAnsi="Cambria Math" w:cs="Times New Roman"/>
                  <w:color w:val="000000" w:themeColor="text1"/>
                  <w:kern w:val="0"/>
                  <w:szCs w:val="20"/>
                  <w14:ligatures w14:val="none"/>
                </w:rPr>
                <m:t>H</m:t>
              </m:r>
            </m:oMath>
          </w:p>
        </w:tc>
      </w:tr>
      <w:tr w:rsidR="004F3D14" w14:paraId="094663E1" w14:textId="77777777" w:rsidTr="00BB3EC6">
        <w:tc>
          <w:tcPr>
            <w:tcW w:w="2250" w:type="dxa"/>
          </w:tcPr>
          <w:p w14:paraId="6DB40329" w14:textId="51A05662" w:rsidR="004F3D14" w:rsidRPr="004F3D14" w:rsidRDefault="004F3D14" w:rsidP="004F3D14">
            <w:pPr>
              <w:spacing w:before="100" w:beforeAutospacing="1" w:after="100" w:afterAutospacing="1" w:line="276" w:lineRule="auto"/>
              <w:rPr>
                <w:rFonts w:ascii="Aptos" w:eastAsia="Times New Roman" w:hAnsi="Aptos" w:cs="Times New Roman"/>
                <w:color w:val="000000" w:themeColor="text1"/>
                <w:kern w:val="0"/>
                <w:szCs w:val="20"/>
                <w14:ligatures w14:val="none"/>
              </w:rPr>
            </w:pPr>
            <m:oMathPara>
              <m:oMath>
                <m:sSub>
                  <m:sSubPr>
                    <m:ctrlPr>
                      <w:rPr>
                        <w:rFonts w:ascii="Cambria Math" w:eastAsia="Times New Roman" w:hAnsi="Cambria Math" w:cs="Times New Roman"/>
                        <w:i/>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c</m:t>
                    </m:r>
                  </m:e>
                  <m:sub>
                    <m:r>
                      <w:rPr>
                        <w:rFonts w:ascii="Cambria Math" w:eastAsia="Times New Roman" w:hAnsi="Cambria Math" w:cs="Times New Roman"/>
                        <w:color w:val="000000" w:themeColor="text1"/>
                        <w:kern w:val="0"/>
                        <w:szCs w:val="20"/>
                        <w14:ligatures w14:val="none"/>
                      </w:rPr>
                      <m:t>L</m:t>
                    </m:r>
                  </m:sub>
                </m:sSub>
              </m:oMath>
            </m:oMathPara>
          </w:p>
        </w:tc>
        <w:tc>
          <w:tcPr>
            <w:tcW w:w="6776" w:type="dxa"/>
          </w:tcPr>
          <w:p w14:paraId="2DEA1C24" w14:textId="41BC5ED1" w:rsidR="004F3D14" w:rsidRDefault="004F3D14" w:rsidP="004F3D14">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 xml:space="preserve">Annual rate of partner change in group </w:t>
            </w:r>
            <m:oMath>
              <m:r>
                <w:rPr>
                  <w:rFonts w:ascii="Cambria Math" w:eastAsia="Times New Roman" w:hAnsi="Cambria Math" w:cs="Times New Roman"/>
                  <w:color w:val="000000" w:themeColor="text1"/>
                  <w:kern w:val="0"/>
                  <w:szCs w:val="20"/>
                  <w14:ligatures w14:val="none"/>
                </w:rPr>
                <m:t>L</m:t>
              </m:r>
            </m:oMath>
          </w:p>
        </w:tc>
      </w:tr>
      <w:tr w:rsidR="004F3D14" w14:paraId="14F16377" w14:textId="77777777" w:rsidTr="00BB3EC6">
        <w:tc>
          <w:tcPr>
            <w:tcW w:w="2250" w:type="dxa"/>
          </w:tcPr>
          <w:p w14:paraId="4711EC32" w14:textId="0EE50337" w:rsidR="004F3D14" w:rsidRPr="004F3D14" w:rsidRDefault="004F3D14" w:rsidP="004F3D14">
            <w:pPr>
              <w:spacing w:before="100" w:beforeAutospacing="1" w:after="100" w:afterAutospacing="1" w:line="276" w:lineRule="auto"/>
              <w:rPr>
                <w:rFonts w:ascii="Aptos" w:eastAsia="Times New Roman" w:hAnsi="Aptos" w:cs="Times New Roman"/>
                <w:color w:val="000000" w:themeColor="text1"/>
                <w:kern w:val="0"/>
                <w:szCs w:val="20"/>
                <w14:ligatures w14:val="none"/>
              </w:rPr>
            </w:pPr>
            <m:oMathPara>
              <m:oMath>
                <m:sSub>
                  <m:sSubPr>
                    <m:ctrlPr>
                      <w:rPr>
                        <w:rFonts w:ascii="Cambria Math" w:eastAsia="Times New Roman" w:hAnsi="Cambria Math" w:cs="Times New Roman"/>
                        <w:i/>
                        <w:color w:val="000000" w:themeColor="text1"/>
                        <w:kern w:val="0"/>
                        <w:szCs w:val="20"/>
                        <w14:ligatures w14:val="none"/>
                      </w:rPr>
                    </m:ctrlPr>
                  </m:sSubPr>
                  <m:e>
                    <m:r>
                      <m:rPr>
                        <m:sty m:val="p"/>
                      </m:rPr>
                      <w:rPr>
                        <w:rFonts w:ascii="Cambria Math" w:eastAsia="Times New Roman" w:hAnsi="Cambria Math" w:cs="Times New Roman"/>
                        <w:color w:val="000000" w:themeColor="text1"/>
                        <w:kern w:val="0"/>
                        <w:szCs w:val="20"/>
                        <w14:ligatures w14:val="none"/>
                      </w:rPr>
                      <m:t>c</m:t>
                    </m:r>
                    <m:ctrlPr>
                      <w:rPr>
                        <w:rFonts w:ascii="Cambria Math" w:eastAsia="Times New Roman" w:hAnsi="Cambria Math" w:cs="Times New Roman"/>
                        <w:color w:val="000000" w:themeColor="text1"/>
                        <w:kern w:val="0"/>
                        <w:szCs w:val="20"/>
                        <w14:ligatures w14:val="none"/>
                      </w:rPr>
                    </m:ctrlPr>
                  </m:e>
                  <m:sub>
                    <m:r>
                      <m:rPr>
                        <m:sty m:val="p"/>
                      </m:rPr>
                      <w:rPr>
                        <w:rFonts w:ascii="Cambria Math" w:eastAsia="Times New Roman" w:hAnsi="Cambria Math" w:cs="Times New Roman"/>
                        <w:color w:val="000000" w:themeColor="text1"/>
                        <w:kern w:val="0"/>
                        <w:szCs w:val="20"/>
                        <w14:ligatures w14:val="none"/>
                      </w:rPr>
                      <m:t>H</m:t>
                    </m:r>
                  </m:sub>
                </m:sSub>
              </m:oMath>
            </m:oMathPara>
          </w:p>
        </w:tc>
        <w:tc>
          <w:tcPr>
            <w:tcW w:w="6776" w:type="dxa"/>
          </w:tcPr>
          <w:p w14:paraId="159F223E" w14:textId="01B09DE4" w:rsidR="004F3D14" w:rsidRDefault="004F3D14" w:rsidP="004F3D14">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 xml:space="preserve">Annual rate of partner change in group </w:t>
            </w:r>
            <m:oMath>
              <m:r>
                <w:rPr>
                  <w:rFonts w:ascii="Cambria Math" w:eastAsia="Times New Roman" w:hAnsi="Cambria Math" w:cs="Times New Roman"/>
                  <w:color w:val="000000" w:themeColor="text1"/>
                  <w:kern w:val="0"/>
                  <w:szCs w:val="20"/>
                  <w14:ligatures w14:val="none"/>
                </w:rPr>
                <m:t>H</m:t>
              </m:r>
            </m:oMath>
          </w:p>
        </w:tc>
      </w:tr>
    </w:tbl>
    <w:p w14:paraId="1141F0A5" w14:textId="77777777" w:rsidR="004F3D14" w:rsidRDefault="004F3D14" w:rsidP="00276DCE">
      <w:pPr>
        <w:spacing w:before="100" w:beforeAutospacing="1" w:after="100" w:afterAutospacing="1" w:line="276" w:lineRule="auto"/>
        <w:jc w:val="both"/>
        <w:rPr>
          <w:rFonts w:ascii="Times New Roman" w:eastAsia="Times New Roman" w:hAnsi="Times New Roman" w:cs="Times New Roman"/>
          <w:color w:val="000000" w:themeColor="text1"/>
          <w:kern w:val="0"/>
          <w:sz w:val="20"/>
          <w:szCs w:val="20"/>
          <w14:ligatures w14:val="none"/>
        </w:rPr>
      </w:pPr>
    </w:p>
    <w:p w14:paraId="4BA44DF8" w14:textId="77777777" w:rsidR="004F3D14" w:rsidRDefault="004F3D14" w:rsidP="00276DCE">
      <w:pPr>
        <w:spacing w:before="100" w:beforeAutospacing="1" w:after="100" w:afterAutospacing="1" w:line="276" w:lineRule="auto"/>
        <w:jc w:val="both"/>
        <w:rPr>
          <w:rFonts w:ascii="Times New Roman" w:eastAsia="Times New Roman" w:hAnsi="Times New Roman" w:cs="Times New Roman"/>
          <w:color w:val="000000" w:themeColor="text1"/>
          <w:kern w:val="0"/>
          <w:sz w:val="20"/>
          <w:szCs w:val="20"/>
          <w14:ligatures w14:val="none"/>
        </w:rPr>
      </w:pPr>
    </w:p>
    <w:p w14:paraId="2BFC0B48" w14:textId="77777777" w:rsidR="004F3D14" w:rsidRDefault="004F3D14" w:rsidP="00276DCE">
      <w:pPr>
        <w:spacing w:before="100" w:beforeAutospacing="1" w:after="100" w:afterAutospacing="1" w:line="276" w:lineRule="auto"/>
        <w:jc w:val="both"/>
        <w:rPr>
          <w:rFonts w:ascii="Times New Roman" w:eastAsia="Times New Roman" w:hAnsi="Times New Roman" w:cs="Times New Roman"/>
          <w:color w:val="000000" w:themeColor="text1"/>
          <w:kern w:val="0"/>
          <w:sz w:val="20"/>
          <w:szCs w:val="20"/>
          <w14:ligatures w14:val="none"/>
        </w:rPr>
        <w:sectPr w:rsidR="004F3D14">
          <w:pgSz w:w="11906" w:h="16838"/>
          <w:pgMar w:top="1440" w:right="1440" w:bottom="1440" w:left="1440" w:header="708" w:footer="708" w:gutter="0"/>
          <w:cols w:space="708"/>
          <w:docGrid w:linePitch="360"/>
        </w:sectPr>
      </w:pPr>
    </w:p>
    <w:p w14:paraId="7848A7C5" w14:textId="14F27004" w:rsidR="00E168B3" w:rsidRPr="00276DCE" w:rsidRDefault="000011E7" w:rsidP="00276DCE">
      <w:pPr>
        <w:spacing w:before="100" w:beforeAutospacing="1" w:after="100" w:afterAutospacing="1" w:line="276" w:lineRule="auto"/>
        <w:jc w:val="both"/>
        <w:rPr>
          <w:rFonts w:ascii="Times New Roman" w:eastAsia="Times New Roman" w:hAnsi="Times New Roman" w:cs="Times New Roman"/>
          <w:color w:val="000000" w:themeColor="text1"/>
          <w:kern w:val="0"/>
          <w:sz w:val="20"/>
          <w:szCs w:val="20"/>
          <w14:ligatures w14:val="none"/>
        </w:rPr>
      </w:pPr>
      <w:r w:rsidRPr="00276DCE">
        <w:rPr>
          <w:rFonts w:ascii="Times New Roman" w:eastAsia="Times New Roman" w:hAnsi="Times New Roman" w:cs="Times New Roman"/>
          <w:color w:val="000000" w:themeColor="text1"/>
          <w:kern w:val="0"/>
          <w:sz w:val="20"/>
          <w:szCs w:val="20"/>
          <w14:ligatures w14:val="none"/>
        </w:rPr>
        <w:lastRenderedPageBreak/>
        <w:t>Reference:</w:t>
      </w:r>
    </w:p>
    <w:p w14:paraId="0133AA22" w14:textId="77777777" w:rsidR="00276DCE" w:rsidRPr="00276DCE" w:rsidRDefault="00802477" w:rsidP="00276DCE">
      <w:pPr>
        <w:pStyle w:val="Bibliography"/>
        <w:spacing w:line="276" w:lineRule="auto"/>
        <w:jc w:val="both"/>
        <w:rPr>
          <w:rFonts w:ascii="Times New Roman" w:hAnsi="Times New Roman" w:cs="Times New Roman"/>
          <w:color w:val="000000"/>
          <w:sz w:val="20"/>
          <w:szCs w:val="20"/>
          <w:lang w:val="en-US"/>
        </w:rPr>
      </w:pPr>
      <w:r w:rsidRPr="00276DCE">
        <w:rPr>
          <w:rFonts w:ascii="Times New Roman" w:eastAsia="Times New Roman" w:hAnsi="Times New Roman" w:cs="Times New Roman"/>
          <w:color w:val="000000" w:themeColor="text1"/>
          <w:sz w:val="20"/>
          <w:szCs w:val="20"/>
          <w14:ligatures w14:val="none"/>
        </w:rPr>
        <w:fldChar w:fldCharType="begin"/>
      </w:r>
      <w:r w:rsidR="00276DCE" w:rsidRPr="00276DCE">
        <w:rPr>
          <w:rFonts w:ascii="Times New Roman" w:eastAsia="Times New Roman" w:hAnsi="Times New Roman" w:cs="Times New Roman"/>
          <w:color w:val="000000" w:themeColor="text1"/>
          <w:sz w:val="20"/>
          <w:szCs w:val="20"/>
          <w14:ligatures w14:val="none"/>
        </w:rPr>
        <w:instrText xml:space="preserve"> ADDIN ZOTERO_BIBL {"uncited":[],"omitted":[],"custom":[]} CSL_BIBLIOGRAPHY </w:instrText>
      </w:r>
      <w:r w:rsidRPr="00276DCE">
        <w:rPr>
          <w:rFonts w:ascii="Times New Roman" w:eastAsia="Times New Roman" w:hAnsi="Times New Roman" w:cs="Times New Roman"/>
          <w:color w:val="000000" w:themeColor="text1"/>
          <w:sz w:val="20"/>
          <w:szCs w:val="20"/>
          <w14:ligatures w14:val="none"/>
        </w:rPr>
        <w:fldChar w:fldCharType="separate"/>
      </w:r>
      <w:r w:rsidR="00276DCE" w:rsidRPr="00276DCE">
        <w:rPr>
          <w:rFonts w:ascii="Times New Roman" w:hAnsi="Times New Roman" w:cs="Times New Roman"/>
          <w:color w:val="000000"/>
          <w:sz w:val="20"/>
          <w:szCs w:val="20"/>
          <w:lang w:val="en-US"/>
        </w:rPr>
        <w:t>[1]</w:t>
      </w:r>
      <w:r w:rsidR="00276DCE" w:rsidRPr="00276DCE">
        <w:rPr>
          <w:rFonts w:ascii="Times New Roman" w:hAnsi="Times New Roman" w:cs="Times New Roman"/>
          <w:color w:val="000000"/>
          <w:sz w:val="20"/>
          <w:szCs w:val="20"/>
          <w:lang w:val="en-US"/>
        </w:rPr>
        <w:tab/>
        <w:t>J. Saunders, J. Deering, C. Dewsnap, R. Drayton, and J. Gilmore, “UK National Guideline for the Use of Doxycycline Post-Exposure Prophylaxis (DoxyPEP) for the Prevention of Syphilis”.</w:t>
      </w:r>
    </w:p>
    <w:p w14:paraId="36127AA6" w14:textId="77777777" w:rsidR="00276DCE" w:rsidRPr="00276DCE" w:rsidRDefault="00276DCE" w:rsidP="00276DCE">
      <w:pPr>
        <w:pStyle w:val="Bibliography"/>
        <w:spacing w:line="276" w:lineRule="auto"/>
        <w:jc w:val="both"/>
        <w:rPr>
          <w:rFonts w:ascii="Times New Roman" w:hAnsi="Times New Roman" w:cs="Times New Roman"/>
          <w:color w:val="000000"/>
          <w:sz w:val="20"/>
          <w:szCs w:val="20"/>
          <w:lang w:val="en-US"/>
        </w:rPr>
      </w:pPr>
      <w:r w:rsidRPr="00276DCE">
        <w:rPr>
          <w:rFonts w:ascii="Times New Roman" w:hAnsi="Times New Roman" w:cs="Times New Roman"/>
          <w:color w:val="000000"/>
          <w:sz w:val="20"/>
          <w:szCs w:val="20"/>
          <w:lang w:val="en-US"/>
        </w:rPr>
        <w:t>[2]</w:t>
      </w:r>
      <w:r w:rsidRPr="00276DCE">
        <w:rPr>
          <w:rFonts w:ascii="Times New Roman" w:hAnsi="Times New Roman" w:cs="Times New Roman"/>
          <w:color w:val="000000"/>
          <w:sz w:val="20"/>
          <w:szCs w:val="20"/>
          <w:lang w:val="en-US"/>
        </w:rPr>
        <w:tab/>
        <w:t xml:space="preserve">D. M. Whiley, J. A. Tickner, R. L. Kundu, T. R. Hogan, S. J. van Hal, and M. M. Lahra, “Selection of Neisseria gonorrhoeae ceftriaxone resistance using doxycycline post-exposure prophylaxis,” </w:t>
      </w:r>
      <w:r w:rsidRPr="00276DCE">
        <w:rPr>
          <w:rFonts w:ascii="Times New Roman" w:hAnsi="Times New Roman" w:cs="Times New Roman"/>
          <w:i/>
          <w:iCs/>
          <w:color w:val="000000"/>
          <w:sz w:val="20"/>
          <w:szCs w:val="20"/>
          <w:lang w:val="en-US"/>
        </w:rPr>
        <w:t>Lancet Infect. Dis.</w:t>
      </w:r>
      <w:r w:rsidRPr="00276DCE">
        <w:rPr>
          <w:rFonts w:ascii="Times New Roman" w:hAnsi="Times New Roman" w:cs="Times New Roman"/>
          <w:color w:val="000000"/>
          <w:sz w:val="20"/>
          <w:szCs w:val="20"/>
          <w:lang w:val="en-US"/>
        </w:rPr>
        <w:t>, vol. 23, no. 8, pp. e268–e269, Aug. 2023, doi: 10.1016/S1473-3099(23)00359-6.</w:t>
      </w:r>
    </w:p>
    <w:p w14:paraId="7DF7F0CB" w14:textId="77777777" w:rsidR="00276DCE" w:rsidRPr="00276DCE" w:rsidRDefault="00276DCE" w:rsidP="00276DCE">
      <w:pPr>
        <w:pStyle w:val="Bibliography"/>
        <w:spacing w:line="276" w:lineRule="auto"/>
        <w:jc w:val="both"/>
        <w:rPr>
          <w:rFonts w:ascii="Times New Roman" w:hAnsi="Times New Roman" w:cs="Times New Roman"/>
          <w:color w:val="000000"/>
          <w:sz w:val="20"/>
          <w:szCs w:val="20"/>
          <w:lang w:val="en-US"/>
        </w:rPr>
      </w:pPr>
      <w:r w:rsidRPr="00276DCE">
        <w:rPr>
          <w:rFonts w:ascii="Times New Roman" w:hAnsi="Times New Roman" w:cs="Times New Roman"/>
          <w:color w:val="000000"/>
          <w:sz w:val="20"/>
          <w:szCs w:val="20"/>
          <w:lang w:val="en-US"/>
        </w:rPr>
        <w:t>[3]</w:t>
      </w:r>
      <w:r w:rsidRPr="00276DCE">
        <w:rPr>
          <w:rFonts w:ascii="Times New Roman" w:hAnsi="Times New Roman" w:cs="Times New Roman"/>
          <w:color w:val="000000"/>
          <w:sz w:val="20"/>
          <w:szCs w:val="20"/>
          <w:lang w:val="en-US"/>
        </w:rPr>
        <w:tab/>
        <w:t xml:space="preserve">M. E. DeWitt </w:t>
      </w:r>
      <w:r w:rsidRPr="00276DCE">
        <w:rPr>
          <w:rFonts w:ascii="Times New Roman" w:hAnsi="Times New Roman" w:cs="Times New Roman"/>
          <w:i/>
          <w:iCs/>
          <w:color w:val="000000"/>
          <w:sz w:val="20"/>
          <w:szCs w:val="20"/>
          <w:lang w:val="en-US"/>
        </w:rPr>
        <w:t>et al.</w:t>
      </w:r>
      <w:r w:rsidRPr="00276DCE">
        <w:rPr>
          <w:rFonts w:ascii="Times New Roman" w:hAnsi="Times New Roman" w:cs="Times New Roman"/>
          <w:color w:val="000000"/>
          <w:sz w:val="20"/>
          <w:szCs w:val="20"/>
          <w:lang w:val="en-US"/>
        </w:rPr>
        <w:t xml:space="preserve">, “Promise and peril: doxycycline prophylaxis and the spread of resistance among diverse populations,” </w:t>
      </w:r>
      <w:r w:rsidRPr="00276DCE">
        <w:rPr>
          <w:rFonts w:ascii="Times New Roman" w:hAnsi="Times New Roman" w:cs="Times New Roman"/>
          <w:i/>
          <w:iCs/>
          <w:color w:val="000000"/>
          <w:sz w:val="20"/>
          <w:szCs w:val="20"/>
          <w:lang w:val="en-US"/>
        </w:rPr>
        <w:t>Lancet Microbe</w:t>
      </w:r>
      <w:r w:rsidRPr="00276DCE">
        <w:rPr>
          <w:rFonts w:ascii="Times New Roman" w:hAnsi="Times New Roman" w:cs="Times New Roman"/>
          <w:color w:val="000000"/>
          <w:sz w:val="20"/>
          <w:szCs w:val="20"/>
          <w:lang w:val="en-US"/>
        </w:rPr>
        <w:t>, vol. 0, no. 0, Aug. 2025, doi: 10.1016/j.lanmic.2025.101222.</w:t>
      </w:r>
    </w:p>
    <w:p w14:paraId="2BDD93C8" w14:textId="77777777" w:rsidR="00276DCE" w:rsidRPr="00276DCE" w:rsidRDefault="00276DCE" w:rsidP="00276DCE">
      <w:pPr>
        <w:pStyle w:val="Bibliography"/>
        <w:spacing w:line="276" w:lineRule="auto"/>
        <w:jc w:val="both"/>
        <w:rPr>
          <w:rFonts w:ascii="Times New Roman" w:hAnsi="Times New Roman" w:cs="Times New Roman"/>
          <w:color w:val="000000"/>
          <w:sz w:val="20"/>
          <w:szCs w:val="20"/>
          <w:lang w:val="en-US"/>
        </w:rPr>
      </w:pPr>
      <w:r w:rsidRPr="00276DCE">
        <w:rPr>
          <w:rFonts w:ascii="Times New Roman" w:hAnsi="Times New Roman" w:cs="Times New Roman"/>
          <w:color w:val="000000"/>
          <w:sz w:val="20"/>
          <w:szCs w:val="20"/>
          <w:lang w:val="en-US"/>
        </w:rPr>
        <w:t>[4]</w:t>
      </w:r>
      <w:r w:rsidRPr="00276DCE">
        <w:rPr>
          <w:rFonts w:ascii="Times New Roman" w:hAnsi="Times New Roman" w:cs="Times New Roman"/>
          <w:color w:val="000000"/>
          <w:sz w:val="20"/>
          <w:szCs w:val="20"/>
          <w:lang w:val="en-US"/>
        </w:rPr>
        <w:tab/>
        <w:t xml:space="preserve">H. Fifer, J. Saunders, S. Soni, S. T. Sadiq, and M. FitzGerald, “2018 UK national guideline for the management of infection with Neisseria gonorrhoeae,” </w:t>
      </w:r>
      <w:r w:rsidRPr="00276DCE">
        <w:rPr>
          <w:rFonts w:ascii="Times New Roman" w:hAnsi="Times New Roman" w:cs="Times New Roman"/>
          <w:i/>
          <w:iCs/>
          <w:color w:val="000000"/>
          <w:sz w:val="20"/>
          <w:szCs w:val="20"/>
          <w:lang w:val="en-US"/>
        </w:rPr>
        <w:t>Int. J. STD AIDS</w:t>
      </w:r>
      <w:r w:rsidRPr="00276DCE">
        <w:rPr>
          <w:rFonts w:ascii="Times New Roman" w:hAnsi="Times New Roman" w:cs="Times New Roman"/>
          <w:color w:val="000000"/>
          <w:sz w:val="20"/>
          <w:szCs w:val="20"/>
          <w:lang w:val="en-US"/>
        </w:rPr>
        <w:t>, vol. 31, no. 1, pp. 4–15, Jan. 2020, doi: 10.1177/0956462419886775.</w:t>
      </w:r>
    </w:p>
    <w:p w14:paraId="6E7B390B" w14:textId="77777777" w:rsidR="00276DCE" w:rsidRPr="00276DCE" w:rsidRDefault="00276DCE" w:rsidP="00276DCE">
      <w:pPr>
        <w:pStyle w:val="Bibliography"/>
        <w:spacing w:line="276" w:lineRule="auto"/>
        <w:jc w:val="both"/>
        <w:rPr>
          <w:rFonts w:ascii="Times New Roman" w:hAnsi="Times New Roman" w:cs="Times New Roman"/>
          <w:color w:val="000000"/>
          <w:sz w:val="20"/>
          <w:szCs w:val="20"/>
          <w:lang w:val="en-US"/>
        </w:rPr>
      </w:pPr>
      <w:r w:rsidRPr="00276DCE">
        <w:rPr>
          <w:rFonts w:ascii="Times New Roman" w:hAnsi="Times New Roman" w:cs="Times New Roman"/>
          <w:color w:val="000000"/>
          <w:sz w:val="20"/>
          <w:szCs w:val="20"/>
          <w:lang w:val="en-US"/>
        </w:rPr>
        <w:t>[5]</w:t>
      </w:r>
      <w:r w:rsidRPr="00276DCE">
        <w:rPr>
          <w:rFonts w:ascii="Times New Roman" w:hAnsi="Times New Roman" w:cs="Times New Roman"/>
          <w:color w:val="000000"/>
          <w:sz w:val="20"/>
          <w:szCs w:val="20"/>
          <w:lang w:val="en-US"/>
        </w:rPr>
        <w:tab/>
        <w:t xml:space="preserve">C. Kenyon, “Doxycycline Postexposure Prophylaxis Could Accelerate the Emergence of Gonococcal Ceftriaxone Resistance,” </w:t>
      </w:r>
      <w:r w:rsidRPr="00276DCE">
        <w:rPr>
          <w:rFonts w:ascii="Times New Roman" w:hAnsi="Times New Roman" w:cs="Times New Roman"/>
          <w:i/>
          <w:iCs/>
          <w:color w:val="000000"/>
          <w:sz w:val="20"/>
          <w:szCs w:val="20"/>
          <w:lang w:val="en-US"/>
        </w:rPr>
        <w:t>JAMA Intern. Med.</w:t>
      </w:r>
      <w:r w:rsidRPr="00276DCE">
        <w:rPr>
          <w:rFonts w:ascii="Times New Roman" w:hAnsi="Times New Roman" w:cs="Times New Roman"/>
          <w:color w:val="000000"/>
          <w:sz w:val="20"/>
          <w:szCs w:val="20"/>
          <w:lang w:val="en-US"/>
        </w:rPr>
        <w:t>, vol. 185, no. 8, p. 1051, Aug. 2025, doi: 10.1001/jamainternmed.2025.0984.</w:t>
      </w:r>
    </w:p>
    <w:p w14:paraId="08484F97" w14:textId="77777777" w:rsidR="00276DCE" w:rsidRPr="00276DCE" w:rsidRDefault="00276DCE" w:rsidP="00276DCE">
      <w:pPr>
        <w:pStyle w:val="Bibliography"/>
        <w:spacing w:line="276" w:lineRule="auto"/>
        <w:jc w:val="both"/>
        <w:rPr>
          <w:rFonts w:ascii="Times New Roman" w:hAnsi="Times New Roman" w:cs="Times New Roman"/>
          <w:color w:val="000000"/>
          <w:sz w:val="20"/>
          <w:szCs w:val="20"/>
          <w:lang w:val="en-US"/>
        </w:rPr>
      </w:pPr>
      <w:r w:rsidRPr="00276DCE">
        <w:rPr>
          <w:rFonts w:ascii="Times New Roman" w:hAnsi="Times New Roman" w:cs="Times New Roman"/>
          <w:color w:val="000000"/>
          <w:sz w:val="20"/>
          <w:szCs w:val="20"/>
          <w:lang w:val="en-US"/>
        </w:rPr>
        <w:t>[6]</w:t>
      </w:r>
      <w:r w:rsidRPr="00276DCE">
        <w:rPr>
          <w:rFonts w:ascii="Times New Roman" w:hAnsi="Times New Roman" w:cs="Times New Roman"/>
          <w:color w:val="000000"/>
          <w:sz w:val="20"/>
          <w:szCs w:val="20"/>
          <w:lang w:val="en-US"/>
        </w:rPr>
        <w:tab/>
        <w:t xml:space="preserve">L. Geng </w:t>
      </w:r>
      <w:r w:rsidRPr="00276DCE">
        <w:rPr>
          <w:rFonts w:ascii="Times New Roman" w:hAnsi="Times New Roman" w:cs="Times New Roman"/>
          <w:i/>
          <w:iCs/>
          <w:color w:val="000000"/>
          <w:sz w:val="20"/>
          <w:szCs w:val="20"/>
          <w:lang w:val="en-US"/>
        </w:rPr>
        <w:t>et al.</w:t>
      </w:r>
      <w:r w:rsidRPr="00276DCE">
        <w:rPr>
          <w:rFonts w:ascii="Times New Roman" w:hAnsi="Times New Roman" w:cs="Times New Roman"/>
          <w:color w:val="000000"/>
          <w:sz w:val="20"/>
          <w:szCs w:val="20"/>
          <w:lang w:val="en-US"/>
        </w:rPr>
        <w:t xml:space="preserve">, “Potential public health impacts of gonorrhea vaccination programmes under declining incidences: A modeling study,” </w:t>
      </w:r>
      <w:r w:rsidRPr="00276DCE">
        <w:rPr>
          <w:rFonts w:ascii="Times New Roman" w:hAnsi="Times New Roman" w:cs="Times New Roman"/>
          <w:i/>
          <w:iCs/>
          <w:color w:val="000000"/>
          <w:sz w:val="20"/>
          <w:szCs w:val="20"/>
          <w:lang w:val="en-US"/>
        </w:rPr>
        <w:t>PLoS Med.</w:t>
      </w:r>
      <w:r w:rsidRPr="00276DCE">
        <w:rPr>
          <w:rFonts w:ascii="Times New Roman" w:hAnsi="Times New Roman" w:cs="Times New Roman"/>
          <w:color w:val="000000"/>
          <w:sz w:val="20"/>
          <w:szCs w:val="20"/>
          <w:lang w:val="en-US"/>
        </w:rPr>
        <w:t>, vol. 22, no. 2, p. e1004521, Feb. 2025, doi: 10.1371/journal.pmed.1004521.</w:t>
      </w:r>
    </w:p>
    <w:p w14:paraId="5921F93E" w14:textId="77777777" w:rsidR="00276DCE" w:rsidRPr="00276DCE" w:rsidRDefault="00276DCE" w:rsidP="00276DCE">
      <w:pPr>
        <w:pStyle w:val="Bibliography"/>
        <w:spacing w:line="276" w:lineRule="auto"/>
        <w:jc w:val="both"/>
        <w:rPr>
          <w:rFonts w:ascii="Times New Roman" w:hAnsi="Times New Roman" w:cs="Times New Roman"/>
          <w:color w:val="000000"/>
          <w:sz w:val="20"/>
          <w:szCs w:val="20"/>
          <w:lang w:val="en-US"/>
        </w:rPr>
      </w:pPr>
      <w:r w:rsidRPr="00276DCE">
        <w:rPr>
          <w:rFonts w:ascii="Times New Roman" w:hAnsi="Times New Roman" w:cs="Times New Roman"/>
          <w:color w:val="000000"/>
          <w:sz w:val="20"/>
          <w:szCs w:val="20"/>
          <w:lang w:val="en-US"/>
        </w:rPr>
        <w:t>[7]</w:t>
      </w:r>
      <w:r w:rsidRPr="00276DCE">
        <w:rPr>
          <w:rFonts w:ascii="Times New Roman" w:hAnsi="Times New Roman" w:cs="Times New Roman"/>
          <w:color w:val="000000"/>
          <w:sz w:val="20"/>
          <w:szCs w:val="20"/>
          <w:lang w:val="en-US"/>
        </w:rPr>
        <w:tab/>
        <w:t xml:space="preserve">L. K. Whittles, X. Didelot, and P. J. White, “Public health impact and cost-effectiveness of gonorrhoea vaccination: an integrated transmission-dynamic health-economic modelling analysis,” </w:t>
      </w:r>
      <w:r w:rsidRPr="00276DCE">
        <w:rPr>
          <w:rFonts w:ascii="Times New Roman" w:hAnsi="Times New Roman" w:cs="Times New Roman"/>
          <w:i/>
          <w:iCs/>
          <w:color w:val="000000"/>
          <w:sz w:val="20"/>
          <w:szCs w:val="20"/>
          <w:lang w:val="en-US"/>
        </w:rPr>
        <w:t>Lancet Infect. Dis.</w:t>
      </w:r>
      <w:r w:rsidRPr="00276DCE">
        <w:rPr>
          <w:rFonts w:ascii="Times New Roman" w:hAnsi="Times New Roman" w:cs="Times New Roman"/>
          <w:color w:val="000000"/>
          <w:sz w:val="20"/>
          <w:szCs w:val="20"/>
          <w:lang w:val="en-US"/>
        </w:rPr>
        <w:t>, vol. 22, no. 7, pp. 1030–1041, July 2022, doi: 10.1016/S1473-3099(21)00744-1.</w:t>
      </w:r>
    </w:p>
    <w:p w14:paraId="0763B1DE" w14:textId="77777777" w:rsidR="00276DCE" w:rsidRPr="00276DCE" w:rsidRDefault="00276DCE" w:rsidP="00276DCE">
      <w:pPr>
        <w:pStyle w:val="Bibliography"/>
        <w:spacing w:line="276" w:lineRule="auto"/>
        <w:jc w:val="both"/>
        <w:rPr>
          <w:rFonts w:ascii="Times New Roman" w:hAnsi="Times New Roman" w:cs="Times New Roman"/>
          <w:color w:val="000000"/>
          <w:sz w:val="20"/>
          <w:szCs w:val="20"/>
          <w:lang w:val="en-US"/>
        </w:rPr>
      </w:pPr>
      <w:r w:rsidRPr="00276DCE">
        <w:rPr>
          <w:rFonts w:ascii="Times New Roman" w:hAnsi="Times New Roman" w:cs="Times New Roman"/>
          <w:color w:val="000000"/>
          <w:sz w:val="20"/>
          <w:szCs w:val="20"/>
          <w:lang w:val="en-US"/>
        </w:rPr>
        <w:t>[8]</w:t>
      </w:r>
      <w:r w:rsidRPr="00276DCE">
        <w:rPr>
          <w:rFonts w:ascii="Times New Roman" w:hAnsi="Times New Roman" w:cs="Times New Roman"/>
          <w:color w:val="000000"/>
          <w:sz w:val="20"/>
          <w:szCs w:val="20"/>
          <w:lang w:val="en-US"/>
        </w:rPr>
        <w:tab/>
        <w:t xml:space="preserve">S. N. Ladhani </w:t>
      </w:r>
      <w:r w:rsidRPr="00276DCE">
        <w:rPr>
          <w:rFonts w:ascii="Times New Roman" w:hAnsi="Times New Roman" w:cs="Times New Roman"/>
          <w:i/>
          <w:iCs/>
          <w:color w:val="000000"/>
          <w:sz w:val="20"/>
          <w:szCs w:val="20"/>
          <w:lang w:val="en-US"/>
        </w:rPr>
        <w:t>et al.</w:t>
      </w:r>
      <w:r w:rsidRPr="00276DCE">
        <w:rPr>
          <w:rFonts w:ascii="Times New Roman" w:hAnsi="Times New Roman" w:cs="Times New Roman"/>
          <w:color w:val="000000"/>
          <w:sz w:val="20"/>
          <w:szCs w:val="20"/>
          <w:lang w:val="en-US"/>
        </w:rPr>
        <w:t xml:space="preserve">, “Use of a meningococcal group B vaccine (4CMenB) in populations at high risk of gonorrhoea in the UK,” </w:t>
      </w:r>
      <w:r w:rsidRPr="00276DCE">
        <w:rPr>
          <w:rFonts w:ascii="Times New Roman" w:hAnsi="Times New Roman" w:cs="Times New Roman"/>
          <w:i/>
          <w:iCs/>
          <w:color w:val="000000"/>
          <w:sz w:val="20"/>
          <w:szCs w:val="20"/>
          <w:lang w:val="en-US"/>
        </w:rPr>
        <w:t>Lancet Infect. Dis.</w:t>
      </w:r>
      <w:r w:rsidRPr="00276DCE">
        <w:rPr>
          <w:rFonts w:ascii="Times New Roman" w:hAnsi="Times New Roman" w:cs="Times New Roman"/>
          <w:color w:val="000000"/>
          <w:sz w:val="20"/>
          <w:szCs w:val="20"/>
          <w:lang w:val="en-US"/>
        </w:rPr>
        <w:t>, vol. 24, no. 9, pp. e576–e583, Sept. 2024, doi: 10.1016/S1473-3099(24)00031-8.</w:t>
      </w:r>
    </w:p>
    <w:p w14:paraId="16AB4C2C" w14:textId="77777777" w:rsidR="00276DCE" w:rsidRPr="00276DCE" w:rsidRDefault="00276DCE" w:rsidP="00276DCE">
      <w:pPr>
        <w:pStyle w:val="Bibliography"/>
        <w:spacing w:line="276" w:lineRule="auto"/>
        <w:jc w:val="both"/>
        <w:rPr>
          <w:rFonts w:ascii="Times New Roman" w:hAnsi="Times New Roman" w:cs="Times New Roman"/>
          <w:color w:val="000000"/>
          <w:sz w:val="20"/>
          <w:szCs w:val="20"/>
          <w:lang w:val="en-US"/>
        </w:rPr>
      </w:pPr>
      <w:r w:rsidRPr="00276DCE">
        <w:rPr>
          <w:rFonts w:ascii="Times New Roman" w:hAnsi="Times New Roman" w:cs="Times New Roman"/>
          <w:color w:val="000000"/>
          <w:sz w:val="20"/>
          <w:szCs w:val="20"/>
          <w:lang w:val="en-US"/>
        </w:rPr>
        <w:t>[9]</w:t>
      </w:r>
      <w:r w:rsidRPr="00276DCE">
        <w:rPr>
          <w:rFonts w:ascii="Times New Roman" w:hAnsi="Times New Roman" w:cs="Times New Roman"/>
          <w:color w:val="000000"/>
          <w:sz w:val="20"/>
          <w:szCs w:val="20"/>
          <w:lang w:val="en-US"/>
        </w:rPr>
        <w:tab/>
        <w:t xml:space="preserve">A. R. Tuite, T. L. Gift, H. W. Chesson, K. Hsu, J. A. Salomon, and Y. H. Grad, “Impact of Rapid Susceptibility Testing and Antibiotic Selection Strategy on the Emergence and Spread of Antibiotic Resistance in Gonorrhea,” </w:t>
      </w:r>
      <w:r w:rsidRPr="00276DCE">
        <w:rPr>
          <w:rFonts w:ascii="Times New Roman" w:hAnsi="Times New Roman" w:cs="Times New Roman"/>
          <w:i/>
          <w:iCs/>
          <w:color w:val="000000"/>
          <w:sz w:val="20"/>
          <w:szCs w:val="20"/>
          <w:lang w:val="en-US"/>
        </w:rPr>
        <w:t>J. Infect. Dis.</w:t>
      </w:r>
      <w:r w:rsidRPr="00276DCE">
        <w:rPr>
          <w:rFonts w:ascii="Times New Roman" w:hAnsi="Times New Roman" w:cs="Times New Roman"/>
          <w:color w:val="000000"/>
          <w:sz w:val="20"/>
          <w:szCs w:val="20"/>
          <w:lang w:val="en-US"/>
        </w:rPr>
        <w:t>, vol. 216, no. 9, pp. 1141–1149, Nov. 2017, doi: 10.1093/infdis/jix450.</w:t>
      </w:r>
    </w:p>
    <w:p w14:paraId="4495E224" w14:textId="77777777" w:rsidR="00276DCE" w:rsidRPr="00276DCE" w:rsidRDefault="00276DCE" w:rsidP="00276DCE">
      <w:pPr>
        <w:pStyle w:val="Bibliography"/>
        <w:spacing w:line="276" w:lineRule="auto"/>
        <w:jc w:val="both"/>
        <w:rPr>
          <w:rFonts w:ascii="Times New Roman" w:hAnsi="Times New Roman" w:cs="Times New Roman"/>
          <w:color w:val="000000"/>
          <w:sz w:val="20"/>
          <w:szCs w:val="20"/>
          <w:lang w:val="en-US"/>
        </w:rPr>
      </w:pPr>
      <w:r w:rsidRPr="00276DCE">
        <w:rPr>
          <w:rFonts w:ascii="Times New Roman" w:hAnsi="Times New Roman" w:cs="Times New Roman"/>
          <w:color w:val="000000"/>
          <w:sz w:val="20"/>
          <w:szCs w:val="20"/>
          <w:lang w:val="en-US"/>
        </w:rPr>
        <w:t>[10]</w:t>
      </w:r>
      <w:r w:rsidRPr="00276DCE">
        <w:rPr>
          <w:rFonts w:ascii="Times New Roman" w:hAnsi="Times New Roman" w:cs="Times New Roman"/>
          <w:color w:val="000000"/>
          <w:sz w:val="20"/>
          <w:szCs w:val="20"/>
          <w:lang w:val="en-US"/>
        </w:rPr>
        <w:tab/>
        <w:t xml:space="preserve">E. Reichert, R. Yaesoubi, M. M. Rönn, T. L. Gift, J. A. Salomon, and Y. H. Grad, “Resistance-minimising strategies for introducing a novel antibiotic for gonorrhoea treatment: a mathematical modelling study,” </w:t>
      </w:r>
      <w:r w:rsidRPr="00276DCE">
        <w:rPr>
          <w:rFonts w:ascii="Times New Roman" w:hAnsi="Times New Roman" w:cs="Times New Roman"/>
          <w:i/>
          <w:iCs/>
          <w:color w:val="000000"/>
          <w:sz w:val="20"/>
          <w:szCs w:val="20"/>
          <w:lang w:val="en-US"/>
        </w:rPr>
        <w:t>Lancet Microbe</w:t>
      </w:r>
      <w:r w:rsidRPr="00276DCE">
        <w:rPr>
          <w:rFonts w:ascii="Times New Roman" w:hAnsi="Times New Roman" w:cs="Times New Roman"/>
          <w:color w:val="000000"/>
          <w:sz w:val="20"/>
          <w:szCs w:val="20"/>
          <w:lang w:val="en-US"/>
        </w:rPr>
        <w:t>, vol. 4, no. 10, pp. e781–e789, Oct. 2023, doi: 10.1016/S2666-5247(23)00145-3.</w:t>
      </w:r>
    </w:p>
    <w:p w14:paraId="451154B9" w14:textId="77777777" w:rsidR="00276DCE" w:rsidRPr="00276DCE" w:rsidRDefault="00276DCE" w:rsidP="00276DCE">
      <w:pPr>
        <w:pStyle w:val="Bibliography"/>
        <w:spacing w:line="276" w:lineRule="auto"/>
        <w:jc w:val="both"/>
        <w:rPr>
          <w:rFonts w:ascii="Times New Roman" w:hAnsi="Times New Roman" w:cs="Times New Roman"/>
          <w:color w:val="000000"/>
          <w:sz w:val="20"/>
          <w:szCs w:val="20"/>
          <w:lang w:val="en-US"/>
        </w:rPr>
      </w:pPr>
      <w:r w:rsidRPr="00276DCE">
        <w:rPr>
          <w:rFonts w:ascii="Times New Roman" w:hAnsi="Times New Roman" w:cs="Times New Roman"/>
          <w:color w:val="000000"/>
          <w:sz w:val="20"/>
          <w:szCs w:val="20"/>
          <w:lang w:val="en-US"/>
        </w:rPr>
        <w:t>[11]</w:t>
      </w:r>
      <w:r w:rsidRPr="00276DCE">
        <w:rPr>
          <w:rFonts w:ascii="Times New Roman" w:hAnsi="Times New Roman" w:cs="Times New Roman"/>
          <w:color w:val="000000"/>
          <w:sz w:val="20"/>
          <w:szCs w:val="20"/>
          <w:lang w:val="en-US"/>
        </w:rPr>
        <w:tab/>
        <w:t xml:space="preserve">E. Reichert and Y. H. Grad, “Effects of doxycycline post-exposure prophylaxis for prevention of sexually transmitted infections on gonorrhoea prevalence and antimicrobial resistance among men who have sex with men in the USA: a modelling study,” </w:t>
      </w:r>
      <w:r w:rsidRPr="00276DCE">
        <w:rPr>
          <w:rFonts w:ascii="Times New Roman" w:hAnsi="Times New Roman" w:cs="Times New Roman"/>
          <w:i/>
          <w:iCs/>
          <w:color w:val="000000"/>
          <w:sz w:val="20"/>
          <w:szCs w:val="20"/>
          <w:lang w:val="en-US"/>
        </w:rPr>
        <w:t>Lancet Microbe</w:t>
      </w:r>
      <w:r w:rsidRPr="00276DCE">
        <w:rPr>
          <w:rFonts w:ascii="Times New Roman" w:hAnsi="Times New Roman" w:cs="Times New Roman"/>
          <w:color w:val="000000"/>
          <w:sz w:val="20"/>
          <w:szCs w:val="20"/>
          <w:lang w:val="en-US"/>
        </w:rPr>
        <w:t>, vol. 5, no. 11, p. 100926, Nov. 2024, doi: 10.1016/s2666-5247(24)00168-x.</w:t>
      </w:r>
    </w:p>
    <w:p w14:paraId="44EC0849" w14:textId="77777777" w:rsidR="00276DCE" w:rsidRPr="00276DCE" w:rsidRDefault="00276DCE" w:rsidP="00276DCE">
      <w:pPr>
        <w:pStyle w:val="Bibliography"/>
        <w:spacing w:line="276" w:lineRule="auto"/>
        <w:jc w:val="both"/>
        <w:rPr>
          <w:rFonts w:ascii="Times New Roman" w:hAnsi="Times New Roman" w:cs="Times New Roman"/>
          <w:color w:val="000000"/>
          <w:sz w:val="20"/>
          <w:szCs w:val="20"/>
          <w:lang w:val="en-US"/>
        </w:rPr>
      </w:pPr>
      <w:r w:rsidRPr="00276DCE">
        <w:rPr>
          <w:rFonts w:ascii="Times New Roman" w:hAnsi="Times New Roman" w:cs="Times New Roman"/>
          <w:color w:val="000000"/>
          <w:sz w:val="20"/>
          <w:szCs w:val="20"/>
          <w:lang w:val="en-US"/>
        </w:rPr>
        <w:t>[12]</w:t>
      </w:r>
      <w:r w:rsidRPr="00276DCE">
        <w:rPr>
          <w:rFonts w:ascii="Times New Roman" w:hAnsi="Times New Roman" w:cs="Times New Roman"/>
          <w:color w:val="000000"/>
          <w:sz w:val="20"/>
          <w:szCs w:val="20"/>
          <w:lang w:val="en-US"/>
        </w:rPr>
        <w:tab/>
        <w:t xml:space="preserve">L. K. Whittles, P. J. White, and X. Didelot, “Assessment of the Potential of Vaccination to Combat Antibiotic Resistance in Gonorrhea: A Modeling Analysis to Determine Preferred Product Characteristics,” </w:t>
      </w:r>
      <w:r w:rsidRPr="00276DCE">
        <w:rPr>
          <w:rFonts w:ascii="Times New Roman" w:hAnsi="Times New Roman" w:cs="Times New Roman"/>
          <w:i/>
          <w:iCs/>
          <w:color w:val="000000"/>
          <w:sz w:val="20"/>
          <w:szCs w:val="20"/>
          <w:lang w:val="en-US"/>
        </w:rPr>
        <w:t>Clin. Infect. Dis.</w:t>
      </w:r>
      <w:r w:rsidRPr="00276DCE">
        <w:rPr>
          <w:rFonts w:ascii="Times New Roman" w:hAnsi="Times New Roman" w:cs="Times New Roman"/>
          <w:color w:val="000000"/>
          <w:sz w:val="20"/>
          <w:szCs w:val="20"/>
          <w:lang w:val="en-US"/>
        </w:rPr>
        <w:t>, vol. 71, no. 8, pp. 1912–1919, Nov. 2020, doi: 10.1093/cid/ciz1241.</w:t>
      </w:r>
    </w:p>
    <w:p w14:paraId="2E06B283" w14:textId="77777777" w:rsidR="00276DCE" w:rsidRPr="00276DCE" w:rsidRDefault="00276DCE" w:rsidP="00276DCE">
      <w:pPr>
        <w:pStyle w:val="Bibliography"/>
        <w:spacing w:line="276" w:lineRule="auto"/>
        <w:jc w:val="both"/>
        <w:rPr>
          <w:rFonts w:ascii="Times New Roman" w:hAnsi="Times New Roman" w:cs="Times New Roman"/>
          <w:color w:val="000000"/>
          <w:sz w:val="20"/>
          <w:szCs w:val="20"/>
          <w:lang w:val="en-US"/>
        </w:rPr>
      </w:pPr>
      <w:r w:rsidRPr="00276DCE">
        <w:rPr>
          <w:rFonts w:ascii="Times New Roman" w:hAnsi="Times New Roman" w:cs="Times New Roman"/>
          <w:color w:val="000000"/>
          <w:sz w:val="20"/>
          <w:szCs w:val="20"/>
          <w:lang w:val="en-US"/>
        </w:rPr>
        <w:t>[13]</w:t>
      </w:r>
      <w:r w:rsidRPr="00276DCE">
        <w:rPr>
          <w:rFonts w:ascii="Times New Roman" w:hAnsi="Times New Roman" w:cs="Times New Roman"/>
          <w:color w:val="000000"/>
          <w:sz w:val="20"/>
          <w:szCs w:val="20"/>
          <w:lang w:val="en-US"/>
        </w:rPr>
        <w:tab/>
        <w:t xml:space="preserve">L. K. Whittles, P. J. White, and X. Didelot, “Estimating the fitness cost and benefit of cefixime resistance in Neisseria gonorrhoeae to inform prescription policy: A modelling study,” </w:t>
      </w:r>
      <w:r w:rsidRPr="00276DCE">
        <w:rPr>
          <w:rFonts w:ascii="Times New Roman" w:hAnsi="Times New Roman" w:cs="Times New Roman"/>
          <w:i/>
          <w:iCs/>
          <w:color w:val="000000"/>
          <w:sz w:val="20"/>
          <w:szCs w:val="20"/>
          <w:lang w:val="en-US"/>
        </w:rPr>
        <w:t>PLOS Med.</w:t>
      </w:r>
      <w:r w:rsidRPr="00276DCE">
        <w:rPr>
          <w:rFonts w:ascii="Times New Roman" w:hAnsi="Times New Roman" w:cs="Times New Roman"/>
          <w:color w:val="000000"/>
          <w:sz w:val="20"/>
          <w:szCs w:val="20"/>
          <w:lang w:val="en-US"/>
        </w:rPr>
        <w:t>, vol. 14, no. 10, p. e1002416, Oct. 2017, doi: 10.1371/journal.pmed.1002416.</w:t>
      </w:r>
    </w:p>
    <w:p w14:paraId="5AC95642" w14:textId="51FB04D6" w:rsidR="00802477" w:rsidRPr="00276DCE" w:rsidRDefault="00802477" w:rsidP="00276DCE">
      <w:pPr>
        <w:pStyle w:val="Bibliography"/>
        <w:spacing w:line="276" w:lineRule="auto"/>
        <w:jc w:val="both"/>
        <w:rPr>
          <w:rFonts w:ascii="Times New Roman" w:eastAsia="Times New Roman" w:hAnsi="Times New Roman" w:cs="Times New Roman"/>
          <w:color w:val="000000" w:themeColor="text1"/>
          <w:kern w:val="0"/>
          <w:sz w:val="20"/>
          <w:szCs w:val="20"/>
          <w14:ligatures w14:val="none"/>
        </w:rPr>
      </w:pPr>
      <w:r w:rsidRPr="00276DCE">
        <w:rPr>
          <w:rFonts w:ascii="Times New Roman" w:eastAsia="Times New Roman" w:hAnsi="Times New Roman" w:cs="Times New Roman"/>
          <w:color w:val="000000" w:themeColor="text1"/>
          <w:kern w:val="0"/>
          <w:sz w:val="20"/>
          <w:szCs w:val="20"/>
          <w14:ligatures w14:val="none"/>
        </w:rPr>
        <w:fldChar w:fldCharType="end"/>
      </w:r>
    </w:p>
    <w:p w14:paraId="09887875" w14:textId="34CA54EE" w:rsidR="006A5D60" w:rsidRPr="00276DCE" w:rsidRDefault="006A5D60" w:rsidP="00276DCE">
      <w:pPr>
        <w:spacing w:before="100" w:beforeAutospacing="1" w:after="100" w:afterAutospacing="1" w:line="276" w:lineRule="auto"/>
        <w:jc w:val="both"/>
        <w:rPr>
          <w:rFonts w:ascii="Times New Roman" w:hAnsi="Times New Roman" w:cs="Times New Roman"/>
          <w:color w:val="000000" w:themeColor="text1"/>
          <w:sz w:val="20"/>
          <w:szCs w:val="20"/>
        </w:rPr>
      </w:pPr>
    </w:p>
    <w:sectPr w:rsidR="006A5D60" w:rsidRPr="00276DC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347421"/>
    <w:multiLevelType w:val="hybridMultilevel"/>
    <w:tmpl w:val="2E00102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F0531A0"/>
    <w:multiLevelType w:val="multilevel"/>
    <w:tmpl w:val="0C64C0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8EA301D"/>
    <w:multiLevelType w:val="hybridMultilevel"/>
    <w:tmpl w:val="0CEAF142"/>
    <w:lvl w:ilvl="0" w:tplc="087AA312">
      <w:start w:val="1"/>
      <w:numFmt w:val="decimal"/>
      <w:lvlText w:val="%1."/>
      <w:lvlJc w:val="left"/>
      <w:pPr>
        <w:ind w:left="1020" w:hanging="360"/>
      </w:pPr>
    </w:lvl>
    <w:lvl w:ilvl="1" w:tplc="8A4E6D10">
      <w:start w:val="1"/>
      <w:numFmt w:val="decimal"/>
      <w:lvlText w:val="%2."/>
      <w:lvlJc w:val="left"/>
      <w:pPr>
        <w:ind w:left="1020" w:hanging="360"/>
      </w:pPr>
    </w:lvl>
    <w:lvl w:ilvl="2" w:tplc="7E922120">
      <w:start w:val="1"/>
      <w:numFmt w:val="decimal"/>
      <w:lvlText w:val="%3."/>
      <w:lvlJc w:val="left"/>
      <w:pPr>
        <w:ind w:left="1020" w:hanging="360"/>
      </w:pPr>
    </w:lvl>
    <w:lvl w:ilvl="3" w:tplc="3A265344">
      <w:start w:val="1"/>
      <w:numFmt w:val="decimal"/>
      <w:lvlText w:val="%4."/>
      <w:lvlJc w:val="left"/>
      <w:pPr>
        <w:ind w:left="1020" w:hanging="360"/>
      </w:pPr>
    </w:lvl>
    <w:lvl w:ilvl="4" w:tplc="CBBA4A76">
      <w:start w:val="1"/>
      <w:numFmt w:val="decimal"/>
      <w:lvlText w:val="%5."/>
      <w:lvlJc w:val="left"/>
      <w:pPr>
        <w:ind w:left="1020" w:hanging="360"/>
      </w:pPr>
    </w:lvl>
    <w:lvl w:ilvl="5" w:tplc="F4EE0AA0">
      <w:start w:val="1"/>
      <w:numFmt w:val="decimal"/>
      <w:lvlText w:val="%6."/>
      <w:lvlJc w:val="left"/>
      <w:pPr>
        <w:ind w:left="1020" w:hanging="360"/>
      </w:pPr>
    </w:lvl>
    <w:lvl w:ilvl="6" w:tplc="E0EC3CF0">
      <w:start w:val="1"/>
      <w:numFmt w:val="decimal"/>
      <w:lvlText w:val="%7."/>
      <w:lvlJc w:val="left"/>
      <w:pPr>
        <w:ind w:left="1020" w:hanging="360"/>
      </w:pPr>
    </w:lvl>
    <w:lvl w:ilvl="7" w:tplc="28F21750">
      <w:start w:val="1"/>
      <w:numFmt w:val="decimal"/>
      <w:lvlText w:val="%8."/>
      <w:lvlJc w:val="left"/>
      <w:pPr>
        <w:ind w:left="1020" w:hanging="360"/>
      </w:pPr>
    </w:lvl>
    <w:lvl w:ilvl="8" w:tplc="B94C2B18">
      <w:start w:val="1"/>
      <w:numFmt w:val="decimal"/>
      <w:lvlText w:val="%9."/>
      <w:lvlJc w:val="left"/>
      <w:pPr>
        <w:ind w:left="1020" w:hanging="360"/>
      </w:pPr>
    </w:lvl>
  </w:abstractNum>
  <w:abstractNum w:abstractNumId="3" w15:restartNumberingAfterBreak="0">
    <w:nsid w:val="3DF817EA"/>
    <w:multiLevelType w:val="hybridMultilevel"/>
    <w:tmpl w:val="25C08A4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852722562">
    <w:abstractNumId w:val="1"/>
  </w:num>
  <w:num w:numId="2" w16cid:durableId="40520125">
    <w:abstractNumId w:val="3"/>
  </w:num>
  <w:num w:numId="3" w16cid:durableId="1504318238">
    <w:abstractNumId w:val="0"/>
  </w:num>
  <w:num w:numId="4" w16cid:durableId="160623024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6"/>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5D60"/>
    <w:rsid w:val="00000B87"/>
    <w:rsid w:val="000011E7"/>
    <w:rsid w:val="00027E42"/>
    <w:rsid w:val="00075D2F"/>
    <w:rsid w:val="00085099"/>
    <w:rsid w:val="000B0C7C"/>
    <w:rsid w:val="000D0539"/>
    <w:rsid w:val="000D3B8B"/>
    <w:rsid w:val="000E2764"/>
    <w:rsid w:val="000E3930"/>
    <w:rsid w:val="00117036"/>
    <w:rsid w:val="00166618"/>
    <w:rsid w:val="0017364B"/>
    <w:rsid w:val="001B42F2"/>
    <w:rsid w:val="001C2A98"/>
    <w:rsid w:val="001C72D5"/>
    <w:rsid w:val="002234CF"/>
    <w:rsid w:val="0023165B"/>
    <w:rsid w:val="00243D2B"/>
    <w:rsid w:val="00256035"/>
    <w:rsid w:val="00276DCE"/>
    <w:rsid w:val="002A0AB1"/>
    <w:rsid w:val="003300DF"/>
    <w:rsid w:val="00337290"/>
    <w:rsid w:val="00382719"/>
    <w:rsid w:val="003A66F0"/>
    <w:rsid w:val="00422602"/>
    <w:rsid w:val="004229CD"/>
    <w:rsid w:val="00482565"/>
    <w:rsid w:val="004F3D14"/>
    <w:rsid w:val="0051618A"/>
    <w:rsid w:val="005B15BD"/>
    <w:rsid w:val="005B2DA0"/>
    <w:rsid w:val="005B3659"/>
    <w:rsid w:val="005D0C68"/>
    <w:rsid w:val="00624970"/>
    <w:rsid w:val="006300FE"/>
    <w:rsid w:val="00673DDD"/>
    <w:rsid w:val="00694DF0"/>
    <w:rsid w:val="006A5D60"/>
    <w:rsid w:val="006C0BE4"/>
    <w:rsid w:val="00757D3F"/>
    <w:rsid w:val="00776D62"/>
    <w:rsid w:val="007966E6"/>
    <w:rsid w:val="007F5429"/>
    <w:rsid w:val="00802477"/>
    <w:rsid w:val="008550FB"/>
    <w:rsid w:val="008C2AAA"/>
    <w:rsid w:val="008E5752"/>
    <w:rsid w:val="008F09CA"/>
    <w:rsid w:val="00930B14"/>
    <w:rsid w:val="00973822"/>
    <w:rsid w:val="00976A2C"/>
    <w:rsid w:val="009E6324"/>
    <w:rsid w:val="009F77D3"/>
    <w:rsid w:val="00A03255"/>
    <w:rsid w:val="00A05668"/>
    <w:rsid w:val="00A96A92"/>
    <w:rsid w:val="00B15A39"/>
    <w:rsid w:val="00BC6C09"/>
    <w:rsid w:val="00BF4E96"/>
    <w:rsid w:val="00C052D4"/>
    <w:rsid w:val="00C066BD"/>
    <w:rsid w:val="00C252ED"/>
    <w:rsid w:val="00CA550C"/>
    <w:rsid w:val="00CD1078"/>
    <w:rsid w:val="00CD5894"/>
    <w:rsid w:val="00CD73B1"/>
    <w:rsid w:val="00CE173A"/>
    <w:rsid w:val="00D21988"/>
    <w:rsid w:val="00D76A07"/>
    <w:rsid w:val="00D83ED0"/>
    <w:rsid w:val="00DB0475"/>
    <w:rsid w:val="00DD1B60"/>
    <w:rsid w:val="00DD1CCA"/>
    <w:rsid w:val="00E168B3"/>
    <w:rsid w:val="00E62364"/>
    <w:rsid w:val="00E7338C"/>
    <w:rsid w:val="00EB17DD"/>
    <w:rsid w:val="00F176A5"/>
    <w:rsid w:val="00F7254F"/>
    <w:rsid w:val="00FE282D"/>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C5E354"/>
  <w15:chartTrackingRefBased/>
  <w15:docId w15:val="{CBD55EEA-0D9A-C849-8072-0EC1D66A37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SG"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A5D6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A5D6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A5D6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A5D6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A5D6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A5D6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A5D6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A5D6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A5D6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aliases w:val="My Table"/>
    <w:basedOn w:val="TableNormal"/>
    <w:uiPriority w:val="39"/>
    <w:rsid w:val="0051618A"/>
    <w:pPr>
      <w:spacing w:after="0" w:line="240" w:lineRule="auto"/>
      <w:jc w:val="center"/>
    </w:pPr>
    <w:rPr>
      <w:rFonts w:ascii="Times New Roman" w:hAnsi="Times New Roman"/>
      <w:sz w:val="20"/>
    </w:rPr>
    <w:tblPr>
      <w:tblBorders>
        <w:top w:val="single" w:sz="4" w:space="0" w:color="auto"/>
        <w:bottom w:val="single" w:sz="4" w:space="0" w:color="auto"/>
      </w:tblBorders>
    </w:tblPr>
    <w:tcPr>
      <w:vAlign w:val="center"/>
    </w:tcPr>
  </w:style>
  <w:style w:type="character" w:customStyle="1" w:styleId="Heading1Char">
    <w:name w:val="Heading 1 Char"/>
    <w:basedOn w:val="DefaultParagraphFont"/>
    <w:link w:val="Heading1"/>
    <w:uiPriority w:val="9"/>
    <w:rsid w:val="006A5D6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A5D6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A5D6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A5D6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A5D6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A5D6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A5D6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A5D6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A5D60"/>
    <w:rPr>
      <w:rFonts w:eastAsiaTheme="majorEastAsia" w:cstheme="majorBidi"/>
      <w:color w:val="272727" w:themeColor="text1" w:themeTint="D8"/>
    </w:rPr>
  </w:style>
  <w:style w:type="paragraph" w:styleId="Title">
    <w:name w:val="Title"/>
    <w:basedOn w:val="Normal"/>
    <w:next w:val="Normal"/>
    <w:link w:val="TitleChar"/>
    <w:uiPriority w:val="10"/>
    <w:qFormat/>
    <w:rsid w:val="006A5D6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A5D6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A5D6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A5D6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A5D60"/>
    <w:pPr>
      <w:spacing w:before="160"/>
      <w:jc w:val="center"/>
    </w:pPr>
    <w:rPr>
      <w:i/>
      <w:iCs/>
      <w:color w:val="404040" w:themeColor="text1" w:themeTint="BF"/>
    </w:rPr>
  </w:style>
  <w:style w:type="character" w:customStyle="1" w:styleId="QuoteChar">
    <w:name w:val="Quote Char"/>
    <w:basedOn w:val="DefaultParagraphFont"/>
    <w:link w:val="Quote"/>
    <w:uiPriority w:val="29"/>
    <w:rsid w:val="006A5D60"/>
    <w:rPr>
      <w:i/>
      <w:iCs/>
      <w:color w:val="404040" w:themeColor="text1" w:themeTint="BF"/>
    </w:rPr>
  </w:style>
  <w:style w:type="paragraph" w:styleId="ListParagraph">
    <w:name w:val="List Paragraph"/>
    <w:basedOn w:val="Normal"/>
    <w:uiPriority w:val="34"/>
    <w:qFormat/>
    <w:rsid w:val="006A5D60"/>
    <w:pPr>
      <w:ind w:left="720"/>
      <w:contextualSpacing/>
    </w:pPr>
  </w:style>
  <w:style w:type="character" w:styleId="IntenseEmphasis">
    <w:name w:val="Intense Emphasis"/>
    <w:basedOn w:val="DefaultParagraphFont"/>
    <w:uiPriority w:val="21"/>
    <w:qFormat/>
    <w:rsid w:val="006A5D60"/>
    <w:rPr>
      <w:i/>
      <w:iCs/>
      <w:color w:val="0F4761" w:themeColor="accent1" w:themeShade="BF"/>
    </w:rPr>
  </w:style>
  <w:style w:type="paragraph" w:styleId="IntenseQuote">
    <w:name w:val="Intense Quote"/>
    <w:basedOn w:val="Normal"/>
    <w:next w:val="Normal"/>
    <w:link w:val="IntenseQuoteChar"/>
    <w:uiPriority w:val="30"/>
    <w:qFormat/>
    <w:rsid w:val="006A5D6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A5D60"/>
    <w:rPr>
      <w:i/>
      <w:iCs/>
      <w:color w:val="0F4761" w:themeColor="accent1" w:themeShade="BF"/>
    </w:rPr>
  </w:style>
  <w:style w:type="character" w:styleId="IntenseReference">
    <w:name w:val="Intense Reference"/>
    <w:basedOn w:val="DefaultParagraphFont"/>
    <w:uiPriority w:val="32"/>
    <w:qFormat/>
    <w:rsid w:val="006A5D60"/>
    <w:rPr>
      <w:b/>
      <w:bCs/>
      <w:smallCaps/>
      <w:color w:val="0F4761" w:themeColor="accent1" w:themeShade="BF"/>
      <w:spacing w:val="5"/>
    </w:rPr>
  </w:style>
  <w:style w:type="character" w:styleId="Emphasis">
    <w:name w:val="Emphasis"/>
    <w:basedOn w:val="DefaultParagraphFont"/>
    <w:uiPriority w:val="20"/>
    <w:qFormat/>
    <w:rsid w:val="006A5D60"/>
    <w:rPr>
      <w:i/>
      <w:iCs/>
    </w:rPr>
  </w:style>
  <w:style w:type="character" w:styleId="Strong">
    <w:name w:val="Strong"/>
    <w:basedOn w:val="DefaultParagraphFont"/>
    <w:uiPriority w:val="22"/>
    <w:qFormat/>
    <w:rsid w:val="006A5D60"/>
    <w:rPr>
      <w:b/>
      <w:bCs/>
    </w:rPr>
  </w:style>
  <w:style w:type="paragraph" w:styleId="NormalWeb">
    <w:name w:val="Normal (Web)"/>
    <w:basedOn w:val="Normal"/>
    <w:uiPriority w:val="99"/>
    <w:unhideWhenUsed/>
    <w:rsid w:val="006A5D60"/>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PlaceholderText">
    <w:name w:val="Placeholder Text"/>
    <w:basedOn w:val="DefaultParagraphFont"/>
    <w:uiPriority w:val="99"/>
    <w:semiHidden/>
    <w:rsid w:val="00243D2B"/>
    <w:rPr>
      <w:color w:val="666666"/>
    </w:rPr>
  </w:style>
  <w:style w:type="paragraph" w:styleId="Bibliography">
    <w:name w:val="Bibliography"/>
    <w:basedOn w:val="Normal"/>
    <w:next w:val="Normal"/>
    <w:uiPriority w:val="37"/>
    <w:unhideWhenUsed/>
    <w:rsid w:val="000011E7"/>
    <w:pPr>
      <w:tabs>
        <w:tab w:val="left" w:pos="380"/>
      </w:tabs>
      <w:spacing w:after="0" w:line="240" w:lineRule="auto"/>
      <w:ind w:left="384" w:hanging="384"/>
    </w:pPr>
  </w:style>
  <w:style w:type="character" w:styleId="CommentReference">
    <w:name w:val="annotation reference"/>
    <w:basedOn w:val="DefaultParagraphFont"/>
    <w:uiPriority w:val="99"/>
    <w:semiHidden/>
    <w:unhideWhenUsed/>
    <w:rsid w:val="000D3B8B"/>
    <w:rPr>
      <w:sz w:val="16"/>
      <w:szCs w:val="16"/>
    </w:rPr>
  </w:style>
  <w:style w:type="paragraph" w:styleId="CommentText">
    <w:name w:val="annotation text"/>
    <w:basedOn w:val="Normal"/>
    <w:link w:val="CommentTextChar"/>
    <w:uiPriority w:val="99"/>
    <w:unhideWhenUsed/>
    <w:rsid w:val="000D3B8B"/>
    <w:pPr>
      <w:spacing w:line="240" w:lineRule="auto"/>
    </w:pPr>
    <w:rPr>
      <w:sz w:val="20"/>
      <w:szCs w:val="20"/>
    </w:rPr>
  </w:style>
  <w:style w:type="character" w:customStyle="1" w:styleId="CommentTextChar">
    <w:name w:val="Comment Text Char"/>
    <w:basedOn w:val="DefaultParagraphFont"/>
    <w:link w:val="CommentText"/>
    <w:uiPriority w:val="99"/>
    <w:rsid w:val="000D3B8B"/>
    <w:rPr>
      <w:sz w:val="20"/>
      <w:szCs w:val="20"/>
    </w:rPr>
  </w:style>
  <w:style w:type="paragraph" w:styleId="CommentSubject">
    <w:name w:val="annotation subject"/>
    <w:basedOn w:val="CommentText"/>
    <w:next w:val="CommentText"/>
    <w:link w:val="CommentSubjectChar"/>
    <w:uiPriority w:val="99"/>
    <w:semiHidden/>
    <w:unhideWhenUsed/>
    <w:rsid w:val="000D3B8B"/>
    <w:rPr>
      <w:b/>
      <w:bCs/>
    </w:rPr>
  </w:style>
  <w:style w:type="character" w:customStyle="1" w:styleId="CommentSubjectChar">
    <w:name w:val="Comment Subject Char"/>
    <w:basedOn w:val="CommentTextChar"/>
    <w:link w:val="CommentSubject"/>
    <w:uiPriority w:val="99"/>
    <w:semiHidden/>
    <w:rsid w:val="000D3B8B"/>
    <w:rPr>
      <w:b/>
      <w:bCs/>
      <w:sz w:val="20"/>
      <w:szCs w:val="20"/>
    </w:rPr>
  </w:style>
  <w:style w:type="paragraph" w:styleId="Revision">
    <w:name w:val="Revision"/>
    <w:hidden/>
    <w:uiPriority w:val="99"/>
    <w:semiHidden/>
    <w:rsid w:val="000D3B8B"/>
    <w:pPr>
      <w:spacing w:after="0" w:line="240" w:lineRule="auto"/>
    </w:pPr>
  </w:style>
  <w:style w:type="character" w:styleId="Hyperlink">
    <w:name w:val="Hyperlink"/>
    <w:basedOn w:val="DefaultParagraphFont"/>
    <w:uiPriority w:val="99"/>
    <w:unhideWhenUsed/>
    <w:rsid w:val="00673DDD"/>
    <w:rPr>
      <w:color w:val="467886" w:themeColor="hyperlink"/>
      <w:u w:val="single"/>
    </w:rPr>
  </w:style>
  <w:style w:type="character" w:styleId="UnresolvedMention">
    <w:name w:val="Unresolved Mention"/>
    <w:basedOn w:val="DefaultParagraphFont"/>
    <w:uiPriority w:val="99"/>
    <w:semiHidden/>
    <w:unhideWhenUsed/>
    <w:rsid w:val="00673DD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emf"/><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89</TotalTime>
  <Pages>5</Pages>
  <Words>5925</Words>
  <Characters>33775</Characters>
  <Application>Microsoft Office Word</Application>
  <DocSecurity>0</DocSecurity>
  <Lines>281</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#WANG ZIHAO#</dc:creator>
  <cp:keywords/>
  <dc:description/>
  <cp:lastModifiedBy>#WANG ZIHAO#</cp:lastModifiedBy>
  <cp:revision>28</cp:revision>
  <cp:lastPrinted>2025-09-09T09:14:00Z</cp:lastPrinted>
  <dcterms:created xsi:type="dcterms:W3CDTF">2025-10-10T08:53:00Z</dcterms:created>
  <dcterms:modified xsi:type="dcterms:W3CDTF">2025-10-23T15:52:00Z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zotero-version="7.0.26"&gt;&lt;session id="47pxcia5"/&gt;&lt;style id="http://www.zotero.org/styles/ieee" locale="en-US"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