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41C66B0B" w:rsidR="00027E42" w:rsidRPr="00276DCE" w:rsidRDefault="00CD73B1" w:rsidP="00276DCE">
      <w:pPr>
        <w:spacing w:before="100" w:beforeAutospacing="1" w:after="100" w:afterAutospacing="1" w:line="276" w:lineRule="auto"/>
        <w:jc w:val="both"/>
        <w:rPr>
          <w:rFonts w:ascii="Times New Roman" w:hAnsi="Times New Roman" w:cs="Times New Roman"/>
          <w:b/>
          <w:bCs/>
          <w:color w:val="000000" w:themeColor="text1"/>
          <w:sz w:val="20"/>
          <w:szCs w:val="20"/>
        </w:rPr>
      </w:pPr>
      <w:r w:rsidRPr="00276DCE">
        <w:rPr>
          <w:rFonts w:ascii="Times New Roman" w:hAnsi="Times New Roman" w:cs="Times New Roman"/>
          <w:b/>
          <w:bCs/>
          <w:sz w:val="20"/>
          <w:szCs w:val="20"/>
        </w:rPr>
        <w:t xml:space="preserve">Modelling the Interplay Between Doxycycline </w:t>
      </w:r>
      <w:r w:rsidR="00000B87" w:rsidRPr="00276DCE">
        <w:rPr>
          <w:rFonts w:ascii="Times New Roman" w:hAnsi="Times New Roman" w:cs="Times New Roman"/>
          <w:b/>
          <w:bCs/>
          <w:sz w:val="20"/>
          <w:szCs w:val="20"/>
        </w:rPr>
        <w:t>Post-Exposure Prophylaxis</w:t>
      </w:r>
      <w:r w:rsidRPr="00276DCE">
        <w:rPr>
          <w:rFonts w:ascii="Times New Roman" w:hAnsi="Times New Roman" w:cs="Times New Roman"/>
          <w:b/>
          <w:bCs/>
          <w:sz w:val="20"/>
          <w:szCs w:val="20"/>
        </w:rPr>
        <w:t xml:space="preserve">, </w:t>
      </w:r>
      <w:r w:rsidR="00000B87" w:rsidRPr="00276DCE">
        <w:rPr>
          <w:rFonts w:ascii="Times New Roman" w:hAnsi="Times New Roman" w:cs="Times New Roman"/>
          <w:b/>
          <w:bCs/>
          <w:sz w:val="20"/>
          <w:szCs w:val="20"/>
        </w:rPr>
        <w:t xml:space="preserve">Four-Component </w:t>
      </w:r>
      <w:r w:rsidR="006E4C38" w:rsidRPr="00276DCE">
        <w:rPr>
          <w:rFonts w:ascii="Times New Roman" w:hAnsi="Times New Roman" w:cs="Times New Roman"/>
          <w:b/>
          <w:bCs/>
          <w:sz w:val="20"/>
          <w:szCs w:val="20"/>
        </w:rPr>
        <w:t xml:space="preserve">Meningococcal </w:t>
      </w:r>
      <w:r w:rsidR="00000B87" w:rsidRPr="00276DCE">
        <w:rPr>
          <w:rFonts w:ascii="Times New Roman" w:hAnsi="Times New Roman" w:cs="Times New Roman"/>
          <w:b/>
          <w:bCs/>
          <w:sz w:val="20"/>
          <w:szCs w:val="20"/>
        </w:rPr>
        <w:t>Serogroup B (</w:t>
      </w:r>
      <w:r w:rsidRPr="00276DCE">
        <w:rPr>
          <w:rFonts w:ascii="Times New Roman" w:hAnsi="Times New Roman" w:cs="Times New Roman"/>
          <w:b/>
          <w:bCs/>
          <w:sz w:val="20"/>
          <w:szCs w:val="20"/>
        </w:rPr>
        <w:t>4CMenB</w:t>
      </w:r>
      <w:r w:rsidR="00000B87" w:rsidRPr="00276DCE">
        <w:rPr>
          <w:rFonts w:ascii="Times New Roman" w:hAnsi="Times New Roman" w:cs="Times New Roman"/>
          <w:b/>
          <w:bCs/>
          <w:sz w:val="20"/>
          <w:szCs w:val="20"/>
        </w:rPr>
        <w:t>) vaccine</w:t>
      </w:r>
      <w:r w:rsidRPr="00276DCE">
        <w:rPr>
          <w:rFonts w:ascii="Times New Roman" w:hAnsi="Times New Roman" w:cs="Times New Roman"/>
          <w:b/>
          <w:bCs/>
          <w:sz w:val="20"/>
          <w:szCs w:val="20"/>
        </w:rPr>
        <w:t xml:space="preserve">, and </w:t>
      </w:r>
      <w:r w:rsidR="00000B87" w:rsidRPr="00276DCE">
        <w:rPr>
          <w:rFonts w:ascii="Times New Roman" w:hAnsi="Times New Roman" w:cs="Times New Roman"/>
          <w:b/>
          <w:bCs/>
          <w:sz w:val="20"/>
          <w:szCs w:val="20"/>
        </w:rPr>
        <w:t>Antimicrobial Resistance</w:t>
      </w:r>
      <w:r w:rsidRPr="00276DCE">
        <w:rPr>
          <w:rFonts w:ascii="Times New Roman" w:hAnsi="Times New Roman" w:cs="Times New Roman"/>
          <w:b/>
          <w:bCs/>
          <w:sz w:val="20"/>
          <w:szCs w:val="20"/>
        </w:rPr>
        <w:t xml:space="preserve"> in </w:t>
      </w:r>
      <w:r w:rsidRPr="00276DCE">
        <w:rPr>
          <w:rStyle w:val="Emphasis"/>
          <w:rFonts w:ascii="Times New Roman" w:hAnsi="Times New Roman" w:cs="Times New Roman"/>
          <w:b/>
          <w:bCs/>
          <w:sz w:val="20"/>
          <w:szCs w:val="20"/>
        </w:rPr>
        <w:t>Neisseria gonorrhoeae</w:t>
      </w:r>
    </w:p>
    <w:p w14:paraId="7DF3C741" w14:textId="7AA06E01" w:rsidR="00276DCE" w:rsidRPr="009D5228" w:rsidRDefault="00276DCE" w:rsidP="00276DCE">
      <w:pPr>
        <w:pStyle w:val="NormalWeb"/>
        <w:spacing w:line="276" w:lineRule="auto"/>
        <w:jc w:val="both"/>
        <w:rPr>
          <w:color w:val="000000" w:themeColor="text1"/>
          <w:sz w:val="20"/>
          <w:szCs w:val="20"/>
        </w:rPr>
      </w:pPr>
      <w:r w:rsidRPr="00276DCE">
        <w:rPr>
          <w:sz w:val="20"/>
          <w:szCs w:val="20"/>
        </w:rPr>
        <w:t xml:space="preserve">Doxycycline, a tetracycline-class antibiotic, has recently gained renewed interest through its use as post-exposure prophylaxis (doxy-PEP) for preventing syphilis </w:t>
      </w:r>
      <w:r w:rsidRPr="00276DCE">
        <w:rPr>
          <w:sz w:val="20"/>
          <w:szCs w:val="20"/>
        </w:rPr>
        <w:fldChar w:fldCharType="begin"/>
      </w:r>
      <w:r w:rsidRPr="00276DCE">
        <w:rPr>
          <w:sz w:val="20"/>
          <w:szCs w:val="20"/>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Pr="00276DCE">
        <w:rPr>
          <w:sz w:val="20"/>
          <w:szCs w:val="20"/>
        </w:rPr>
        <w:fldChar w:fldCharType="separate"/>
      </w:r>
      <w:r w:rsidRPr="00276DCE">
        <w:rPr>
          <w:noProof/>
          <w:sz w:val="20"/>
          <w:szCs w:val="20"/>
        </w:rPr>
        <w:t>[1]</w:t>
      </w:r>
      <w:r w:rsidRPr="00276DCE">
        <w:rPr>
          <w:sz w:val="20"/>
          <w:szCs w:val="20"/>
        </w:rPr>
        <w:fldChar w:fldCharType="end"/>
      </w:r>
      <w:r w:rsidRPr="00276DCE">
        <w:rPr>
          <w:sz w:val="20"/>
          <w:szCs w:val="20"/>
        </w:rPr>
        <w:t xml:space="preserve">. However, its large-scale deployment has raised concerns regarding potential impacts on antimicrobial resistance (AMR) in </w:t>
      </w:r>
      <w:r w:rsidRPr="00276DCE">
        <w:rPr>
          <w:rStyle w:val="Emphasis"/>
          <w:rFonts w:eastAsiaTheme="majorEastAsia"/>
          <w:sz w:val="20"/>
          <w:szCs w:val="20"/>
        </w:rPr>
        <w:t xml:space="preserve">Neisseria gonorrhoeae </w:t>
      </w:r>
      <w:bookmarkStart w:id="0" w:name="_Hlk211990451"/>
      <w:r w:rsidRPr="007A6006">
        <w:rPr>
          <w:rStyle w:val="Emphasis"/>
          <w:rFonts w:eastAsiaTheme="majorEastAsia"/>
          <w:i w:val="0"/>
          <w:iCs w:val="0"/>
          <w:sz w:val="20"/>
          <w:szCs w:val="20"/>
        </w:rPr>
        <w:fldChar w:fldCharType="begin"/>
      </w:r>
      <w:r w:rsidR="00756FF7" w:rsidRPr="007A6006">
        <w:rPr>
          <w:rStyle w:val="Emphasis"/>
          <w:rFonts w:eastAsiaTheme="majorEastAsia"/>
          <w:i w:val="0"/>
          <w:iCs w:val="0"/>
          <w:sz w:val="20"/>
          <w:szCs w:val="20"/>
        </w:rPr>
        <w:instrText xml:space="preserve"> ADDIN ZOTERO_ITEM CSL_CITATION {"citationID":"zgqH53oB","properties":{"unsorted":false,"formattedCitation":"[2], [3], [4]","plainCitation":"[2], [3], [4]","noteIndex":0},"citationItems":[{"id":287,"uris":["http://zotero.org/users/9663344/items/UD4GZWU4"],"itemData":{"id":287,"type":"article-journal","container-title":"The Lancet Infectious Diseases","DOI":"10.1016/S1473-3099(23)00359-6","ISSN":"1473-3099, 1474-4457","issue":"8","journalAbbreviation":"The Lancet Infectious Diseases","language":"English","page":"e268-e269","PMID":"37321241","publisher":"Elsevier","source":"www.thelancet.com","title":"Selection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Microbe","language":"English","PMID":"40854317","publisher":"Elsevier","source":"www.thelancet.com","title":"Promise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J."}],"accessed":{"date-parts":[["2025",9,9]]},"issued":{"date-parts":[["2025",8,22]]}}},{"id":456,"uris":["http://zotero.org/users/9663344/items/MQALFG22"],"itemData":{"id":456,"type":"article-journal","container-title":"The Lancet Infectious Diseases","DOI":"10.1016/S1473-3099(25)00234-8","ISSN":"1473-3099, 1474-4457","issue":"6","journalAbbreviation":"The Lancet Infectious Diseases","language":"English","page":"e316","PMID":"40280141","publisher":"Elsevier","source":"www.thelancet.com","title":"Doxy-PEP could select for ceftriaxone resistance in Neisseria gonorrhoeae","volume":"25","author":[{"family":"Vanbaelen","given":"Thibaut"},{"family":"Manoharan-Basil","given":"Sheeba Santhini"},{"family":"Kenyon","given":"Chris"}],"issued":{"date-parts":[["2025",6,1]]}}}],"schema":"https://github.com/citation-style-language/schema/raw/master/csl-citation.json"} </w:instrText>
      </w:r>
      <w:r w:rsidRPr="007A6006">
        <w:rPr>
          <w:rStyle w:val="Emphasis"/>
          <w:rFonts w:eastAsiaTheme="majorEastAsia"/>
          <w:i w:val="0"/>
          <w:iCs w:val="0"/>
          <w:sz w:val="20"/>
          <w:szCs w:val="20"/>
        </w:rPr>
        <w:fldChar w:fldCharType="separate"/>
      </w:r>
      <w:r w:rsidR="00756FF7" w:rsidRPr="007A6006">
        <w:rPr>
          <w:rStyle w:val="Emphasis"/>
          <w:rFonts w:eastAsiaTheme="majorEastAsia"/>
          <w:i w:val="0"/>
          <w:iCs w:val="0"/>
          <w:noProof/>
          <w:sz w:val="20"/>
          <w:szCs w:val="20"/>
        </w:rPr>
        <w:t>[2], [3], [4]</w:t>
      </w:r>
      <w:r w:rsidRPr="007A6006">
        <w:rPr>
          <w:rStyle w:val="Emphasis"/>
          <w:rFonts w:eastAsiaTheme="majorEastAsia"/>
          <w:i w:val="0"/>
          <w:iCs w:val="0"/>
          <w:sz w:val="20"/>
          <w:szCs w:val="20"/>
        </w:rPr>
        <w:fldChar w:fldCharType="end"/>
      </w:r>
      <w:bookmarkEnd w:id="0"/>
      <w:r w:rsidR="009D5228">
        <w:rPr>
          <w:rStyle w:val="Emphasis"/>
          <w:rFonts w:eastAsiaTheme="majorEastAsia"/>
          <w:i w:val="0"/>
          <w:iCs w:val="0"/>
          <w:sz w:val="20"/>
          <w:szCs w:val="20"/>
        </w:rPr>
        <w:t xml:space="preserve">. </w:t>
      </w:r>
      <w:r w:rsidRPr="00276DCE">
        <w:rPr>
          <w:sz w:val="20"/>
          <w:szCs w:val="20"/>
        </w:rPr>
        <w:t>Resistance to doxycycline and extended-spectrum cephalosporins (ESCs), such as ceftriaxone (i.e., the current first-line and last-</w:t>
      </w:r>
      <w:r w:rsidR="0015330D">
        <w:rPr>
          <w:sz w:val="20"/>
          <w:szCs w:val="20"/>
        </w:rPr>
        <w:t>line</w:t>
      </w:r>
      <w:r w:rsidRPr="00276DCE">
        <w:rPr>
          <w:sz w:val="20"/>
          <w:szCs w:val="20"/>
        </w:rPr>
        <w:t xml:space="preserve"> antibiotic for gonorrhoea</w:t>
      </w:r>
      <w:r w:rsidR="00F729B0">
        <w:rPr>
          <w:rStyle w:val="FootnoteReference"/>
          <w:sz w:val="20"/>
          <w:szCs w:val="20"/>
        </w:rPr>
        <w:footnoteReference w:id="1"/>
      </w:r>
      <w:r w:rsidRPr="00276DCE">
        <w:rPr>
          <w:sz w:val="20"/>
          <w:szCs w:val="20"/>
        </w:rPr>
        <w:t>)</w:t>
      </w:r>
      <w:r w:rsidR="00804703">
        <w:rPr>
          <w:sz w:val="20"/>
          <w:szCs w:val="20"/>
        </w:rPr>
        <w:t xml:space="preserve"> </w:t>
      </w:r>
      <w:r w:rsidR="00804703">
        <w:rPr>
          <w:sz w:val="20"/>
          <w:szCs w:val="20"/>
        </w:rPr>
        <w:fldChar w:fldCharType="begin"/>
      </w:r>
      <w:r w:rsidR="00756FF7">
        <w:rPr>
          <w:sz w:val="20"/>
          <w:szCs w:val="20"/>
        </w:rPr>
        <w:instrText xml:space="preserve"> ADDIN ZOTERO_ITEM CSL_CITATION {"citationID":"XAYBGUMV","properties":{"formattedCitation":"[7]","plainCitation":"[7]","noteIndex":0},"citationItems":[{"id":420,"uris":["http://zotero.org/users/9663344/items/ZQGG9PCA"],"itemData":{"id":420,"type":"webpage","container-title":"UK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sidR="00804703">
        <w:rPr>
          <w:sz w:val="20"/>
          <w:szCs w:val="20"/>
        </w:rPr>
        <w:fldChar w:fldCharType="separate"/>
      </w:r>
      <w:r w:rsidR="00756FF7">
        <w:rPr>
          <w:noProof/>
          <w:sz w:val="20"/>
          <w:szCs w:val="20"/>
        </w:rPr>
        <w:t>[7]</w:t>
      </w:r>
      <w:r w:rsidR="00804703">
        <w:rPr>
          <w:sz w:val="20"/>
          <w:szCs w:val="20"/>
        </w:rPr>
        <w:fldChar w:fldCharType="end"/>
      </w:r>
      <w:r w:rsidRPr="00276DCE">
        <w:rPr>
          <w:sz w:val="20"/>
          <w:szCs w:val="20"/>
        </w:rPr>
        <w:t xml:space="preserve">, arises through distinct genetic mechanisms but can become linked via co-selection </w:t>
      </w:r>
      <w:r w:rsidRPr="00276DCE">
        <w:rPr>
          <w:color w:val="000000" w:themeColor="text1"/>
          <w:sz w:val="20"/>
          <w:szCs w:val="20"/>
        </w:rPr>
        <w:fldChar w:fldCharType="begin"/>
      </w:r>
      <w:r w:rsidR="00756FF7">
        <w:rPr>
          <w:color w:val="000000" w:themeColor="text1"/>
          <w:sz w:val="20"/>
          <w:szCs w:val="20"/>
        </w:rPr>
        <w:instrText xml:space="preserve"> ADDIN ZOTERO_ITEM CSL_CITATION {"citationID":"2DnFBZrL","properties":{"unsorted":false,"formattedCitation":"[2], [4]","plainCitation":"[2], [4]","noteIndex":0},"citationItems":[{"id":287,"uris":["http://zotero.org/users/9663344/items/UD4GZWU4"],"itemData":{"id":287,"type":"article-journal","container-title":"The Lancet Infectious Diseases","DOI":"10.1016/S1473-3099(23)00359-6","ISSN":"1473-3099, 1474-4457","issue":"8","journalAbbreviation":"The Lancet Infectious Diseases","language":"English","page":"e268-e269","PMID":"37321241","publisher":"Elsevier","source":"www.thelancet.com","title":"Selection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M."}],"issued":{"date-parts":[["2023",8,1]]}}},{"id":456,"uris":["http://zotero.org/users/9663344/items/MQALFG22"],"itemData":{"id":456,"type":"article-journal","container-title":"The Lancet Infectious Diseases","DOI":"10.1016/S1473-3099(25)00234-8","ISSN":"1473-3099, 1474-4457","issue":"6","journalAbbreviation":"The Lancet Infectious Diseases","language":"English","page":"e316","PMID":"40280141","publisher":"Elsevier","source":"www.thelancet.com","title":"Doxy-PEP could select for ceftriaxone resistance in Neisseria gonorrhoeae","volume":"25","author":[{"family":"Vanbaelen","given":"Thibaut"},{"family":"Manoharan-Basil","given":"Sheeba Santhini"},{"family":"Kenyon","given":"Chris"}],"issued":{"date-parts":[["2025",6,1]]}}}],"schema":"https://github.com/citation-style-language/schema/raw/master/csl-citation.json"} </w:instrText>
      </w:r>
      <w:r w:rsidRPr="00276DCE">
        <w:rPr>
          <w:color w:val="000000" w:themeColor="text1"/>
          <w:sz w:val="20"/>
          <w:szCs w:val="20"/>
        </w:rPr>
        <w:fldChar w:fldCharType="separate"/>
      </w:r>
      <w:r w:rsidR="00756FF7">
        <w:rPr>
          <w:noProof/>
          <w:color w:val="000000" w:themeColor="text1"/>
          <w:sz w:val="20"/>
          <w:szCs w:val="20"/>
        </w:rPr>
        <w:t>[2], [4]</w:t>
      </w:r>
      <w:r w:rsidRPr="00276DCE">
        <w:rPr>
          <w:color w:val="000000" w:themeColor="text1"/>
          <w:sz w:val="20"/>
          <w:szCs w:val="20"/>
        </w:rPr>
        <w:fldChar w:fldCharType="end"/>
      </w:r>
      <w:r w:rsidR="009D5228">
        <w:rPr>
          <w:color w:val="000000" w:themeColor="text1"/>
          <w:sz w:val="20"/>
          <w:szCs w:val="20"/>
        </w:rPr>
        <w:t xml:space="preserve">. </w:t>
      </w:r>
      <w:r w:rsidR="009D5228" w:rsidRPr="009D5228">
        <w:rPr>
          <w:sz w:val="20"/>
          <w:szCs w:val="20"/>
        </w:rPr>
        <w:t xml:space="preserve">Notably, ceftriaxone-resistant multidrug-resistant </w:t>
      </w:r>
      <w:r w:rsidR="009D5228" w:rsidRPr="009D5228">
        <w:rPr>
          <w:rStyle w:val="Emphasis"/>
          <w:rFonts w:eastAsiaTheme="majorEastAsia"/>
          <w:sz w:val="20"/>
          <w:szCs w:val="20"/>
        </w:rPr>
        <w:t>Neisseria gonorrhoeae</w:t>
      </w:r>
      <w:r w:rsidR="009D5228" w:rsidRPr="009D5228">
        <w:rPr>
          <w:sz w:val="20"/>
          <w:szCs w:val="20"/>
        </w:rPr>
        <w:t xml:space="preserve"> strains have already been detected in Singapore</w:t>
      </w:r>
      <w:r w:rsidR="009D5228">
        <w:rPr>
          <w:sz w:val="20"/>
          <w:szCs w:val="20"/>
        </w:rPr>
        <w:t xml:space="preserve"> </w:t>
      </w:r>
      <w:r w:rsidR="009D5228">
        <w:rPr>
          <w:sz w:val="20"/>
          <w:szCs w:val="20"/>
        </w:rPr>
        <w:fldChar w:fldCharType="begin"/>
      </w:r>
      <w:r w:rsidR="00756FF7">
        <w:rPr>
          <w:sz w:val="20"/>
          <w:szCs w:val="20"/>
        </w:rPr>
        <w:instrText xml:space="preserve"> ADDIN ZOTERO_ITEM CSL_CITATION {"citationID":"r51sHfS3","properties":{"formattedCitation":"[8]","plainCitation":"[8]","noteIndex":0},"citationItems":[{"id":432,"uris":["http://zotero.org/users/9663344/items/BNCYHYJV"],"itemData":{"id":432,"type":"article-journal","container-title":"Antimicrobial Agents and Chemotherapy","DOI":"10.1128/AAC.02624-18","ISSN":"0066-4804","issue":"5","journalAbbreviation":"Antimicrob Agents Chemother","page":"e02624-18","PMID":"30858209","PMCID":"PMC6496044","source":"PubMed Central","title":"First Case of Ceftriaxone-Resistant Multidrug-Resistant Neisseria gonorrhoeae in Singapore","volume":"63","author":[{"family":"Ko","given":"Karrie Kwan Ki"},{"family":"Chio","given":"Martin T. W."},{"family":"Goh","given":"Sui Sin"},{"family":"Tan","given":"Ai Ling"},{"family":"Koh","given":"Tse Hsien"},{"family":"Abdul Rahman","given":"Nurdyana Binte"}],"issued":{"date-parts":[["2019",4,25]]}}}],"schema":"https://github.com/citation-style-language/schema/raw/master/csl-citation.json"} </w:instrText>
      </w:r>
      <w:r w:rsidR="009D5228">
        <w:rPr>
          <w:sz w:val="20"/>
          <w:szCs w:val="20"/>
        </w:rPr>
        <w:fldChar w:fldCharType="separate"/>
      </w:r>
      <w:r w:rsidR="00756FF7">
        <w:rPr>
          <w:noProof/>
          <w:sz w:val="20"/>
          <w:szCs w:val="20"/>
        </w:rPr>
        <w:t>[8]</w:t>
      </w:r>
      <w:r w:rsidR="009D5228">
        <w:rPr>
          <w:sz w:val="20"/>
          <w:szCs w:val="20"/>
        </w:rPr>
        <w:fldChar w:fldCharType="end"/>
      </w:r>
      <w:r w:rsidR="009D5228" w:rsidRPr="009D5228">
        <w:rPr>
          <w:sz w:val="20"/>
          <w:szCs w:val="20"/>
        </w:rPr>
        <w:t>.</w:t>
      </w:r>
    </w:p>
    <w:p w14:paraId="0C3010C3" w14:textId="2A110F9A" w:rsidR="00276DCE" w:rsidRPr="00276DCE" w:rsidRDefault="00276DCE" w:rsidP="00276DCE">
      <w:pPr>
        <w:pStyle w:val="NormalWeb"/>
        <w:spacing w:line="276" w:lineRule="auto"/>
        <w:jc w:val="both"/>
        <w:rPr>
          <w:sz w:val="20"/>
          <w:szCs w:val="20"/>
        </w:rPr>
      </w:pPr>
      <w:r w:rsidRPr="00276DCE">
        <w:rPr>
          <w:sz w:val="20"/>
          <w:szCs w:val="20"/>
        </w:rPr>
        <w:t>For gonorrhoea, tetracycline resistance (</w:t>
      </w:r>
      <w:proofErr w:type="spellStart"/>
      <w:r w:rsidRPr="00276DCE">
        <w:rPr>
          <w:sz w:val="20"/>
          <w:szCs w:val="20"/>
        </w:rPr>
        <w:t>tetR</w:t>
      </w:r>
      <w:proofErr w:type="spellEnd"/>
      <w:r w:rsidRPr="00276DCE">
        <w:rPr>
          <w:sz w:val="20"/>
          <w:szCs w:val="20"/>
        </w:rPr>
        <w:t xml:space="preserve">) commonly results from plasmid-borne </w:t>
      </w:r>
      <w:proofErr w:type="spellStart"/>
      <w:r w:rsidRPr="00276DCE">
        <w:rPr>
          <w:rStyle w:val="Emphasis"/>
          <w:rFonts w:eastAsiaTheme="majorEastAsia"/>
          <w:sz w:val="20"/>
          <w:szCs w:val="20"/>
        </w:rPr>
        <w:t>tetM</w:t>
      </w:r>
      <w:proofErr w:type="spellEnd"/>
      <w:r w:rsidRPr="00276DCE">
        <w:rPr>
          <w:sz w:val="20"/>
          <w:szCs w:val="20"/>
        </w:rPr>
        <w:t xml:space="preserve"> genes, which confer high-level resistance, or from chromosomal mutations in loci such as </w:t>
      </w:r>
      <w:proofErr w:type="spellStart"/>
      <w:r w:rsidRPr="00276DCE">
        <w:rPr>
          <w:rStyle w:val="Emphasis"/>
          <w:rFonts w:eastAsiaTheme="majorEastAsia"/>
          <w:sz w:val="20"/>
          <w:szCs w:val="20"/>
        </w:rPr>
        <w:t>rpsJ</w:t>
      </w:r>
      <w:proofErr w:type="spellEnd"/>
      <w:r w:rsidRPr="00276DCE">
        <w:rPr>
          <w:sz w:val="20"/>
          <w:szCs w:val="20"/>
        </w:rPr>
        <w:t xml:space="preserve">, </w:t>
      </w:r>
      <w:proofErr w:type="spellStart"/>
      <w:r w:rsidRPr="00276DCE">
        <w:rPr>
          <w:rStyle w:val="Emphasis"/>
          <w:rFonts w:eastAsiaTheme="majorEastAsia"/>
          <w:sz w:val="20"/>
          <w:szCs w:val="20"/>
        </w:rPr>
        <w:t>mtrR</w:t>
      </w:r>
      <w:proofErr w:type="spellEnd"/>
      <w:r w:rsidRPr="00276DCE">
        <w:rPr>
          <w:sz w:val="20"/>
          <w:szCs w:val="20"/>
        </w:rPr>
        <w:t xml:space="preserve">, and </w:t>
      </w:r>
      <w:proofErr w:type="spellStart"/>
      <w:r w:rsidRPr="00276DCE">
        <w:rPr>
          <w:rStyle w:val="Emphasis"/>
          <w:rFonts w:eastAsiaTheme="majorEastAsia"/>
          <w:sz w:val="20"/>
          <w:szCs w:val="20"/>
        </w:rPr>
        <w:t>porB</w:t>
      </w:r>
      <w:proofErr w:type="spellEnd"/>
      <w:r w:rsidRPr="00276DCE">
        <w:rPr>
          <w:sz w:val="20"/>
          <w:szCs w:val="20"/>
        </w:rPr>
        <w:t>. In contrast, ceftriaxone resistance (</w:t>
      </w:r>
      <w:proofErr w:type="spellStart"/>
      <w:r w:rsidRPr="00276DCE">
        <w:rPr>
          <w:sz w:val="20"/>
          <w:szCs w:val="20"/>
        </w:rPr>
        <w:t>cefR</w:t>
      </w:r>
      <w:proofErr w:type="spellEnd"/>
      <w:r w:rsidRPr="00276DCE">
        <w:rPr>
          <w:sz w:val="20"/>
          <w:szCs w:val="20"/>
        </w:rPr>
        <w:t xml:space="preserve">) typically involves mosaic </w:t>
      </w:r>
      <w:proofErr w:type="spellStart"/>
      <w:r w:rsidRPr="00276DCE">
        <w:rPr>
          <w:rStyle w:val="Emphasis"/>
          <w:rFonts w:eastAsiaTheme="majorEastAsia"/>
          <w:sz w:val="20"/>
          <w:szCs w:val="20"/>
        </w:rPr>
        <w:t>penA</w:t>
      </w:r>
      <w:proofErr w:type="spellEnd"/>
      <w:r w:rsidRPr="00276DCE">
        <w:rPr>
          <w:sz w:val="20"/>
          <w:szCs w:val="20"/>
        </w:rPr>
        <w:t xml:space="preserve"> alleles in combination with mutations in </w:t>
      </w:r>
      <w:proofErr w:type="spellStart"/>
      <w:r w:rsidRPr="00276DCE">
        <w:rPr>
          <w:rStyle w:val="Emphasis"/>
          <w:rFonts w:eastAsiaTheme="majorEastAsia"/>
          <w:sz w:val="20"/>
          <w:szCs w:val="20"/>
        </w:rPr>
        <w:t>mtrR</w:t>
      </w:r>
      <w:proofErr w:type="spellEnd"/>
      <w:r w:rsidRPr="00276DCE">
        <w:rPr>
          <w:sz w:val="20"/>
          <w:szCs w:val="20"/>
        </w:rPr>
        <w:t xml:space="preserve">, </w:t>
      </w:r>
      <w:proofErr w:type="spellStart"/>
      <w:r w:rsidRPr="00276DCE">
        <w:rPr>
          <w:rStyle w:val="Emphasis"/>
          <w:rFonts w:eastAsiaTheme="majorEastAsia"/>
          <w:sz w:val="20"/>
          <w:szCs w:val="20"/>
        </w:rPr>
        <w:t>porB</w:t>
      </w:r>
      <w:proofErr w:type="spellEnd"/>
      <w:r w:rsidRPr="00276DCE">
        <w:rPr>
          <w:sz w:val="20"/>
          <w:szCs w:val="20"/>
        </w:rPr>
        <w:t xml:space="preserve">, and other chromosomal sites. Although doxycycline resistance does not inherently confer ceftriaxone resistance, a strong genetic association between the two </w:t>
      </w:r>
      <w:r w:rsidRPr="00276DCE">
        <w:rPr>
          <w:color w:val="000000" w:themeColor="text1"/>
          <w:sz w:val="20"/>
          <w:szCs w:val="20"/>
        </w:rPr>
        <w:fldChar w:fldCharType="begin"/>
      </w:r>
      <w:r w:rsidR="00756FF7">
        <w:rPr>
          <w:color w:val="000000" w:themeColor="text1"/>
          <w:sz w:val="20"/>
          <w:szCs w:val="20"/>
        </w:rPr>
        <w:instrText xml:space="preserve"> ADDIN ZOTERO_ITEM CSL_CITATION {"citationID":"LPtE5kO1","properties":{"unsorted":false,"formattedCitation":"[2], [4], [9]","plainCitation":"[2], [4], [9]","noteIndex":0},"citationItems":[{"id":287,"uris":["http://zotero.org/users/9663344/items/UD4GZWU4"],"itemData":{"id":287,"type":"article-journal","container-title":"The Lancet Infectious Diseases","DOI":"10.1016/S1473-3099(23)00359-6","ISSN":"1473-3099, 1474-4457","issue":"8","journalAbbreviation":"The Lancet Infectious Diseases","language":"English","page":"e268-e269","PMID":"37321241","publisher":"Elsevier","source":"www.thelancet.com","title":"Selection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M."}],"issued":{"date-parts":[["2023",8,1]]}}},{"id":456,"uris":["http://zotero.org/users/9663344/items/MQALFG22"],"itemData":{"id":456,"type":"article-journal","container-title":"The Lancet Infectious Diseases","DOI":"10.1016/S1473-3099(25)00234-8","ISSN":"1473-3099, 1474-4457","issue":"6","journalAbbreviation":"The Lancet Infectious Diseases","language":"English","page":"e316","PMID":"40280141","publisher":"Elsevier","source":"www.thelancet.com","title":"Doxy-PEP could select for ceftriaxone resistance in Neisseria gonorrhoeae","volume":"25","author":[{"family":"Vanbaelen","given":"Thibaut"},{"family":"Manoharan-Basil","given":"Sheeba Santhini"},{"family":"Kenyon","given":"Chris"}],"issued":{"date-parts":[["2025",6,1]]}}},{"id":290,"uris":["http://zotero.org/users/9663344/items/I4BXMZGA"],"itemData":{"id":290,"type":"article-journal","abstract":"To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276DCE">
        <w:rPr>
          <w:color w:val="000000" w:themeColor="text1"/>
          <w:sz w:val="20"/>
          <w:szCs w:val="20"/>
        </w:rPr>
        <w:fldChar w:fldCharType="separate"/>
      </w:r>
      <w:r w:rsidR="00756FF7">
        <w:rPr>
          <w:noProof/>
          <w:color w:val="000000" w:themeColor="text1"/>
          <w:sz w:val="20"/>
          <w:szCs w:val="20"/>
        </w:rPr>
        <w:t>[2], [4], [9]</w:t>
      </w:r>
      <w:r w:rsidRPr="00276DCE">
        <w:rPr>
          <w:color w:val="000000" w:themeColor="text1"/>
          <w:sz w:val="20"/>
          <w:szCs w:val="20"/>
        </w:rPr>
        <w:fldChar w:fldCharType="end"/>
      </w:r>
      <w:r w:rsidRPr="00276DCE">
        <w:rPr>
          <w:color w:val="000000" w:themeColor="text1"/>
          <w:sz w:val="20"/>
          <w:szCs w:val="20"/>
        </w:rPr>
        <w:t xml:space="preserve"> </w:t>
      </w:r>
      <w:r w:rsidRPr="00276DCE">
        <w:rPr>
          <w:sz w:val="20"/>
          <w:szCs w:val="20"/>
        </w:rPr>
        <w:t xml:space="preserve">suggests that widespread doxycycline use, such as through doxy-PEP for syphilis, could expand the reservoir of tetracycline-resistant </w:t>
      </w:r>
      <w:r w:rsidRPr="00276DCE">
        <w:rPr>
          <w:rStyle w:val="Emphasis"/>
          <w:rFonts w:eastAsiaTheme="majorEastAsia"/>
          <w:sz w:val="20"/>
          <w:szCs w:val="20"/>
        </w:rPr>
        <w:t>N. gonorrhoeae</w:t>
      </w:r>
      <w:r w:rsidRPr="00276DCE">
        <w:rPr>
          <w:sz w:val="20"/>
          <w:szCs w:val="20"/>
        </w:rPr>
        <w:t xml:space="preserve"> strains </w:t>
      </w:r>
      <w:r w:rsidRPr="00276DCE">
        <w:rPr>
          <w:color w:val="000000" w:themeColor="text1"/>
          <w:sz w:val="20"/>
          <w:szCs w:val="20"/>
        </w:rPr>
        <w:fldChar w:fldCharType="begin"/>
      </w:r>
      <w:r w:rsidR="00756FF7">
        <w:rPr>
          <w:color w:val="000000" w:themeColor="text1"/>
          <w:sz w:val="20"/>
          <w:szCs w:val="20"/>
        </w:rPr>
        <w:instrText xml:space="preserve"> ADDIN ZOTERO_ITEM CSL_CITATION {"citationID":"pWXIJwpH","properties":{"formattedCitation":"[3]","plainCitation":"[3]","noteIndex":0},"citationItems":[{"id":292,"uris":["http://zotero.org/users/9663344/items/Z8FGKHK2"],"itemData":{"id":292,"type":"article-journal","container-title":"The Lancet Microbe","DOI":"10.1016/j.lanmic.2025.101222","ISSN":"2666-5247","issue":"0","journalAbbreviation":"The Lancet Microbe","language":"English","PMID":"40854317","publisher":"Elsevier","source":"www.thelancet.com","title":"Promise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[3]</w:t>
      </w:r>
      <w:r w:rsidRPr="00276DCE">
        <w:rPr>
          <w:color w:val="000000" w:themeColor="text1"/>
          <w:sz w:val="20"/>
          <w:szCs w:val="20"/>
        </w:rPr>
        <w:fldChar w:fldCharType="end"/>
      </w:r>
      <w:r w:rsidRPr="00276DCE">
        <w:rPr>
          <w:sz w:val="20"/>
          <w:szCs w:val="20"/>
        </w:rPr>
        <w:t xml:space="preserve">. This enlarged pool increases the likelihood that </w:t>
      </w:r>
      <w:proofErr w:type="spellStart"/>
      <w:r w:rsidRPr="00276DCE">
        <w:rPr>
          <w:sz w:val="20"/>
          <w:szCs w:val="20"/>
        </w:rPr>
        <w:t>cefR</w:t>
      </w:r>
      <w:proofErr w:type="spellEnd"/>
      <w:r w:rsidRPr="00276DCE">
        <w:rPr>
          <w:sz w:val="20"/>
          <w:szCs w:val="20"/>
        </w:rPr>
        <w:t xml:space="preserve"> mutations will arise within the </w:t>
      </w:r>
      <w:proofErr w:type="spellStart"/>
      <w:r w:rsidRPr="00276DCE">
        <w:rPr>
          <w:sz w:val="20"/>
          <w:szCs w:val="20"/>
        </w:rPr>
        <w:t>tetR</w:t>
      </w:r>
      <w:proofErr w:type="spellEnd"/>
      <w:r w:rsidRPr="00276DCE">
        <w:rPr>
          <w:sz w:val="20"/>
          <w:szCs w:val="20"/>
        </w:rPr>
        <w:t xml:space="preserve"> background or that dual-resistant (</w:t>
      </w:r>
      <w:proofErr w:type="spellStart"/>
      <w:r w:rsidRPr="00276DCE">
        <w:rPr>
          <w:sz w:val="20"/>
          <w:szCs w:val="20"/>
        </w:rPr>
        <w:t>tetR</w:t>
      </w:r>
      <w:proofErr w:type="spellEnd"/>
      <w:r w:rsidRPr="00276DCE">
        <w:rPr>
          <w:sz w:val="20"/>
          <w:szCs w:val="20"/>
        </w:rPr>
        <w:t xml:space="preserve"> + </w:t>
      </w:r>
      <w:proofErr w:type="spellStart"/>
      <w:r w:rsidRPr="00276DCE">
        <w:rPr>
          <w:sz w:val="20"/>
          <w:szCs w:val="20"/>
        </w:rPr>
        <w:t>cefR</w:t>
      </w:r>
      <w:proofErr w:type="spellEnd"/>
      <w:r w:rsidRPr="00276DCE">
        <w:rPr>
          <w:sz w:val="20"/>
          <w:szCs w:val="20"/>
        </w:rPr>
        <w:t xml:space="preserve">) strains will be co-selected. Consequently, while doxy-PEP may not directly drive ceftriaxone resistance, it could indirectly increase its emergence probability through expansion of the resistant strain population, given that there is decreased susceptibility to ceftriaxone </w:t>
      </w:r>
      <w:r w:rsidRPr="00276DCE">
        <w:rPr>
          <w:sz w:val="20"/>
          <w:szCs w:val="20"/>
        </w:rPr>
        <w:fldChar w:fldCharType="begin"/>
      </w:r>
      <w:r w:rsidR="00756FF7">
        <w:rPr>
          <w:sz w:val="20"/>
          <w:szCs w:val="20"/>
        </w:rPr>
        <w:instrText xml:space="preserve"> ADDIN ZOTERO_ITEM CSL_CITATION {"citationID":"4ZNUhmhJ","properties":{"formattedCitation":"[2]","plainCitation":"[2]","noteIndex":0},"citationItems":[{"id":287,"uris":["http://zotero.org/users/9663344/items/UD4GZWU4"],"itemData":{"id":287,"type":"article-journal","container-title":"The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Diseases","language":"English","page":"e268-e269","PMID":"37321241","publisher":"Elsevier","source":"www.thelancet.com","title":"Selection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sz w:val="20"/>
          <w:szCs w:val="20"/>
        </w:rPr>
        <w:fldChar w:fldCharType="separate"/>
      </w:r>
      <w:r w:rsidRPr="00276DCE">
        <w:rPr>
          <w:noProof/>
          <w:sz w:val="20"/>
          <w:szCs w:val="20"/>
        </w:rPr>
        <w:t>[2]</w:t>
      </w:r>
      <w:r w:rsidRPr="00276DCE">
        <w:rPr>
          <w:sz w:val="20"/>
          <w:szCs w:val="20"/>
        </w:rPr>
        <w:fldChar w:fldCharType="end"/>
      </w:r>
      <w:r w:rsidRPr="00276DCE">
        <w:rPr>
          <w:sz w:val="20"/>
          <w:szCs w:val="20"/>
        </w:rPr>
        <w:t>.</w:t>
      </w:r>
    </w:p>
    <w:p w14:paraId="2AFFBDF7" w14:textId="4BD98E2B" w:rsidR="00276DCE" w:rsidRPr="00276DCE" w:rsidRDefault="00276DCE" w:rsidP="00276DCE">
      <w:pPr>
        <w:pStyle w:val="NormalWeb"/>
        <w:spacing w:line="276" w:lineRule="auto"/>
        <w:jc w:val="both"/>
        <w:rPr>
          <w:sz w:val="20"/>
          <w:szCs w:val="20"/>
        </w:rPr>
      </w:pPr>
      <w:r w:rsidRPr="00276DCE">
        <w:rPr>
          <w:sz w:val="20"/>
          <w:szCs w:val="20"/>
        </w:rPr>
        <w:t xml:space="preserve">At the same time, the Four-Component Serogroup B Meningococcal (4CMenB) vaccine, originally developed against </w:t>
      </w:r>
      <w:r w:rsidRPr="00276DCE">
        <w:rPr>
          <w:rStyle w:val="Emphasis"/>
          <w:rFonts w:eastAsiaTheme="majorEastAsia"/>
          <w:sz w:val="20"/>
          <w:szCs w:val="20"/>
        </w:rPr>
        <w:t>Neisseria meningitidis</w:t>
      </w:r>
      <w:r w:rsidRPr="00276DCE">
        <w:rPr>
          <w:sz w:val="20"/>
          <w:szCs w:val="20"/>
        </w:rPr>
        <w:t xml:space="preserve">, has demonstrated partial cross-protection against </w:t>
      </w:r>
      <w:r w:rsidRPr="00276DCE">
        <w:rPr>
          <w:rStyle w:val="Emphasis"/>
          <w:rFonts w:eastAsiaTheme="majorEastAsia"/>
          <w:sz w:val="20"/>
          <w:szCs w:val="20"/>
        </w:rPr>
        <w:t>N. gonorrhoeae</w:t>
      </w:r>
      <w:r w:rsidRPr="00276DCE">
        <w:rPr>
          <w:sz w:val="20"/>
          <w:szCs w:val="20"/>
        </w:rPr>
        <w:t xml:space="preserve">, likely due to shared surface antigens </w:t>
      </w:r>
      <w:r w:rsidRPr="00276DCE">
        <w:rPr>
          <w:sz w:val="20"/>
          <w:szCs w:val="20"/>
        </w:rPr>
        <w:fldChar w:fldCharType="begin"/>
      </w:r>
      <w:r w:rsidR="00756FF7">
        <w:rPr>
          <w:sz w:val="20"/>
          <w:szCs w:val="20"/>
        </w:rPr>
        <w:instrText xml:space="preserve"> ADDIN ZOTERO_ITEM CSL_CITATION {"citationID":"qvdfD3iE","properties":{"formattedCitation":"[10], [11]","plainCitation":"[10], [11]","noteIndex":0},"citationItems":[{"id":152,"uris":["http://zotero.org/users/9663344/items/WHKA7ZDX"],"itemData":{"id":152,"type":"article-journal","abstract":"BACKGROUND: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Med","language":"eng","page":"e1004521","PMID":"39919143","PMCID":"PMC11805383","source":"PubMed","title":"Potential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76DCE">
        <w:rPr>
          <w:sz w:val="20"/>
          <w:szCs w:val="20"/>
        </w:rPr>
        <w:fldChar w:fldCharType="separate"/>
      </w:r>
      <w:r w:rsidR="00756FF7">
        <w:rPr>
          <w:noProof/>
          <w:sz w:val="20"/>
          <w:szCs w:val="20"/>
        </w:rPr>
        <w:t>[10], [11]</w:t>
      </w:r>
      <w:r w:rsidRPr="00276DCE">
        <w:rPr>
          <w:sz w:val="20"/>
          <w:szCs w:val="20"/>
        </w:rPr>
        <w:fldChar w:fldCharType="end"/>
      </w:r>
      <w:r w:rsidRPr="00276DCE">
        <w:rPr>
          <w:sz w:val="20"/>
          <w:szCs w:val="20"/>
        </w:rPr>
        <w:t xml:space="preserve">. Real-world data indicate that 4CMenB vaccination reduces gonorrhoea incidence by approximately 30-40% </w:t>
      </w:r>
      <w:r w:rsidRPr="00276DCE">
        <w:rPr>
          <w:sz w:val="20"/>
          <w:szCs w:val="20"/>
        </w:rPr>
        <w:fldChar w:fldCharType="begin"/>
      </w:r>
      <w:r w:rsidR="00756FF7">
        <w:rPr>
          <w:sz w:val="20"/>
          <w:szCs w:val="20"/>
        </w:rPr>
        <w:instrText xml:space="preserve"> ADDIN ZOTERO_ITEM CSL_CITATION {"citationID":"HPOzFcKr","properties":{"formattedCitation":"[12]","plainCitation":"[12]","noteIndex":0},"citationItems":[{"id":409,"uris":["http://zotero.org/users/9663344/items/S8TLUVMP"],"itemData":{"id":409,"type":"article-journal","container-title":"The Lancet Infectious Diseases","DOI":"10.1016/S1473-3099(24)00031-8","ISSN":"1473-3099, 1474-4457","issue":"9","journalAbbreviation":"The Lancet Infectious Diseases","language":"English","page":"e576-e583","PMID":"38521080","publisher":"Elsevier","source":"www.thelancet.com","title":"Use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276DCE">
        <w:rPr>
          <w:sz w:val="20"/>
          <w:szCs w:val="20"/>
        </w:rPr>
        <w:fldChar w:fldCharType="separate"/>
      </w:r>
      <w:r w:rsidR="00756FF7">
        <w:rPr>
          <w:noProof/>
          <w:sz w:val="20"/>
          <w:szCs w:val="20"/>
        </w:rPr>
        <w:t>[12]</w:t>
      </w:r>
      <w:r w:rsidRPr="00276DCE">
        <w:rPr>
          <w:sz w:val="20"/>
          <w:szCs w:val="20"/>
        </w:rPr>
        <w:fldChar w:fldCharType="end"/>
      </w:r>
      <w:r w:rsidRPr="00276DCE">
        <w:rPr>
          <w:sz w:val="20"/>
          <w:szCs w:val="20"/>
        </w:rPr>
        <w:t>. Incorporating 4CMenB into gonorrhoea prevention strategies is therefore critical, as its moderate protective effect could reduce both the incidence and transmission of antibiotic-resistant strains. Fewer infections overall would slow the spread of resistance, while reduced antibiotic treatment demand would lessen selection pressure for AMR development.</w:t>
      </w:r>
    </w:p>
    <w:p w14:paraId="30277E41" w14:textId="0857C241" w:rsidR="00276DCE" w:rsidRPr="00276DCE" w:rsidRDefault="00276DCE" w:rsidP="00276DCE">
      <w:pPr>
        <w:pStyle w:val="NormalWeb"/>
        <w:spacing w:line="276" w:lineRule="auto"/>
        <w:jc w:val="both"/>
        <w:rPr>
          <w:sz w:val="20"/>
          <w:szCs w:val="20"/>
        </w:rPr>
      </w:pPr>
      <w:r w:rsidRPr="00276DCE">
        <w:rPr>
          <w:sz w:val="20"/>
          <w:szCs w:val="20"/>
        </w:rPr>
        <w:t xml:space="preserve">Although previous modelling studies have shown that antibiotic exposure can accelerate AMR </w:t>
      </w:r>
      <w:r w:rsidRPr="00276DCE">
        <w:rPr>
          <w:color w:val="000000" w:themeColor="text1"/>
          <w:sz w:val="20"/>
          <w:szCs w:val="20"/>
          <w:shd w:val="clear" w:color="auto" w:fill="FFFFFF"/>
        </w:rPr>
        <w:fldChar w:fldCharType="begin"/>
      </w:r>
      <w:r w:rsidR="00756FF7">
        <w:rPr>
          <w:color w:val="000000" w:themeColor="text1"/>
          <w:sz w:val="20"/>
          <w:szCs w:val="20"/>
          <w:shd w:val="clear" w:color="auto" w:fill="FFFFFF"/>
        </w:rPr>
        <w:instrText xml:space="preserve"> ADDIN ZOTERO_ITEM CSL_CITATION {"citationID":"izu2g4UO","properties":{"formattedCitation":"[13], [14], [15]","plainCitation":"[13], [14], [15]","noteIndex":0},"citationItems":[{"id":174,"uris":["http://zotero.org/users/9663344/items/9QGBX5LM"],"itemData":{"id":174,"type":"article-journal","abstract":"Mathematical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Dis","page":"1141-1149","PMID":"28968710","PMCID":"PMC5853443","source":"PubMed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276DCE">
        <w:rPr>
          <w:color w:val="000000" w:themeColor="text1"/>
          <w:sz w:val="20"/>
          <w:szCs w:val="20"/>
          <w:shd w:val="clear" w:color="auto" w:fill="FFFFFF"/>
        </w:rPr>
        <w:fldChar w:fldCharType="separate"/>
      </w:r>
      <w:r w:rsidR="00756FF7">
        <w:rPr>
          <w:noProof/>
          <w:color w:val="000000" w:themeColor="text1"/>
          <w:sz w:val="20"/>
          <w:szCs w:val="20"/>
          <w:shd w:val="clear" w:color="auto" w:fill="FFFFFF"/>
        </w:rPr>
        <w:t>[13], [14], [15]</w:t>
      </w:r>
      <w:r w:rsidRPr="00276DCE">
        <w:rPr>
          <w:color w:val="000000" w:themeColor="text1"/>
          <w:sz w:val="20"/>
          <w:szCs w:val="20"/>
          <w:shd w:val="clear" w:color="auto" w:fill="FFFFFF"/>
        </w:rPr>
        <w:fldChar w:fldCharType="end"/>
      </w:r>
      <w:r w:rsidRPr="00276DCE">
        <w:rPr>
          <w:color w:val="000000" w:themeColor="text1"/>
          <w:sz w:val="20"/>
          <w:szCs w:val="20"/>
          <w:shd w:val="clear" w:color="auto" w:fill="FFFFFF"/>
        </w:rPr>
        <w:t xml:space="preserve"> while vaccination can ameliorate AMR </w:t>
      </w:r>
      <w:r w:rsidRPr="00276DCE">
        <w:rPr>
          <w:sz w:val="20"/>
          <w:szCs w:val="20"/>
        </w:rPr>
        <w:t xml:space="preserve">in </w:t>
      </w:r>
      <w:r w:rsidRPr="00276DCE">
        <w:rPr>
          <w:rStyle w:val="Emphasis"/>
          <w:rFonts w:eastAsiaTheme="majorEastAsia"/>
          <w:sz w:val="20"/>
          <w:szCs w:val="20"/>
        </w:rPr>
        <w:t>N. gonorrhoeae</w:t>
      </w:r>
      <w:r w:rsidRPr="00276DCE">
        <w:rPr>
          <w:sz w:val="20"/>
          <w:szCs w:val="20"/>
        </w:rPr>
        <w:t xml:space="preserve"> </w:t>
      </w:r>
      <w:r w:rsidRPr="00276DCE">
        <w:rPr>
          <w:sz w:val="20"/>
          <w:szCs w:val="20"/>
        </w:rPr>
        <w:fldChar w:fldCharType="begin"/>
      </w:r>
      <w:r w:rsidR="00756FF7">
        <w:rPr>
          <w:sz w:val="20"/>
          <w:szCs w:val="20"/>
        </w:rPr>
        <w:instrText xml:space="preserve"> ADDIN ZOTERO_ITEM CSL_CITATION {"citationID":"Jf1aabV3","properties":{"formattedCitation":"[16], [17]","plainCitation":"[16], [17]","noteIndex":0},"citationItems":[{"id":297,"uris":["http://zotero.org/users/9663344/items/KC9H5ARD"],"itemData":{"id":297,"type":"article-journal","abstract":"Gonorrhea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Pr="00276DCE">
        <w:rPr>
          <w:sz w:val="20"/>
          <w:szCs w:val="20"/>
        </w:rPr>
        <w:fldChar w:fldCharType="separate"/>
      </w:r>
      <w:r w:rsidR="00756FF7">
        <w:rPr>
          <w:noProof/>
          <w:sz w:val="20"/>
          <w:szCs w:val="20"/>
        </w:rPr>
        <w:t>[16], [17]</w:t>
      </w:r>
      <w:r w:rsidRPr="00276DCE">
        <w:rPr>
          <w:sz w:val="20"/>
          <w:szCs w:val="20"/>
        </w:rPr>
        <w:fldChar w:fldCharType="end"/>
      </w:r>
      <w:r w:rsidRPr="00276DCE">
        <w:rPr>
          <w:color w:val="000000" w:themeColor="text1"/>
          <w:sz w:val="20"/>
          <w:szCs w:val="20"/>
          <w:shd w:val="clear" w:color="auto" w:fill="FFFFFF"/>
        </w:rPr>
        <w:t xml:space="preserve">, </w:t>
      </w:r>
      <w:r w:rsidRPr="00276DCE">
        <w:rPr>
          <w:sz w:val="20"/>
          <w:szCs w:val="20"/>
        </w:rPr>
        <w:t>important uncertainties remain. These include the rate at which dual-resistant strains may emerge, the extent to which doxy-PEP for syphilis use among high-risk populations alters strain dynamics, and whether increased doxycycline use is counterbalanced by reduced gonorrhoea treatment demand. Furthermore, it remains unclear whether population-level doxy-PEP rollout will cause a sustained rise in tetracycline-resistant gonorrhoea and whether concurrent vaccination could mitigate this risk.</w:t>
      </w:r>
    </w:p>
    <w:p w14:paraId="76234F10" w14:textId="48E7F5B9" w:rsidR="00276DCE" w:rsidRPr="00276DCE" w:rsidRDefault="00276DCE" w:rsidP="00276DCE">
      <w:pPr>
        <w:pStyle w:val="NormalWeb"/>
        <w:spacing w:line="276" w:lineRule="auto"/>
        <w:jc w:val="both"/>
        <w:rPr>
          <w:sz w:val="20"/>
          <w:szCs w:val="20"/>
        </w:rPr>
      </w:pPr>
      <w:r w:rsidRPr="00276DCE">
        <w:rPr>
          <w:sz w:val="20"/>
          <w:szCs w:val="20"/>
        </w:rPr>
        <w:t xml:space="preserve">Given these uncertainties, this chapter aims to investigate how doxy-PEP for syphilis prevention may exacerbate the spread of doxycycline-resistant and dual-resistant </w:t>
      </w:r>
      <w:r w:rsidRPr="00276DCE">
        <w:rPr>
          <w:rStyle w:val="Emphasis"/>
          <w:rFonts w:eastAsiaTheme="majorEastAsia"/>
          <w:sz w:val="20"/>
          <w:szCs w:val="20"/>
        </w:rPr>
        <w:t>N. gonorrhoeae</w:t>
      </w:r>
      <w:r w:rsidRPr="00276DCE">
        <w:rPr>
          <w:sz w:val="20"/>
          <w:szCs w:val="20"/>
        </w:rPr>
        <w:t xml:space="preserve"> strains, particularly in the context of the already high prevalence of tetracycline resistance </w:t>
      </w:r>
      <w:r w:rsidRPr="00276DCE">
        <w:rPr>
          <w:sz w:val="20"/>
          <w:szCs w:val="20"/>
        </w:rPr>
        <w:fldChar w:fldCharType="begin"/>
      </w:r>
      <w:r w:rsidR="00756FF7">
        <w:rPr>
          <w:sz w:val="20"/>
          <w:szCs w:val="20"/>
        </w:rPr>
        <w:instrText xml:space="preserve"> ADDIN ZOTERO_ITEM CSL_CITATION {"citationID":"bWgM7jis","properties":{"formattedCitation":"[18]","plainCitation":"[18]","noteIndex":0},"citationItems":[{"id":408,"uris":["http://zotero.org/users/9663344/items/PRBSX5RW"],"itemData":{"id":408,"type":"article-journal","container-title":"International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00756FF7">
        <w:rPr>
          <w:noProof/>
          <w:sz w:val="20"/>
          <w:szCs w:val="20"/>
        </w:rPr>
        <w:t>[18]</w:t>
      </w:r>
      <w:r w:rsidRPr="00276DCE">
        <w:rPr>
          <w:sz w:val="20"/>
          <w:szCs w:val="20"/>
        </w:rPr>
        <w:fldChar w:fldCharType="end"/>
      </w:r>
      <w:r w:rsidRPr="00276DCE">
        <w:rPr>
          <w:sz w:val="20"/>
          <w:szCs w:val="20"/>
        </w:rPr>
        <w:t xml:space="preserve">, among men who have sex with men (MSM). We also evaluate how widespread implementation of 4CMenB vaccination could mitigate AMR emergence and offset the evolutionary risks introduced by doxy-PEP use for syphilis. To this end, we develop a strain-specific mathematical model to project the long-term AMR dynamics of </w:t>
      </w:r>
      <w:r w:rsidRPr="00276DCE">
        <w:rPr>
          <w:rStyle w:val="Emphasis"/>
          <w:rFonts w:eastAsiaTheme="majorEastAsia"/>
          <w:sz w:val="20"/>
          <w:szCs w:val="20"/>
        </w:rPr>
        <w:t>N. gonorrhoeae</w:t>
      </w:r>
      <w:r w:rsidRPr="00276DCE">
        <w:rPr>
          <w:sz w:val="20"/>
          <w:szCs w:val="20"/>
        </w:rPr>
        <w:t xml:space="preserve"> under varying levels of doxy-PEP uptake and 4CMenB coverage. We hypothesize that while widespread doxy-PEP use for syphilis prevention will accelerate the emergence of tetracycline resistance, co-implementation of 4CMenB could substantially reduce both gonorrhoea incidence and AMR spread, thereby providing a potential strategy to balance the prophylactic benefits of doxy-PEP against its evolutionary risks.</w:t>
      </w:r>
    </w:p>
    <w:p w14:paraId="482AFC20" w14:textId="77777777" w:rsidR="00276DCE" w:rsidRPr="00276DCE" w:rsidRDefault="00276DCE" w:rsidP="00276DCE">
      <w:pPr>
        <w:pStyle w:val="NormalWeb"/>
        <w:spacing w:line="276" w:lineRule="auto"/>
        <w:jc w:val="both"/>
        <w:rPr>
          <w:sz w:val="20"/>
          <w:szCs w:val="20"/>
        </w:rPr>
        <w:sectPr w:rsidR="00276DCE" w:rsidRPr="00276DCE" w:rsidSect="00276DCE">
          <w:pgSz w:w="11910" w:h="16840"/>
          <w:pgMar w:top="1582" w:right="1418" w:bottom="958" w:left="1418" w:header="0" w:footer="760" w:gutter="170"/>
          <w:cols w:space="720"/>
          <w:docGrid w:linePitch="360"/>
        </w:sectPr>
      </w:pPr>
    </w:p>
    <w:p w14:paraId="2281CD9D" w14:textId="40BD9292" w:rsidR="006B751E" w:rsidRDefault="00B71524" w:rsidP="006B751E">
      <w:pPr>
        <w:pStyle w:val="NormalWeb"/>
        <w:spacing w:line="276" w:lineRule="auto"/>
        <w:jc w:val="center"/>
        <w:rPr>
          <w:sz w:val="20"/>
          <w:szCs w:val="20"/>
        </w:rPr>
      </w:pPr>
      <w:r>
        <w:rPr>
          <w:noProof/>
          <w:sz w:val="20"/>
          <w:szCs w:val="20"/>
          <w14:ligatures w14:val="standardContextual"/>
        </w:rPr>
        <w:lastRenderedPageBreak/>
        <w:drawing>
          <wp:inline distT="0" distB="0" distL="0" distR="0" wp14:anchorId="43ACC314" wp14:editId="292FE322">
            <wp:extent cx="3438371" cy="4572000"/>
            <wp:effectExtent l="0" t="0" r="3810" b="0"/>
            <wp:docPr id="183068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2738" name="Picture 1830682738"/>
                    <pic:cNvPicPr/>
                  </pic:nvPicPr>
                  <pic:blipFill>
                    <a:blip r:embed="rId8"/>
                    <a:stretch>
                      <a:fillRect/>
                    </a:stretch>
                  </pic:blipFill>
                  <pic:spPr>
                    <a:xfrm>
                      <a:off x="0" y="0"/>
                      <a:ext cx="3438371" cy="4572000"/>
                    </a:xfrm>
                    <a:prstGeom prst="rect">
                      <a:avLst/>
                    </a:prstGeom>
                  </pic:spPr>
                </pic:pic>
              </a:graphicData>
            </a:graphic>
          </wp:inline>
        </w:drawing>
      </w:r>
    </w:p>
    <w:p w14:paraId="42CE73F8" w14:textId="0D9958A9" w:rsidR="001725A7" w:rsidRDefault="009701A4" w:rsidP="009701A4">
      <w:pPr>
        <w:pStyle w:val="NormalWeb"/>
        <w:spacing w:line="276" w:lineRule="auto"/>
        <w:jc w:val="both"/>
        <w:rPr>
          <w:sz w:val="20"/>
          <w:szCs w:val="20"/>
        </w:rPr>
        <w:sectPr w:rsidR="001725A7" w:rsidSect="00276DCE">
          <w:pgSz w:w="16838" w:h="11906" w:orient="landscape"/>
          <w:pgMar w:top="1440" w:right="1440" w:bottom="1440" w:left="1440" w:header="708" w:footer="708" w:gutter="0"/>
          <w:cols w:space="708"/>
          <w:docGrid w:linePitch="360"/>
        </w:sectPr>
      </w:pPr>
      <w:r>
        <w:rPr>
          <w:sz w:val="20"/>
          <w:szCs w:val="20"/>
        </w:rPr>
        <w:t xml:space="preserve">Fig. 1: </w:t>
      </w:r>
      <w:r w:rsidR="008925D7">
        <w:rPr>
          <w:sz w:val="20"/>
          <w:szCs w:val="20"/>
        </w:rPr>
        <w:t>Strain-specific g</w:t>
      </w:r>
      <w:r>
        <w:rPr>
          <w:sz w:val="20"/>
          <w:szCs w:val="20"/>
        </w:rPr>
        <w:t>onorrhoea transmission model.</w:t>
      </w:r>
    </w:p>
    <w:p w14:paraId="2160432B" w14:textId="40C686AC" w:rsidR="00F9466C" w:rsidRPr="00F9466C" w:rsidRDefault="00F9466C" w:rsidP="00B26C1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lastRenderedPageBreak/>
        <w:t>Compartmental model equations</w:t>
      </w:r>
    </w:p>
    <w:p w14:paraId="3426AA3D" w14:textId="2E52B261" w:rsidR="00B26C1F" w:rsidRPr="00354E6D" w:rsidRDefault="00000000" w:rsidP="00B26C1F">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m:rPr>
              <m:sty m:val="p"/>
            </m:rPr>
            <w:rPr>
              <w:rFonts w:ascii="Cambria Math" w:hAnsi="Cambria Math"/>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516BC5A3" w14:textId="1DD7C86A" w:rsidR="001725A7" w:rsidRPr="0053170E" w:rsidRDefault="001725A7" w:rsidP="001725A7">
      <w:pPr>
        <w:spacing w:line="276" w:lineRule="auto"/>
        <w:jc w:val="both"/>
        <w:rPr>
          <w:rFonts w:ascii="Times New Roman" w:hAnsi="Times New Roman" w:cs="Times New Roman"/>
          <w:sz w:val="20"/>
          <w:szCs w:val="20"/>
        </w:rPr>
      </w:pPr>
      <w:r w:rsidRPr="0053170E">
        <w:rPr>
          <w:rFonts w:ascii="Times New Roman" w:hAnsi="Times New Roman" w:cs="Times New Roman"/>
          <w:sz w:val="20"/>
          <w:szCs w:val="20"/>
        </w:rPr>
        <w:t>In August 2025, England launched the 4CMenB (Bexsero) vaccination programme aimed at reducing gonorrhoea transmission</w:t>
      </w:r>
      <w:r>
        <w:rPr>
          <w:rFonts w:ascii="Times New Roman" w:hAnsi="Times New Roman" w:cs="Times New Roman"/>
          <w:sz w:val="20"/>
          <w:szCs w:val="20"/>
        </w:rPr>
        <w:t xml:space="preserve"> </w:t>
      </w:r>
      <w:r>
        <w:rPr>
          <w:rFonts w:ascii="Times New Roman" w:hAnsi="Times New Roman" w:cs="Times New Roman"/>
          <w:sz w:val="20"/>
          <w:szCs w:val="20"/>
        </w:rPr>
        <w:fldChar w:fldCharType="begin"/>
      </w:r>
      <w:r w:rsidR="00756FF7">
        <w:rPr>
          <w:rFonts w:ascii="Times New Roman" w:hAnsi="Times New Roman" w:cs="Times New Roman"/>
          <w:sz w:val="20"/>
          <w:szCs w:val="20"/>
        </w:rPr>
        <w:instrText xml:space="preserve"> ADDIN ZOTERO_ITEM CSL_CITATION {"citationID":"YQ6AUtSF","properties":{"formattedCitation":"[19]","plainCitation":"[19]","noteIndex":0},"citationItems":[{"id":437,"uris":["http://zotero.org/users/9663344/items/6QKYAFY5"],"itemData":{"id":437,"type":"webpage","container-title":"UK Health Security Agency","language":"en","title":"GRASP report: data to September 2025","title-short":"GRASP report","URL":"https://www.gov.uk/government/publications/gonococcal-resistance-to-antimicrobials-surveillance-programme-grasp-report/grasp-report-data-to-september-2025","accessed":{"date-parts":[["2025",11,20]]}}}],"schema":"https://github.com/citation-style-language/schema/raw/master/csl-citation.json"} </w:instrText>
      </w:r>
      <w:r>
        <w:rPr>
          <w:rFonts w:ascii="Times New Roman" w:hAnsi="Times New Roman" w:cs="Times New Roman"/>
          <w:sz w:val="20"/>
          <w:szCs w:val="20"/>
        </w:rPr>
        <w:fldChar w:fldCharType="separate"/>
      </w:r>
      <w:r w:rsidR="00756FF7">
        <w:rPr>
          <w:rFonts w:ascii="Times New Roman" w:hAnsi="Times New Roman" w:cs="Times New Roman"/>
          <w:noProof/>
          <w:sz w:val="20"/>
          <w:szCs w:val="20"/>
        </w:rPr>
        <w:t>[19]</w:t>
      </w:r>
      <w:r>
        <w:rPr>
          <w:rFonts w:ascii="Times New Roman" w:hAnsi="Times New Roman" w:cs="Times New Roman"/>
          <w:sz w:val="20"/>
          <w:szCs w:val="20"/>
        </w:rPr>
        <w:fldChar w:fldCharType="end"/>
      </w:r>
      <w:r w:rsidRPr="0053170E">
        <w:rPr>
          <w:rFonts w:ascii="Times New Roman" w:hAnsi="Times New Roman" w:cs="Times New Roman"/>
          <w:sz w:val="20"/>
          <w:szCs w:val="20"/>
        </w:rPr>
        <w:t>. The vaccine is recommended primarily for gay, bisexual, and other men who have sex with men (GBMSM) who are at elevated risk</w:t>
      </w:r>
      <w:r>
        <w:rPr>
          <w:rFonts w:ascii="Times New Roman" w:hAnsi="Times New Roman" w:cs="Times New Roman"/>
          <w:sz w:val="20"/>
          <w:szCs w:val="20"/>
        </w:rPr>
        <w:t xml:space="preserve"> - </w:t>
      </w:r>
      <w:r w:rsidRPr="0053170E">
        <w:rPr>
          <w:rFonts w:ascii="Times New Roman" w:hAnsi="Times New Roman" w:cs="Times New Roman"/>
          <w:sz w:val="20"/>
          <w:szCs w:val="20"/>
        </w:rPr>
        <w:t>specifically, individuals with a bacterial STI in the past year or those reporting five or more sexual partners within the previous three months.</w:t>
      </w:r>
    </w:p>
    <w:p w14:paraId="3CF9654F" w14:textId="402153E6" w:rsidR="00373D9B" w:rsidRPr="002D7CDC" w:rsidRDefault="00373D9B" w:rsidP="00373D9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t xml:space="preserve">We compared the observed annual number of </w:t>
      </w:r>
      <w:r>
        <w:rPr>
          <w:rFonts w:ascii="Times New Roman" w:hAnsi="Times New Roman" w:cs="Times New Roman"/>
          <w:color w:val="000000"/>
          <w:sz w:val="20"/>
          <w:szCs w:val="20"/>
          <w:lang w:val="en-GB"/>
        </w:rPr>
        <w:t xml:space="preserve">gonorrhoea tests and </w:t>
      </w:r>
      <w:r w:rsidRPr="002D7CDC">
        <w:rPr>
          <w:rFonts w:ascii="Times New Roman" w:hAnsi="Times New Roman" w:cs="Times New Roman"/>
          <w:color w:val="000000"/>
          <w:sz w:val="20"/>
          <w:szCs w:val="20"/>
          <w:lang w:val="en-GB"/>
        </w:rPr>
        <w:t>diagnoses</w:t>
      </w:r>
      <w:r w:rsidR="00BF327B">
        <w:rPr>
          <w:rFonts w:ascii="Times New Roman" w:hAnsi="Times New Roman" w:cs="Times New Roman"/>
          <w:color w:val="000000"/>
          <w:sz w:val="20"/>
          <w:szCs w:val="20"/>
          <w:lang w:val="en-GB"/>
        </w:rPr>
        <w:t xml:space="preserve"> in the </w:t>
      </w:r>
      <w:r w:rsidR="00A21F28" w:rsidRPr="00A21F28">
        <w:rPr>
          <w:rFonts w:ascii="Times New Roman" w:hAnsi="Times New Roman" w:cs="Times New Roman"/>
          <w:color w:val="000000"/>
          <w:sz w:val="20"/>
          <w:szCs w:val="20"/>
        </w:rPr>
        <w:t>Genitourinary Medicine Clinic Activity Dataset</w:t>
      </w:r>
      <w:r w:rsidR="00A21F28" w:rsidRPr="00A21F28">
        <w:rPr>
          <w:rFonts w:ascii="Times New Roman" w:hAnsi="Times New Roman" w:cs="Times New Roman"/>
          <w:color w:val="000000"/>
          <w:sz w:val="20"/>
          <w:szCs w:val="20"/>
          <w:lang w:val="en-GB"/>
        </w:rPr>
        <w:t xml:space="preserve"> </w:t>
      </w:r>
      <w:r w:rsidR="00A21F28">
        <w:rPr>
          <w:rFonts w:ascii="Times New Roman" w:hAnsi="Times New Roman" w:cs="Times New Roman"/>
          <w:color w:val="000000"/>
          <w:sz w:val="20"/>
          <w:szCs w:val="20"/>
          <w:lang w:val="en-GB"/>
        </w:rPr>
        <w:t>(</w:t>
      </w:r>
      <w:r w:rsidR="00BF327B">
        <w:rPr>
          <w:rFonts w:ascii="Times New Roman" w:hAnsi="Times New Roman" w:cs="Times New Roman"/>
          <w:color w:val="000000"/>
          <w:sz w:val="20"/>
          <w:szCs w:val="20"/>
          <w:lang w:val="en-GB"/>
        </w:rPr>
        <w:t>GUMCAD</w:t>
      </w:r>
      <w:r w:rsidR="00A21F28">
        <w:rPr>
          <w:rFonts w:ascii="Times New Roman" w:hAnsi="Times New Roman" w:cs="Times New Roman"/>
          <w:color w:val="000000"/>
          <w:sz w:val="20"/>
          <w:szCs w:val="20"/>
          <w:lang w:val="en-GB"/>
        </w:rPr>
        <w:t>)</w:t>
      </w:r>
      <w:r w:rsidR="00BF327B">
        <w:rPr>
          <w:rFonts w:ascii="Times New Roman" w:hAnsi="Times New Roman" w:cs="Times New Roman"/>
          <w:color w:val="000000"/>
          <w:sz w:val="20"/>
          <w:szCs w:val="20"/>
          <w:lang w:val="en-GB"/>
        </w:rPr>
        <w:t xml:space="preserve"> sample</w:t>
      </w:r>
      <w:r>
        <w:rPr>
          <w:rFonts w:ascii="Times New Roman" w:hAnsi="Times New Roman" w:cs="Times New Roman"/>
          <w:color w:val="000000"/>
          <w:sz w:val="20"/>
          <w:szCs w:val="20"/>
          <w:lang w:val="en-GB"/>
        </w:rPr>
        <w:t>,</w:t>
      </w:r>
      <w:r w:rsidRPr="00373D9B">
        <w:rPr>
          <w:rFonts w:ascii="Cambria Math" w:hAnsi="Cambria Math" w:cs="Times New Roman"/>
          <w:i/>
          <w:color w:val="0D0D0D"/>
          <w:sz w:val="20"/>
          <w:szCs w:val="20"/>
          <w:shd w:val="clear" w:color="auto" w:fill="FFFFFF"/>
          <w:lang w:val="en-US"/>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373D9B">
        <w:rPr>
          <w:rFonts w:ascii="Times New Roman" w:hAnsi="Times New Roman" w:cs="Times New Roman"/>
          <w:iCs/>
          <w:color w:val="0D0D0D"/>
          <w:sz w:val="20"/>
          <w:szCs w:val="20"/>
          <w:shd w:val="clear" w:color="auto" w:fill="FFFFFF"/>
          <w:lang w:val="en-US"/>
        </w:rPr>
        <w:t>,</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w:t>
      </w:r>
      <w:r w:rsidRPr="002D7CDC">
        <w:rPr>
          <w:rFonts w:ascii="Times New Roman" w:hAnsi="Times New Roman" w:cs="Times New Roman"/>
          <w:color w:val="0D0D0D"/>
          <w:sz w:val="20"/>
          <w:szCs w:val="20"/>
          <w:shd w:val="clear" w:color="auto" w:fill="FFFFFF"/>
          <w:lang w:val="en-US"/>
        </w:rPr>
        <w:t xml:space="preserve"> </w:t>
      </w:r>
      <w:r w:rsidRPr="002D7CDC">
        <w:rPr>
          <w:rFonts w:ascii="Times New Roman" w:hAnsi="Times New Roman" w:cs="Times New Roman"/>
          <w:color w:val="000000"/>
          <w:sz w:val="20"/>
          <w:szCs w:val="20"/>
          <w:lang w:val="en-GB"/>
        </w:rPr>
        <w:t>with those predicted by our model</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w:t>
      </w:r>
      <w:r w:rsidRPr="002D7CDC">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2D7CDC">
        <w:rPr>
          <w:rFonts w:ascii="Times New Roman" w:hAnsi="Times New Roman" w:cs="Times New Roman"/>
          <w:color w:val="000000"/>
          <w:sz w:val="20"/>
          <w:szCs w:val="20"/>
          <w:lang w:val="en-GB"/>
        </w:rPr>
        <w:t xml:space="preserve"> using Negative-Binomial likelihoods to allow for over-dispersion in the observation process relative to a Poisson distribution.</w:t>
      </w:r>
      <w:r w:rsidRPr="002D7CDC">
        <w:rPr>
          <w:rFonts w:ascii="Times New Roman" w:hAnsi="Times New Roman" w:cs="Times New Roman"/>
          <w:sz w:val="20"/>
          <w:szCs w:val="20"/>
        </w:rPr>
        <w:t xml:space="preserve"> If </w:t>
      </w:r>
      <m:oMath>
        <m:r>
          <w:rPr>
            <w:rFonts w:ascii="Cambria Math" w:hAnsi="Cambria Math" w:cs="Times New Roman"/>
            <w:sz w:val="20"/>
            <w:szCs w:val="20"/>
          </w:rPr>
          <m:t>X</m:t>
        </m:r>
      </m:oMath>
      <w:r w:rsidRPr="002D7CDC">
        <w:rPr>
          <w:rFonts w:ascii="Times New Roman" w:hAnsi="Times New Roman" w:cs="Times New Roman"/>
          <w:sz w:val="20"/>
          <w:szCs w:val="20"/>
        </w:rPr>
        <w:t xml:space="preserve"> </w:t>
      </w:r>
      <w:r w:rsidRPr="002D7CDC">
        <w:rPr>
          <w:rFonts w:ascii="Cambria Math" w:hAnsi="Cambria Math" w:cs="Cambria Math"/>
          <w:sz w:val="20"/>
          <w:szCs w:val="20"/>
        </w:rPr>
        <w:t>∼</w:t>
      </w:r>
      <w:r w:rsidRPr="002D7CDC">
        <w:rPr>
          <w:rFonts w:ascii="Times New Roman" w:hAnsi="Times New Roman" w:cs="Times New Roman"/>
          <w:sz w:val="20"/>
          <w:szCs w:val="20"/>
        </w:rPr>
        <w:t xml:space="preserve"> </w:t>
      </w:r>
      <w:proofErr w:type="spellStart"/>
      <w:r w:rsidRPr="002D7CDC">
        <w:rPr>
          <w:rFonts w:ascii="Times New Roman" w:hAnsi="Times New Roman" w:cs="Times New Roman"/>
          <w:sz w:val="20"/>
          <w:szCs w:val="20"/>
        </w:rPr>
        <w:t>NegBinom</w:t>
      </w:r>
      <w:proofErr w:type="spellEnd"/>
      <w:r w:rsidRPr="002D7CDC">
        <w:rPr>
          <w:rFonts w:ascii="Times New Roman" w:hAnsi="Times New Roman" w:cs="Times New Roman"/>
          <w:sz w:val="20"/>
          <w:szCs w:val="20"/>
        </w:rPr>
        <w:t>(</w:t>
      </w:r>
      <m:oMath>
        <m:r>
          <w:rPr>
            <w:rFonts w:ascii="Cambria Math" w:hAnsi="Cambria Math" w:cs="Times New Roman"/>
            <w:color w:val="0D0D0D"/>
            <w:sz w:val="20"/>
            <w:szCs w:val="20"/>
            <w:shd w:val="clear" w:color="auto" w:fill="FFFFFF"/>
            <w:lang w:val="en-US"/>
          </w:rPr>
          <m:t>m</m:t>
        </m:r>
      </m:oMath>
      <w:r w:rsidRPr="002D7CDC">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xml:space="preserve">), with mean </w:t>
      </w:r>
      <m:oMath>
        <m:r>
          <w:rPr>
            <w:rFonts w:ascii="Cambria Math" w:hAnsi="Cambria Math" w:cs="Times New Roman"/>
            <w:color w:val="0D0D0D"/>
            <w:sz w:val="20"/>
            <w:szCs w:val="20"/>
            <w:shd w:val="clear" w:color="auto" w:fill="FFFFFF"/>
            <w:lang w:val="en-US"/>
          </w:rPr>
          <m:t>m</m:t>
        </m:r>
      </m:oMath>
      <w:r w:rsidRPr="002D7CDC">
        <w:rPr>
          <w:rFonts w:ascii="Times New Roman" w:hAnsi="Times New Roman" w:cs="Times New Roman"/>
          <w:sz w:val="20"/>
          <w:szCs w:val="20"/>
        </w:rPr>
        <w:t xml:space="preserve"> and shape parameter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then:</w:t>
      </w:r>
    </w:p>
    <w:p w14:paraId="46B06941" w14:textId="708657CA" w:rsidR="00373D9B" w:rsidRPr="002D7CDC" w:rsidRDefault="00000000" w:rsidP="00373D9B">
      <w:pPr>
        <w:pStyle w:val="ListParagraph"/>
        <w:spacing w:line="276" w:lineRule="auto"/>
        <w:jc w:val="both"/>
        <w:rPr>
          <w:rFonts w:ascii="Times New Roman" w:hAnsi="Times New Roman" w:cs="Times New Roman"/>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X</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x</m:t>
                  </m:r>
                </m:e>
                <m:e>
                  <m:r>
                    <w:rPr>
                      <w:rFonts w:ascii="Cambria Math" w:hAnsi="Cambria Math" w:cs="Times New Roman"/>
                      <w:color w:val="0D0D0D"/>
                      <w:sz w:val="20"/>
                      <w:szCs w:val="20"/>
                      <w:shd w:val="clear" w:color="auto" w:fill="FFFFFF"/>
                      <w:lang w:val="en-US"/>
                    </w:rPr>
                    <m:t>m,κ</m:t>
                  </m:r>
                </m:e>
              </m:d>
              <m:r>
                <w:rPr>
                  <w:rFonts w:ascii="Cambria Math" w:hAnsi="Cambria Math" w:cs="Times New Roman"/>
                  <w:color w:val="0D0D0D"/>
                  <w:sz w:val="20"/>
                  <w:szCs w:val="20"/>
                  <w:shd w:val="clear" w:color="auto" w:fill="FFFFFF"/>
                  <w:lang w:val="en-US"/>
                </w:rPr>
                <m:t>=</m:t>
              </m:r>
              <m:f>
                <m:fPr>
                  <m:ctrlPr>
                    <w:rPr>
                      <w:rFonts w:ascii="Cambria Math" w:hAnsi="Cambria Math" w:cs="Times New Roman"/>
                      <w:i/>
                      <w:color w:val="0D0D0D"/>
                      <w:sz w:val="20"/>
                      <w:szCs w:val="20"/>
                      <w:shd w:val="clear" w:color="auto" w:fill="FFFFFF"/>
                      <w:lang w:val="en-US"/>
                    </w:rPr>
                  </m:ctrlPr>
                </m:fPr>
                <m:num>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κ+x</m:t>
                      </m:r>
                    </m:e>
                  </m:d>
                </m:num>
                <m:den>
                  <m:r>
                    <w:rPr>
                      <w:rFonts w:ascii="Cambria Math" w:hAnsi="Cambria Math" w:cs="Times New Roman"/>
                      <w:color w:val="0D0D0D"/>
                      <w:sz w:val="20"/>
                      <w:szCs w:val="20"/>
                      <w:shd w:val="clear" w:color="auto" w:fill="FFFFFF"/>
                      <w:lang w:val="en-US"/>
                    </w:rPr>
                    <m:t>x!</m:t>
                  </m:r>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color w:val="0D0D0D"/>
                          <w:sz w:val="20"/>
                          <w:szCs w:val="20"/>
                          <w:shd w:val="clear" w:color="auto" w:fill="FFFFFF"/>
                          <w:lang w:val="en-US"/>
                        </w:rPr>
                      </m:ctrlPr>
                    </m:dPr>
                    <m:e>
                      <m:r>
                        <m:rPr>
                          <m:sty m:val="p"/>
                        </m:rPr>
                        <w:rPr>
                          <w:rFonts w:ascii="Cambria Math" w:hAnsi="Cambria Math" w:cs="Times New Roman"/>
                          <w:color w:val="0D0D0D"/>
                          <w:sz w:val="20"/>
                          <w:szCs w:val="20"/>
                          <w:shd w:val="clear" w:color="auto" w:fill="FFFFFF"/>
                          <w:lang w:val="en-US"/>
                        </w:rPr>
                        <m:t>κ</m:t>
                      </m:r>
                    </m:e>
                  </m:d>
                </m:den>
              </m:f>
              <m:sSup>
                <m:sSupPr>
                  <m:ctrlPr>
                    <w:rPr>
                      <w:rFonts w:ascii="Cambria Math" w:hAnsi="Cambria Math" w:cs="Times New Roman"/>
                      <w:i/>
                      <w:color w:val="0D0D0D"/>
                      <w:sz w:val="20"/>
                      <w:szCs w:val="20"/>
                      <w:shd w:val="clear" w:color="auto" w:fill="FFFFFF"/>
                      <w:lang w:val="en-US"/>
                    </w:rPr>
                  </m:ctrlPr>
                </m:sSupPr>
                <m:e>
                  <m:d>
                    <m:dPr>
                      <m:ctrlPr>
                        <w:rPr>
                          <w:rFonts w:ascii="Cambria Math" w:hAnsi="Cambria Math" w:cs="Times New Roman"/>
                          <w:i/>
                          <w:color w:val="0D0D0D"/>
                          <w:sz w:val="20"/>
                          <w:szCs w:val="20"/>
                          <w:shd w:val="clear" w:color="auto" w:fill="FFFFFF"/>
                          <w:lang w:val="en-US"/>
                        </w:rPr>
                      </m:ctrlPr>
                    </m:dPr>
                    <m:e>
                      <m:f>
                        <m:fPr>
                          <m:ctrlPr>
                            <w:rPr>
                              <w:rFonts w:ascii="Cambria Math" w:hAnsi="Cambria Math" w:cs="Times New Roman"/>
                              <w:i/>
                              <w:color w:val="0D0D0D"/>
                              <w:sz w:val="20"/>
                              <w:szCs w:val="20"/>
                              <w:shd w:val="clear" w:color="auto" w:fill="FFFFFF"/>
                              <w:lang w:val="en-US"/>
                            </w:rPr>
                          </m:ctrlPr>
                        </m:fPr>
                        <m:num>
                          <m:r>
                            <w:rPr>
                              <w:rFonts w:ascii="Cambria Math" w:hAnsi="Cambria Math" w:cs="Times New Roman"/>
                              <w:color w:val="0D0D0D"/>
                              <w:sz w:val="20"/>
                              <w:szCs w:val="20"/>
                              <w:shd w:val="clear" w:color="auto" w:fill="FFFFFF"/>
                              <w:lang w:val="en-US"/>
                            </w:rPr>
                            <m:t>κ</m:t>
                          </m:r>
                        </m:num>
                        <m:den>
                          <m:r>
                            <w:rPr>
                              <w:rFonts w:ascii="Cambria Math" w:hAnsi="Cambria Math" w:cs="Times New Roman"/>
                              <w:color w:val="0D0D0D"/>
                              <w:sz w:val="20"/>
                              <w:szCs w:val="20"/>
                              <w:shd w:val="clear" w:color="auto" w:fill="FFFFFF"/>
                              <w:lang w:val="en-US"/>
                            </w:rPr>
                            <m:t>κ+m</m:t>
                          </m:r>
                        </m:den>
                      </m:f>
                    </m:e>
                  </m:d>
                </m:e>
                <m:sup>
                  <m:r>
                    <w:rPr>
                      <w:rFonts w:ascii="Cambria Math" w:hAnsi="Cambria Math" w:cs="Times New Roman"/>
                      <w:color w:val="0D0D0D"/>
                      <w:sz w:val="20"/>
                      <w:szCs w:val="20"/>
                      <w:shd w:val="clear" w:color="auto" w:fill="FFFFFF"/>
                      <w:lang w:val="en-US"/>
                    </w:rPr>
                    <m:t>κ</m:t>
                  </m:r>
                </m:sup>
              </m:sSup>
              <m:sSup>
                <m:sSupPr>
                  <m:ctrlPr>
                    <w:rPr>
                      <w:rFonts w:ascii="Cambria Math" w:hAnsi="Cambria Math" w:cs="Times New Roman"/>
                      <w:i/>
                      <w:color w:val="0D0D0D"/>
                      <w:sz w:val="20"/>
                      <w:szCs w:val="20"/>
                      <w:shd w:val="clear" w:color="auto" w:fill="FFFFFF"/>
                      <w:lang w:val="en-US"/>
                    </w:rPr>
                  </m:ctrlPr>
                </m:sSupPr>
                <m:e>
                  <m:d>
                    <m:dPr>
                      <m:ctrlPr>
                        <w:rPr>
                          <w:rFonts w:ascii="Cambria Math" w:hAnsi="Cambria Math" w:cs="Times New Roman"/>
                          <w:i/>
                          <w:color w:val="0D0D0D"/>
                          <w:sz w:val="20"/>
                          <w:szCs w:val="20"/>
                          <w:shd w:val="clear" w:color="auto" w:fill="FFFFFF"/>
                          <w:lang w:val="en-US"/>
                        </w:rPr>
                      </m:ctrlPr>
                    </m:dPr>
                    <m:e>
                      <m:f>
                        <m:fPr>
                          <m:ctrlPr>
                            <w:rPr>
                              <w:rFonts w:ascii="Cambria Math" w:hAnsi="Cambria Math" w:cs="Times New Roman"/>
                              <w:i/>
                              <w:color w:val="0D0D0D"/>
                              <w:sz w:val="20"/>
                              <w:szCs w:val="20"/>
                              <w:shd w:val="clear" w:color="auto" w:fill="FFFFFF"/>
                              <w:lang w:val="en-US"/>
                            </w:rPr>
                          </m:ctrlPr>
                        </m:fPr>
                        <m:num>
                          <m:r>
                            <w:rPr>
                              <w:rFonts w:ascii="Cambria Math" w:hAnsi="Cambria Math" w:cs="Times New Roman"/>
                              <w:color w:val="0D0D0D"/>
                              <w:sz w:val="20"/>
                              <w:szCs w:val="20"/>
                              <w:shd w:val="clear" w:color="auto" w:fill="FFFFFF"/>
                              <w:lang w:val="en-US"/>
                            </w:rPr>
                            <m:t>m</m:t>
                          </m:r>
                        </m:num>
                        <m:den>
                          <m:r>
                            <w:rPr>
                              <w:rFonts w:ascii="Cambria Math" w:hAnsi="Cambria Math" w:cs="Times New Roman"/>
                              <w:color w:val="0D0D0D"/>
                              <w:sz w:val="20"/>
                              <w:szCs w:val="20"/>
                              <w:shd w:val="clear" w:color="auto" w:fill="FFFFFF"/>
                              <w:lang w:val="en-US"/>
                            </w:rPr>
                            <m:t>κ+m</m:t>
                          </m:r>
                        </m:den>
                      </m:f>
                    </m:e>
                  </m:d>
                </m:e>
                <m:sup>
                  <m:r>
                    <w:rPr>
                      <w:rFonts w:ascii="Cambria Math" w:hAnsi="Cambria Math" w:cs="Times New Roman"/>
                      <w:color w:val="0D0D0D"/>
                      <w:sz w:val="20"/>
                      <w:szCs w:val="20"/>
                      <w:shd w:val="clear" w:color="auto" w:fill="FFFFFF"/>
                      <w:lang w:val="en-US"/>
                    </w:rPr>
                    <m:t>x</m:t>
                  </m:r>
                </m:sup>
              </m:sSup>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m:t>
                  </m:r>
                </m:e>
              </m:d>
            </m:e>
          </m:eqArr>
        </m:oMath>
      </m:oMathPara>
    </w:p>
    <w:p w14:paraId="78C2CF7B" w14:textId="42CCFCEF" w:rsidR="00373D9B" w:rsidRPr="002D7CDC" w:rsidRDefault="00373D9B" w:rsidP="00373D9B">
      <w:pPr>
        <w:spacing w:line="276" w:lineRule="auto"/>
        <w:jc w:val="both"/>
        <w:rPr>
          <w:rFonts w:ascii="Times New Roman" w:hAnsi="Times New Roman" w:cs="Times New Roman"/>
          <w:sz w:val="20"/>
          <w:szCs w:val="20"/>
        </w:rPr>
      </w:pPr>
      <w:r w:rsidRPr="002D7CDC">
        <w:rPr>
          <w:rFonts w:ascii="Times New Roman" w:hAnsi="Times New Roman" w:cs="Times New Roman"/>
          <w:sz w:val="20"/>
          <w:szCs w:val="20"/>
        </w:rPr>
        <w:lastRenderedPageBreak/>
        <w:t xml:space="preserve">where the shape parameter characterises the level of clustering or heterogeneity in the observation process, and </w:t>
      </w:r>
      <m:oMath>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color w:val="0D0D0D"/>
                <w:sz w:val="20"/>
                <w:szCs w:val="20"/>
                <w:shd w:val="clear" w:color="auto" w:fill="FFFFFF"/>
                <w:lang w:val="en-US"/>
              </w:rPr>
            </m:ctrlPr>
          </m:dPr>
          <m:e>
            <m:r>
              <m:rPr>
                <m:sty m:val="p"/>
              </m:rPr>
              <w:rPr>
                <w:rFonts w:ascii="Cambria Math" w:hAnsi="Cambria Math" w:cs="Times New Roman"/>
                <w:color w:val="0D0D0D"/>
                <w:sz w:val="20"/>
                <w:szCs w:val="20"/>
                <w:shd w:val="clear" w:color="auto" w:fill="FFFFFF"/>
                <w:lang w:val="en-US"/>
              </w:rPr>
              <m:t>∙</m:t>
            </m:r>
          </m:e>
        </m:d>
      </m:oMath>
      <w:r w:rsidRPr="002D7CDC">
        <w:rPr>
          <w:rFonts w:ascii="Times New Roman" w:hAnsi="Times New Roman" w:cs="Times New Roman"/>
          <w:sz w:val="20"/>
          <w:szCs w:val="20"/>
        </w:rPr>
        <w:t xml:space="preserve"> is the Gamma function. Under the </w:t>
      </w:r>
      <w:r w:rsidR="000B2196">
        <w:rPr>
          <w:rFonts w:ascii="Times New Roman" w:hAnsi="Times New Roman" w:cs="Times New Roman"/>
          <w:sz w:val="20"/>
          <w:szCs w:val="20"/>
        </w:rPr>
        <w:t>N</w:t>
      </w:r>
      <w:r w:rsidRPr="002D7CDC">
        <w:rPr>
          <w:rFonts w:ascii="Times New Roman" w:hAnsi="Times New Roman" w:cs="Times New Roman"/>
          <w:sz w:val="20"/>
          <w:szCs w:val="20"/>
        </w:rPr>
        <w:t>egative</w:t>
      </w:r>
      <w:r w:rsidR="000B2196">
        <w:rPr>
          <w:rFonts w:ascii="Times New Roman" w:hAnsi="Times New Roman" w:cs="Times New Roman"/>
          <w:sz w:val="20"/>
          <w:szCs w:val="20"/>
        </w:rPr>
        <w:t>-B</w:t>
      </w:r>
      <w:r w:rsidRPr="002D7CDC">
        <w:rPr>
          <w:rFonts w:ascii="Times New Roman" w:hAnsi="Times New Roman" w:cs="Times New Roman"/>
          <w:sz w:val="20"/>
          <w:szCs w:val="20"/>
        </w:rPr>
        <w:t>inomial distribution</w:t>
      </w:r>
      <w:r w:rsidR="000B2196">
        <w:rPr>
          <w:rFonts w:ascii="Times New Roman" w:hAnsi="Times New Roman" w:cs="Times New Roman"/>
          <w:sz w:val="20"/>
          <w:szCs w:val="20"/>
        </w:rPr>
        <w:t>,</w:t>
      </w:r>
      <w:r w:rsidRPr="002D7CDC">
        <w:rPr>
          <w:rFonts w:ascii="Times New Roman" w:hAnsi="Times New Roman" w:cs="Times New Roman"/>
          <w:sz w:val="20"/>
          <w:szCs w:val="20"/>
        </w:rPr>
        <w:t xml:space="preserve"> </w:t>
      </w:r>
      <w:r w:rsidR="000B2196">
        <w:rPr>
          <w:rFonts w:ascii="Times New Roman" w:hAnsi="Times New Roman" w:cs="Times New Roman"/>
          <w:color w:val="0D0D0D"/>
          <w:sz w:val="20"/>
          <w:szCs w:val="20"/>
          <w:shd w:val="clear" w:color="auto" w:fill="FFFFFF"/>
        </w:rPr>
        <w:t xml:space="preserve">the variance of </w:t>
      </w:r>
      <m:oMath>
        <m:r>
          <w:rPr>
            <w:rFonts w:ascii="Cambria Math" w:hAnsi="Cambria Math" w:cs="Times New Roman"/>
            <w:color w:val="0D0D0D"/>
            <w:sz w:val="20"/>
            <w:szCs w:val="20"/>
            <w:shd w:val="clear" w:color="auto" w:fill="FFFFFF"/>
          </w:rPr>
          <m:t>X</m:t>
        </m:r>
      </m:oMath>
      <w:r w:rsidR="000B2196">
        <w:rPr>
          <w:rFonts w:ascii="Times New Roman" w:hAnsi="Times New Roman" w:cs="Times New Roman"/>
          <w:color w:val="0D0D0D"/>
          <w:sz w:val="20"/>
          <w:szCs w:val="20"/>
          <w:shd w:val="clear" w:color="auto" w:fill="FFFFFF"/>
        </w:rPr>
        <w:t xml:space="preserve"> is </w:t>
      </w:r>
      <m:oMath>
        <m:r>
          <w:rPr>
            <w:rFonts w:ascii="Cambria Math" w:hAnsi="Cambria Math" w:cs="Times New Roman"/>
            <w:sz w:val="20"/>
            <w:szCs w:val="20"/>
          </w:rPr>
          <m:t>Var</m:t>
        </m:r>
        <m:d>
          <m:dPr>
            <m:begChr m:val="["/>
            <m:endChr m:val="]"/>
            <m:ctrlPr>
              <w:rPr>
                <w:rFonts w:ascii="Cambria Math" w:hAnsi="Cambria Math" w:cs="Times New Roman"/>
                <w:i/>
                <w:sz w:val="20"/>
                <w:szCs w:val="20"/>
              </w:rPr>
            </m:ctrlPr>
          </m:dPr>
          <m:e>
            <m:r>
              <w:rPr>
                <w:rFonts w:ascii="Cambria Math" w:hAnsi="Cambria Math" w:cs="Times New Roman"/>
                <w:sz w:val="20"/>
                <w:szCs w:val="20"/>
              </w:rPr>
              <m:t>X</m:t>
            </m:r>
          </m:e>
        </m:d>
        <m:r>
          <w:rPr>
            <w:rFonts w:ascii="Cambria Math" w:hAnsi="Cambria Math" w:cs="Times New Roman"/>
            <w:sz w:val="20"/>
            <w:szCs w:val="20"/>
          </w:rPr>
          <m:t>=m+</m:t>
        </m:r>
        <m:sSup>
          <m:sSupPr>
            <m:ctrlPr>
              <w:rPr>
                <w:rFonts w:ascii="Cambria Math" w:hAnsi="Cambria Math" w:cs="Times New Roman"/>
                <w:i/>
                <w:sz w:val="20"/>
                <w:szCs w:val="20"/>
              </w:rPr>
            </m:ctrlPr>
          </m:sSupPr>
          <m:e>
            <m:r>
              <w:rPr>
                <w:rFonts w:ascii="Cambria Math" w:hAnsi="Cambria Math" w:cs="Times New Roman"/>
                <w:sz w:val="20"/>
                <w:szCs w:val="20"/>
              </w:rPr>
              <m:t>m</m:t>
            </m:r>
          </m:e>
          <m:sup>
            <m:r>
              <w:rPr>
                <w:rFonts w:ascii="Cambria Math" w:hAnsi="Cambria Math" w:cs="Times New Roman"/>
                <w:sz w:val="20"/>
                <w:szCs w:val="20"/>
              </w:rPr>
              <m:t>2</m:t>
            </m:r>
          </m:sup>
        </m:sSup>
        <m:r>
          <m:rPr>
            <m:lit/>
          </m:rPr>
          <w:rPr>
            <w:rFonts w:ascii="Cambria Math" w:hAnsi="Cambria Math" w:cs="Times New Roman"/>
            <w:sz w:val="20"/>
            <w:szCs w:val="20"/>
          </w:rPr>
          <m:t>/</m:t>
        </m:r>
        <m:r>
          <w:rPr>
            <w:rFonts w:ascii="Cambria Math" w:hAnsi="Cambria Math" w:cs="Times New Roman"/>
            <w:sz w:val="20"/>
            <w:szCs w:val="20"/>
          </w:rPr>
          <m:t>k</m:t>
        </m:r>
      </m:oMath>
      <w:r w:rsidRPr="002D7CDC">
        <w:rPr>
          <w:rFonts w:ascii="Times New Roman" w:hAnsi="Times New Roman" w:cs="Times New Roman"/>
          <w:sz w:val="20"/>
          <w:szCs w:val="20"/>
        </w:rPr>
        <w:t>.</w:t>
      </w:r>
    </w:p>
    <w:p w14:paraId="649E9EF6" w14:textId="656CBB46" w:rsidR="00373D9B" w:rsidRPr="002D7CDC" w:rsidRDefault="00373D9B" w:rsidP="00373D9B">
      <w:pPr>
        <w:spacing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The </w:t>
      </w:r>
      <w:r w:rsidR="00BF7575">
        <w:rPr>
          <w:rFonts w:ascii="Times New Roman" w:hAnsi="Times New Roman" w:cs="Times New Roman"/>
          <w:sz w:val="20"/>
          <w:szCs w:val="20"/>
        </w:rPr>
        <w:t>observation processes</w:t>
      </w:r>
      <w:r w:rsidRPr="002D7CDC">
        <w:rPr>
          <w:rFonts w:ascii="Times New Roman" w:hAnsi="Times New Roman" w:cs="Times New Roman"/>
          <w:sz w:val="20"/>
          <w:szCs w:val="20"/>
        </w:rPr>
        <w:t xml:space="preserve"> of </w:t>
      </w:r>
      <m:oMath>
        <m:sSub>
          <m:sSubPr>
            <m:ctrlPr>
              <w:rPr>
                <w:rFonts w:ascii="Cambria Math" w:hAnsi="Cambria Math" w:cs="Times New Roman"/>
                <w:i/>
                <w:sz w:val="20"/>
                <w:szCs w:val="20"/>
              </w:rPr>
            </m:ctrlPr>
          </m:sSubPr>
          <m:e>
            <m:r>
              <w:rPr>
                <w:rFonts w:ascii="Cambria Math" w:hAnsi="Cambria Math" w:cs="Times New Roman"/>
                <w:sz w:val="20"/>
                <w:szCs w:val="20"/>
              </w:rPr>
              <m:t>Z</m:t>
            </m:r>
          </m:e>
          <m:sub>
            <m:r>
              <w:rPr>
                <w:rFonts w:ascii="Cambria Math" w:hAnsi="Cambria Math" w:cs="Times New Roman"/>
                <w:sz w:val="20"/>
                <w:szCs w:val="20"/>
              </w:rPr>
              <m:t>T</m:t>
            </m:r>
          </m:sub>
        </m:sSub>
        <m:d>
          <m:dPr>
            <m:ctrlPr>
              <w:rPr>
                <w:rFonts w:ascii="Cambria Math" w:hAnsi="Cambria Math" w:cs="Times New Roman"/>
                <w:i/>
                <w:sz w:val="20"/>
                <w:szCs w:val="20"/>
              </w:rPr>
            </m:ctrlPr>
          </m:dPr>
          <m:e>
            <m:r>
              <w:rPr>
                <w:rFonts w:ascii="Cambria Math" w:hAnsi="Cambria Math" w:cs="Times New Roman"/>
                <w:sz w:val="20"/>
                <w:szCs w:val="20"/>
              </w:rPr>
              <m:t>t</m:t>
            </m:r>
          </m:e>
        </m:d>
      </m:oMath>
      <w:r w:rsidR="00A26C1F">
        <w:rPr>
          <w:rFonts w:ascii="Times New Roman" w:hAnsi="Times New Roman" w:cs="Times New Roman"/>
          <w:sz w:val="20"/>
          <w:szCs w:val="20"/>
        </w:rPr>
        <w:t xml:space="preserve">, and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for each strain (i.e.,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w:r w:rsidR="00A26C1F">
        <w:rPr>
          <w:rFonts w:ascii="Times New Roman" w:hAnsi="Times New Roman" w:cs="Times New Roman"/>
          <w:sz w:val="20"/>
          <w:szCs w:val="20"/>
        </w:rPr>
        <w:t>are</w:t>
      </w:r>
      <w:r w:rsidRPr="002D7CDC">
        <w:rPr>
          <w:rFonts w:ascii="Times New Roman" w:hAnsi="Times New Roman" w:cs="Times New Roman"/>
          <w:sz w:val="20"/>
          <w:szCs w:val="20"/>
        </w:rPr>
        <w:t>:</w:t>
      </w:r>
    </w:p>
    <w:p w14:paraId="3445382E" w14:textId="75836A5B" w:rsidR="00373D9B" w:rsidRPr="00BF6FF4" w:rsidRDefault="00000000"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#(2)</m:t>
                  </m:r>
                </m:e>
              </m:eqArr>
              <m:r>
                <w:rPr>
                  <w:rFonts w:ascii="Cambria Math" w:hAnsi="Cambria Math" w:cs="Times New Roman"/>
                  <w:color w:val="0D0D0D"/>
                  <w:sz w:val="20"/>
                  <w:szCs w:val="20"/>
                  <w:shd w:val="clear" w:color="auto" w:fill="FFFFFF"/>
                  <w:lang w:val="en-US"/>
                </w:rPr>
                <m:t>#</m:t>
              </m:r>
            </m:e>
          </m:eqArr>
        </m:oMath>
      </m:oMathPara>
    </w:p>
    <w:p w14:paraId="7B8989CA" w14:textId="22B028E0" w:rsidR="00BF327B" w:rsidRPr="00BF6FF4" w:rsidRDefault="00000000"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3</m:t>
                  </m:r>
                </m:e>
              </m:d>
            </m:e>
          </m:eqArr>
        </m:oMath>
      </m:oMathPara>
    </w:p>
    <w:p w14:paraId="5B283957" w14:textId="7B92515D" w:rsidR="00BF327B" w:rsidRPr="00BF6FF4" w:rsidRDefault="00000000"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4</m:t>
                  </m:r>
                </m:e>
              </m:d>
            </m:e>
          </m:eqArr>
        </m:oMath>
      </m:oMathPara>
    </w:p>
    <w:p w14:paraId="23FC7EDA" w14:textId="6CBFB7B1" w:rsidR="00BF327B" w:rsidRPr="00BF6FF4" w:rsidRDefault="00000000"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5</m:t>
                  </m:r>
                </m:e>
              </m:d>
            </m:e>
          </m:eqArr>
        </m:oMath>
      </m:oMathPara>
    </w:p>
    <w:p w14:paraId="0FADA385" w14:textId="4913454A" w:rsidR="00BF327B" w:rsidRPr="00BF6FF4" w:rsidRDefault="00000000"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6</m:t>
                  </m:r>
                </m:e>
              </m:d>
            </m:e>
          </m:eqArr>
        </m:oMath>
      </m:oMathPara>
    </w:p>
    <w:p w14:paraId="17BE8868" w14:textId="38B220DE" w:rsidR="00666618" w:rsidRPr="002D7CDC" w:rsidRDefault="00373D9B" w:rsidP="00373D9B">
      <w:pPr>
        <w:spacing w:line="276" w:lineRule="auto"/>
        <w:jc w:val="both"/>
        <w:rPr>
          <w:rFonts w:ascii="Times New Roman" w:hAnsi="Times New Roman" w:cs="Times New Roman"/>
          <w:color w:val="0D0D0D"/>
          <w:sz w:val="20"/>
          <w:szCs w:val="20"/>
          <w:shd w:val="clear" w:color="auto" w:fill="FFFFFF"/>
          <w:lang w:val="en-US"/>
        </w:rPr>
      </w:pPr>
      <w:r w:rsidRPr="002D7CDC">
        <w:rPr>
          <w:rFonts w:ascii="Times New Roman" w:hAnsi="Times New Roman" w:cs="Times New Roman"/>
          <w:color w:val="0D0D0D"/>
          <w:sz w:val="20"/>
          <w:szCs w:val="20"/>
          <w:shd w:val="clear" w:color="auto" w:fill="FFFFFF"/>
          <w:lang w:val="en-US"/>
        </w:rPr>
        <w:t>where</w:t>
      </w:r>
      <w:r w:rsidRPr="002D7CDC">
        <w:rPr>
          <w:rFonts w:ascii="Times New Roman" w:hAnsi="Times New Roman" w:cs="Times New Roman"/>
          <w:color w:val="0D0D0D"/>
          <w:sz w:val="20"/>
          <w:szCs w:val="20"/>
          <w:shd w:val="clear" w:color="auto" w:fill="FFFFFF"/>
          <w:lang w:val="en-US"/>
        </w:rPr>
        <w:br/>
      </w: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eqArr>
                            <m:eqArrPr>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η</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e>
                            <m:e>
                              <m:r>
                                <w:rPr>
                                  <w:rFonts w:ascii="Cambria Math" w:hAnsi="Cambria Math" w:cs="Times New Roman"/>
                                  <w:color w:val="0D0D0D"/>
                                  <w:sz w:val="20"/>
                                  <w:szCs w:val="20"/>
                                  <w:shd w:val="clear" w:color="auto" w:fill="FFFFFF"/>
                                  <w:lang w:val="en-US"/>
                                </w:rPr>
                                <m:t>+ μ</m:t>
                              </m:r>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eqAr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7</m:t>
                  </m:r>
                </m:e>
              </m:d>
            </m:e>
          </m:eqArr>
          <m:r>
            <m:rPr>
              <m:sty m:val="p"/>
            </m:rPr>
            <w:rPr>
              <w:rFonts w:ascii="Times New Roman" w:hAnsi="Times New Roman" w:cs="Times New Roman"/>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8</m:t>
                  </m:r>
                </m:e>
              </m:d>
            </m:e>
          </m:eqArr>
          <m:r>
            <m:rPr>
              <m:sty m:val="p"/>
            </m:rPr>
            <w:rPr>
              <w:rFonts w:ascii="Times New Roman" w:hAnsi="Times New Roman" w:cs="Times New Roman"/>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9</m:t>
                  </m:r>
                </m:e>
              </m:d>
            </m:e>
          </m:eqArr>
          <m:r>
            <m:rPr>
              <m:sty m:val="p"/>
            </m:rPr>
            <w:rPr>
              <w:rFonts w:ascii="Times New Roman" w:hAnsi="Times New Roman" w:cs="Times New Roman"/>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10</m:t>
                  </m:r>
                </m:e>
              </m:d>
            </m:e>
          </m:eqArr>
          <m:r>
            <m:rPr>
              <m:sty m:val="p"/>
            </m:rPr>
            <w:rPr>
              <w:rFonts w:ascii="Times New Roman" w:hAnsi="Times New Roman" w:cs="Times New Roman"/>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11</m:t>
                  </m:r>
                </m:e>
              </m:d>
            </m:e>
          </m:eqArr>
        </m:oMath>
      </m:oMathPara>
    </w:p>
    <w:p w14:paraId="4D388520" w14:textId="083D54B8" w:rsidR="00373D9B" w:rsidRDefault="00373D9B" w:rsidP="00373D9B">
      <w:pPr>
        <w:spacing w:line="276" w:lineRule="auto"/>
        <w:jc w:val="both"/>
        <w:rPr>
          <w:rFonts w:ascii="Times New Roman" w:hAnsi="Times New Roman" w:cs="Times New Roman"/>
          <w:color w:val="0D0D0D"/>
          <w:sz w:val="20"/>
          <w:szCs w:val="20"/>
          <w:shd w:val="clear" w:color="auto" w:fill="FFFFFF"/>
          <w:lang w:val="en-US"/>
        </w:rPr>
      </w:pPr>
      <w:r w:rsidRPr="002D7CDC">
        <w:rPr>
          <w:rFonts w:ascii="Times New Roman" w:hAnsi="Times New Roman" w:cs="Times New Roman"/>
          <w:color w:val="0D0D0D"/>
          <w:sz w:val="20"/>
          <w:szCs w:val="20"/>
          <w:shd w:val="clear" w:color="auto" w:fill="FFFFFF"/>
          <w:lang w:val="en-US"/>
        </w:rPr>
        <w:t xml:space="preserve">with </w:t>
      </w:r>
      <m:oMath>
        <m:r>
          <w:rPr>
            <w:rFonts w:ascii="Cambria Math" w:hAnsi="Cambria Math" w:cs="Times New Roman"/>
            <w:color w:val="0D0D0D"/>
            <w:sz w:val="20"/>
            <w:szCs w:val="20"/>
            <w:shd w:val="clear" w:color="auto" w:fill="FFFFFF"/>
            <w:lang w:val="en-US"/>
          </w:rPr>
          <m:t>τ</m:t>
        </m:r>
      </m:oMath>
      <w:r w:rsidRPr="002D7CDC">
        <w:rPr>
          <w:rFonts w:ascii="Times New Roman" w:hAnsi="Times New Roman" w:cs="Times New Roman"/>
          <w:color w:val="0D0D0D"/>
          <w:sz w:val="20"/>
          <w:szCs w:val="20"/>
          <w:shd w:val="clear" w:color="auto" w:fill="FFFFFF"/>
          <w:lang w:val="en-US"/>
        </w:rPr>
        <w:t xml:space="preserve"> denotes the time variable of integration</w:t>
      </w:r>
      <w:r>
        <w:rPr>
          <w:rFonts w:ascii="Times New Roman" w:hAnsi="Times New Roman" w:cs="Times New Roman"/>
          <w:color w:val="0D0D0D"/>
          <w:sz w:val="20"/>
          <w:szCs w:val="20"/>
          <w:shd w:val="clear" w:color="auto" w:fill="FFFFFF"/>
          <w:lang w:val="en-US"/>
        </w:rPr>
        <w:t xml:space="preserve"> and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oMath>
      <w:r w:rsidR="001F6852">
        <w:rPr>
          <w:rFonts w:ascii="Times New Roman" w:hAnsi="Times New Roman" w:cs="Times New Roman"/>
          <w:iCs/>
          <w:color w:val="0D0D0D"/>
          <w:sz w:val="20"/>
          <w:szCs w:val="20"/>
          <w:shd w:val="clear" w:color="auto" w:fill="FFFFFF"/>
          <w:lang w:val="en-US"/>
        </w:rPr>
        <w:t xml:space="preserve"> </w:t>
      </w:r>
      <w:r>
        <w:rPr>
          <w:rFonts w:ascii="Times New Roman" w:hAnsi="Times New Roman" w:cs="Times New Roman"/>
          <w:color w:val="0D0D0D"/>
          <w:sz w:val="20"/>
          <w:szCs w:val="20"/>
          <w:shd w:val="clear" w:color="auto" w:fill="FFFFFF"/>
          <w:lang w:val="en-US"/>
        </w:rPr>
        <w:t xml:space="preserve">denotes the </w:t>
      </w:r>
      <w:r w:rsidR="001F6852">
        <w:rPr>
          <w:rFonts w:ascii="Times New Roman" w:hAnsi="Times New Roman" w:cs="Times New Roman"/>
          <w:color w:val="0D0D0D"/>
          <w:sz w:val="20"/>
          <w:szCs w:val="20"/>
          <w:shd w:val="clear" w:color="auto" w:fill="FFFFFF"/>
          <w:lang w:val="en-US"/>
        </w:rPr>
        <w:t xml:space="preserve">shared </w:t>
      </w:r>
      <w:r>
        <w:rPr>
          <w:rFonts w:ascii="Times New Roman" w:hAnsi="Times New Roman" w:cs="Times New Roman"/>
          <w:color w:val="0D0D0D"/>
          <w:sz w:val="20"/>
          <w:szCs w:val="20"/>
          <w:shd w:val="clear" w:color="auto" w:fill="FFFFFF"/>
          <w:lang w:val="en-US"/>
        </w:rPr>
        <w:t>shape parameter</w:t>
      </w:r>
      <w:r w:rsidR="00BF327B">
        <w:rPr>
          <w:rFonts w:ascii="Times New Roman" w:hAnsi="Times New Roman" w:cs="Times New Roman"/>
          <w:color w:val="0D0D0D"/>
          <w:sz w:val="20"/>
          <w:szCs w:val="20"/>
          <w:shd w:val="clear" w:color="auto" w:fill="FFFFFF"/>
          <w:lang w:val="en-US"/>
        </w:rPr>
        <w:t xml:space="preserve"> for GUMCAD data streams</w:t>
      </w:r>
      <w:r w:rsidRPr="002D7CDC">
        <w:rPr>
          <w:rFonts w:ascii="Times New Roman" w:hAnsi="Times New Roman" w:cs="Times New Roman"/>
          <w:color w:val="0D0D0D"/>
          <w:sz w:val="20"/>
          <w:szCs w:val="20"/>
          <w:shd w:val="clear" w:color="auto" w:fill="FFFFFF"/>
          <w:lang w:val="en-US"/>
        </w:rPr>
        <w:t>.</w:t>
      </w:r>
    </w:p>
    <w:p w14:paraId="51FC9C33" w14:textId="79E2AAB9" w:rsidR="003C1F45" w:rsidRPr="002D7CDC" w:rsidRDefault="003C1F45" w:rsidP="003C1F4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t xml:space="preserve">We compared the observed annual number of </w:t>
      </w:r>
      <w:r>
        <w:rPr>
          <w:rFonts w:ascii="Times New Roman" w:hAnsi="Times New Roman" w:cs="Times New Roman"/>
          <w:color w:val="000000"/>
          <w:sz w:val="20"/>
          <w:szCs w:val="20"/>
          <w:lang w:val="en-GB"/>
        </w:rPr>
        <w:t xml:space="preserve">symptomatic gonorrhoea </w:t>
      </w:r>
      <w:r w:rsidRPr="002D7CDC">
        <w:rPr>
          <w:rFonts w:ascii="Times New Roman" w:hAnsi="Times New Roman" w:cs="Times New Roman"/>
          <w:color w:val="000000"/>
          <w:sz w:val="20"/>
          <w:szCs w:val="20"/>
          <w:lang w:val="en-GB"/>
        </w:rPr>
        <w:t>diagnoses</w:t>
      </w:r>
      <w:r>
        <w:rPr>
          <w:rFonts w:ascii="Times New Roman" w:hAnsi="Times New Roman" w:cs="Times New Roman"/>
          <w:color w:val="000000"/>
          <w:sz w:val="20"/>
          <w:szCs w:val="20"/>
          <w:lang w:val="en-GB"/>
        </w:rPr>
        <w:t xml:space="preserve"> in the </w:t>
      </w:r>
      <w:r w:rsidR="0084213D">
        <w:rPr>
          <w:rFonts w:ascii="Times New Roman" w:hAnsi="Times New Roman" w:cs="Times New Roman"/>
          <w:color w:val="000000"/>
          <w:sz w:val="20"/>
          <w:szCs w:val="20"/>
          <w:lang w:val="en-GB"/>
        </w:rPr>
        <w:t>Gonococcal Resistance to Antimicrobials Surveillance Program (</w:t>
      </w:r>
      <w:r>
        <w:rPr>
          <w:rFonts w:ascii="Times New Roman" w:hAnsi="Times New Roman" w:cs="Times New Roman"/>
          <w:color w:val="000000"/>
          <w:sz w:val="20"/>
          <w:szCs w:val="20"/>
          <w:lang w:val="en-GB"/>
        </w:rPr>
        <w:t>GRASP</w:t>
      </w:r>
      <w:r w:rsidR="0084213D">
        <w:rPr>
          <w:rFonts w:ascii="Times New Roman" w:hAnsi="Times New Roman" w:cs="Times New Roman"/>
          <w:color w:val="000000"/>
          <w:sz w:val="20"/>
          <w:szCs w:val="20"/>
          <w:lang w:val="en-GB"/>
        </w:rPr>
        <w:t>)</w:t>
      </w:r>
      <w:r>
        <w:rPr>
          <w:rFonts w:ascii="Times New Roman" w:hAnsi="Times New Roman" w:cs="Times New Roman"/>
          <w:color w:val="000000"/>
          <w:sz w:val="20"/>
          <w:szCs w:val="20"/>
          <w:lang w:val="en-GB"/>
        </w:rPr>
        <w:t xml:space="preserve"> sample,</w:t>
      </w:r>
      <w:r w:rsidRPr="00373D9B">
        <w:rPr>
          <w:rFonts w:ascii="Cambria Math" w:hAnsi="Cambria Math" w:cs="Times New Roman"/>
          <w:i/>
          <w:color w:val="0D0D0D"/>
          <w:sz w:val="20"/>
          <w:szCs w:val="20"/>
          <w:shd w:val="clear" w:color="auto" w:fill="FFFFFF"/>
          <w:lang w:val="en-US"/>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373D9B">
        <w:rPr>
          <w:rFonts w:ascii="Times New Roman" w:hAnsi="Times New Roman" w:cs="Times New Roman"/>
          <w:iCs/>
          <w:color w:val="0D0D0D"/>
          <w:sz w:val="20"/>
          <w:szCs w:val="20"/>
          <w:shd w:val="clear" w:color="auto" w:fill="FFFFFF"/>
          <w:lang w:val="en-US"/>
        </w:rPr>
        <w:t>,</w:t>
      </w:r>
      <w:r>
        <w:rPr>
          <w:rFonts w:ascii="Times New Roman" w:hAnsi="Times New Roman" w:cs="Times New Roman"/>
          <w:color w:val="000000"/>
          <w:sz w:val="20"/>
          <w:szCs w:val="20"/>
          <w:lang w:val="en-GB"/>
        </w:rPr>
        <w:t xml:space="preserve"> </w:t>
      </w:r>
      <w:r w:rsidRPr="002D7CDC">
        <w:rPr>
          <w:rFonts w:ascii="Times New Roman" w:hAnsi="Times New Roman" w:cs="Times New Roman"/>
          <w:color w:val="000000"/>
          <w:sz w:val="20"/>
          <w:szCs w:val="20"/>
          <w:lang w:val="en-GB"/>
        </w:rPr>
        <w:t>with those predicted by our model</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 xml:space="preserve"> </w:t>
      </w:r>
      <w:r w:rsidRPr="002D7CDC">
        <w:rPr>
          <w:rFonts w:ascii="Times New Roman" w:hAnsi="Times New Roman" w:cs="Times New Roman"/>
          <w:color w:val="000000"/>
          <w:sz w:val="20"/>
          <w:szCs w:val="20"/>
          <w:lang w:val="en-GB"/>
        </w:rPr>
        <w:t xml:space="preserve">using </w:t>
      </w:r>
      <w:r w:rsidR="0079342B">
        <w:rPr>
          <w:rFonts w:ascii="Times New Roman" w:hAnsi="Times New Roman" w:cs="Times New Roman"/>
          <w:color w:val="000000"/>
          <w:sz w:val="20"/>
          <w:szCs w:val="20"/>
          <w:lang w:val="en-GB"/>
        </w:rPr>
        <w:t>a Beta</w:t>
      </w:r>
      <w:r w:rsidRPr="002D7CDC">
        <w:rPr>
          <w:rFonts w:ascii="Times New Roman" w:hAnsi="Times New Roman" w:cs="Times New Roman"/>
          <w:color w:val="000000"/>
          <w:sz w:val="20"/>
          <w:szCs w:val="20"/>
          <w:lang w:val="en-GB"/>
        </w:rPr>
        <w:t xml:space="preserve">-Binomial </w:t>
      </w:r>
      <w:r w:rsidR="0079342B">
        <w:rPr>
          <w:rFonts w:ascii="Times New Roman" w:hAnsi="Times New Roman" w:cs="Times New Roman"/>
          <w:color w:val="000000"/>
          <w:sz w:val="20"/>
          <w:szCs w:val="20"/>
          <w:lang w:val="en-GB"/>
        </w:rPr>
        <w:t>likelihood</w:t>
      </w:r>
      <w:r w:rsidRPr="002D7CDC">
        <w:rPr>
          <w:rFonts w:ascii="Times New Roman" w:hAnsi="Times New Roman" w:cs="Times New Roman"/>
          <w:color w:val="000000"/>
          <w:sz w:val="20"/>
          <w:szCs w:val="20"/>
          <w:lang w:val="en-GB"/>
        </w:rPr>
        <w:t>.</w:t>
      </w:r>
      <w:r w:rsidRPr="002D7CDC">
        <w:rPr>
          <w:rFonts w:ascii="Times New Roman" w:hAnsi="Times New Roman" w:cs="Times New Roman"/>
          <w:sz w:val="20"/>
          <w:szCs w:val="20"/>
        </w:rPr>
        <w:t xml:space="preserve"> If </w:t>
      </w:r>
      <m:oMath>
        <m:r>
          <w:rPr>
            <w:rFonts w:ascii="Cambria Math" w:hAnsi="Cambria Math" w:cs="Times New Roman"/>
            <w:sz w:val="20"/>
            <w:szCs w:val="20"/>
          </w:rPr>
          <m:t>X</m:t>
        </m:r>
      </m:oMath>
      <w:r w:rsidRPr="002D7CDC">
        <w:rPr>
          <w:rFonts w:ascii="Times New Roman" w:hAnsi="Times New Roman" w:cs="Times New Roman"/>
          <w:sz w:val="20"/>
          <w:szCs w:val="20"/>
        </w:rPr>
        <w:t xml:space="preserve"> </w:t>
      </w:r>
      <w:r w:rsidRPr="002D7CDC">
        <w:rPr>
          <w:rFonts w:ascii="Cambria Math" w:hAnsi="Cambria Math" w:cs="Cambria Math"/>
          <w:sz w:val="20"/>
          <w:szCs w:val="20"/>
        </w:rPr>
        <w:t>∼</w:t>
      </w:r>
      <w:r w:rsidRPr="002D7CDC">
        <w:rPr>
          <w:rFonts w:ascii="Times New Roman" w:hAnsi="Times New Roman" w:cs="Times New Roman"/>
          <w:sz w:val="20"/>
          <w:szCs w:val="20"/>
        </w:rPr>
        <w:t xml:space="preserve"> </w:t>
      </w:r>
      <w:proofErr w:type="spellStart"/>
      <w:r w:rsidR="0079342B">
        <w:rPr>
          <w:rFonts w:ascii="Times New Roman" w:hAnsi="Times New Roman" w:cs="Times New Roman"/>
          <w:sz w:val="20"/>
          <w:szCs w:val="20"/>
        </w:rPr>
        <w:t>Beta</w:t>
      </w:r>
      <w:r w:rsidRPr="002D7CDC">
        <w:rPr>
          <w:rFonts w:ascii="Times New Roman" w:hAnsi="Times New Roman" w:cs="Times New Roman"/>
          <w:sz w:val="20"/>
          <w:szCs w:val="20"/>
        </w:rPr>
        <w:t>Binom</w:t>
      </w:r>
      <w:proofErr w:type="spellEnd"/>
      <w:r w:rsidRPr="002D7CDC">
        <w:rPr>
          <w:rFonts w:ascii="Times New Roman" w:hAnsi="Times New Roman" w:cs="Times New Roman"/>
          <w:sz w:val="20"/>
          <w:szCs w:val="20"/>
        </w:rPr>
        <w:t>(</w:t>
      </w:r>
      <m:oMath>
        <m:r>
          <w:rPr>
            <w:rFonts w:ascii="Cambria Math" w:hAnsi="Cambria Math" w:cs="Times New Roman"/>
            <w:sz w:val="20"/>
            <w:szCs w:val="20"/>
          </w:rPr>
          <m:t>n</m:t>
        </m:r>
      </m:oMath>
      <w:r w:rsidRPr="002D7CDC">
        <w:rPr>
          <w:rFonts w:ascii="Times New Roman" w:hAnsi="Times New Roman" w:cs="Times New Roman"/>
          <w:sz w:val="20"/>
          <w:szCs w:val="20"/>
        </w:rPr>
        <w:t>,</w:t>
      </w:r>
      <w:r w:rsidR="0079342B" w:rsidRPr="0079342B">
        <w:rPr>
          <w:rFonts w:ascii="Cambria Math" w:hAnsi="Cambria Math" w:cs="Times New Roman"/>
          <w:i/>
          <w:sz w:val="20"/>
          <w:szCs w:val="20"/>
        </w:rPr>
        <w:t xml:space="preserve"> </w:t>
      </w:r>
      <m:oMath>
        <m:r>
          <w:rPr>
            <w:rFonts w:ascii="Cambria Math" w:hAnsi="Cambria Math" w:cs="Times New Roman"/>
            <w:sz w:val="20"/>
            <w:szCs w:val="20"/>
          </w:rPr>
          <m:t>p</m:t>
        </m:r>
      </m:oMath>
      <w:r w:rsidR="0079342B">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xml:space="preserve">), with </w:t>
      </w:r>
      <w:r w:rsidR="0079342B">
        <w:rPr>
          <w:rFonts w:ascii="Times New Roman" w:hAnsi="Times New Roman" w:cs="Times New Roman"/>
          <w:sz w:val="20"/>
          <w:szCs w:val="20"/>
        </w:rPr>
        <w:t xml:space="preserve">size </w:t>
      </w:r>
      <m:oMath>
        <m:r>
          <w:rPr>
            <w:rFonts w:ascii="Cambria Math" w:hAnsi="Cambria Math" w:cs="Times New Roman"/>
            <w:sz w:val="20"/>
            <w:szCs w:val="20"/>
          </w:rPr>
          <m:t>n</m:t>
        </m:r>
      </m:oMath>
      <w:r w:rsidR="0079342B">
        <w:rPr>
          <w:rFonts w:ascii="Times New Roman" w:hAnsi="Times New Roman" w:cs="Times New Roman"/>
          <w:sz w:val="20"/>
          <w:szCs w:val="20"/>
        </w:rPr>
        <w:t xml:space="preserve">, probability </w:t>
      </w:r>
      <m:oMath>
        <m:r>
          <w:rPr>
            <w:rFonts w:ascii="Cambria Math" w:hAnsi="Cambria Math" w:cs="Times New Roman"/>
            <w:sz w:val="20"/>
            <w:szCs w:val="20"/>
          </w:rPr>
          <m:t>p</m:t>
        </m:r>
      </m:oMath>
      <w:r w:rsidR="0079342B" w:rsidRPr="002D7CDC">
        <w:rPr>
          <w:rFonts w:ascii="Times New Roman" w:hAnsi="Times New Roman" w:cs="Times New Roman"/>
          <w:sz w:val="20"/>
          <w:szCs w:val="20"/>
        </w:rPr>
        <w:t xml:space="preserve"> </w:t>
      </w:r>
      <w:r w:rsidRPr="002D7CDC">
        <w:rPr>
          <w:rFonts w:ascii="Times New Roman" w:hAnsi="Times New Roman" w:cs="Times New Roman"/>
          <w:sz w:val="20"/>
          <w:szCs w:val="20"/>
        </w:rPr>
        <w:t xml:space="preserve">and </w:t>
      </w:r>
      <w:r w:rsidR="0079342B">
        <w:rPr>
          <w:rFonts w:ascii="Times New Roman" w:hAnsi="Times New Roman" w:cs="Times New Roman"/>
          <w:sz w:val="20"/>
          <w:szCs w:val="20"/>
        </w:rPr>
        <w:t>over-dispersion</w:t>
      </w:r>
      <w:r w:rsidRPr="002D7CDC">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then:</w:t>
      </w:r>
    </w:p>
    <w:p w14:paraId="49884553" w14:textId="468B5D64" w:rsidR="003C1F45" w:rsidRPr="000B2196" w:rsidRDefault="00000000" w:rsidP="00373D9B">
      <w:pPr>
        <w:spacing w:line="276" w:lineRule="auto"/>
        <w:jc w:val="both"/>
        <w:rPr>
          <w:rFonts w:ascii="Times New Roman" w:hAnsi="Times New Roman" w:cs="Times New Roman"/>
          <w:color w:val="0D0D0D"/>
          <w:sz w:val="20"/>
          <w:szCs w:val="20"/>
          <w:shd w:val="clear" w:color="auto" w:fill="FFFFFF"/>
        </w:rPr>
      </w:pPr>
      <m:oMathPara>
        <m:oMath>
          <m:eqArr>
            <m:eqArrPr>
              <m:maxDist m:val="1"/>
              <m:ctrlPr>
                <w:rPr>
                  <w:rFonts w:ascii="Cambria Math" w:hAnsi="Cambria Math" w:cs="Times New Roman"/>
                  <w:i/>
                  <w:color w:val="0D0D0D"/>
                  <w:sz w:val="20"/>
                  <w:szCs w:val="20"/>
                  <w:shd w:val="clear" w:color="auto" w:fill="FFFFFF"/>
                </w:rPr>
              </m:ctrlPr>
            </m:eqArrPr>
            <m:e>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f</m:t>
                  </m:r>
                </m:e>
                <m:sub>
                  <m:r>
                    <w:rPr>
                      <w:rFonts w:ascii="Cambria Math" w:hAnsi="Cambria Math" w:cs="Times New Roman"/>
                      <w:color w:val="0D0D0D"/>
                      <w:sz w:val="20"/>
                      <w:szCs w:val="20"/>
                      <w:shd w:val="clear" w:color="auto" w:fill="FFFFFF"/>
                    </w:rPr>
                    <m:t>x</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e>
                  <m:r>
                    <w:rPr>
                      <w:rFonts w:ascii="Cambria Math" w:hAnsi="Cambria Math" w:cs="Times New Roman"/>
                      <w:color w:val="0D0D0D"/>
                      <w:sz w:val="20"/>
                      <w:szCs w:val="20"/>
                      <w:shd w:val="clear" w:color="auto" w:fill="FFFFFF"/>
                    </w:rPr>
                    <m:t>n,p,</m:t>
                  </m:r>
                  <m:r>
                    <m:rPr>
                      <m:sty m:val="p"/>
                    </m:rPr>
                    <w:rPr>
                      <w:rFonts w:ascii="Cambria Math" w:hAnsi="Cambria Math" w:cs="Times New Roman"/>
                      <w:color w:val="0D0D0D"/>
                      <w:sz w:val="20"/>
                      <w:szCs w:val="20"/>
                      <w:shd w:val="clear" w:color="auto" w:fill="FFFFFF"/>
                    </w:rPr>
                    <m:t>κ</m:t>
                  </m:r>
                </m:e>
              </m:d>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f>
                    <m:fPr>
                      <m:type m:val="noBar"/>
                      <m:ctrlPr>
                        <w:rPr>
                          <w:rFonts w:ascii="Cambria Math" w:hAnsi="Cambria Math" w:cs="Times New Roman"/>
                          <w:i/>
                          <w:color w:val="0D0D0D"/>
                          <w:sz w:val="20"/>
                          <w:szCs w:val="20"/>
                          <w:shd w:val="clear" w:color="auto" w:fill="FFFFFF"/>
                        </w:rPr>
                      </m:ctrlPr>
                    </m:fPr>
                    <m:num>
                      <m:r>
                        <w:rPr>
                          <w:rFonts w:ascii="Cambria Math" w:hAnsi="Cambria Math" w:cs="Times New Roman"/>
                          <w:color w:val="0D0D0D"/>
                          <w:sz w:val="20"/>
                          <w:szCs w:val="20"/>
                          <w:shd w:val="clear" w:color="auto" w:fill="FFFFFF"/>
                        </w:rPr>
                        <m:t>n</m:t>
                      </m:r>
                    </m:num>
                    <m:den>
                      <m:r>
                        <w:rPr>
                          <w:rFonts w:ascii="Cambria Math" w:hAnsi="Cambria Math" w:cs="Times New Roman"/>
                          <w:color w:val="0D0D0D"/>
                          <w:sz w:val="20"/>
                          <w:szCs w:val="20"/>
                          <w:shd w:val="clear" w:color="auto" w:fill="FFFFFF"/>
                        </w:rPr>
                        <m:t>x</m:t>
                      </m:r>
                    </m:den>
                  </m:f>
                </m:e>
              </m:d>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x+a,n-x+b</m:t>
                      </m:r>
                    </m:e>
                  </m:d>
                  <m:ctrlPr>
                    <w:rPr>
                      <w:rFonts w:ascii="Cambria Math" w:hAnsi="Cambria Math" w:cs="Times New Roman"/>
                      <w:i/>
                      <w:color w:val="0D0D0D"/>
                      <w:sz w:val="20"/>
                      <w:szCs w:val="20"/>
                      <w:shd w:val="clear" w:color="auto" w:fill="FFFFFF"/>
                    </w:rPr>
                  </m:ctrlPr>
                </m:num>
                <m:den>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a,b</m:t>
                      </m:r>
                    </m:e>
                  </m:d>
                  <m:ctrlPr>
                    <w:rPr>
                      <w:rFonts w:ascii="Cambria Math" w:hAnsi="Cambria Math" w:cs="Times New Roman"/>
                      <w:i/>
                      <w:color w:val="0D0D0D"/>
                      <w:sz w:val="20"/>
                      <w:szCs w:val="20"/>
                      <w:shd w:val="clear" w:color="auto" w:fill="FFFFFF"/>
                    </w:rPr>
                  </m:ctrlPr>
                </m:den>
              </m:f>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12</m:t>
                  </m:r>
                </m:e>
              </m:d>
            </m:e>
          </m:eqArr>
        </m:oMath>
      </m:oMathPara>
    </w:p>
    <w:p w14:paraId="31083E4B" w14:textId="0851C929" w:rsidR="000B2196" w:rsidRDefault="00877A9C"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where</w:t>
      </w:r>
      <w:r w:rsidR="000B2196">
        <w:rPr>
          <w:rFonts w:ascii="Times New Roman" w:hAnsi="Times New Roman" w:cs="Times New Roman"/>
          <w:color w:val="0D0D0D"/>
          <w:sz w:val="20"/>
          <w:szCs w:val="20"/>
          <w:shd w:val="clear" w:color="auto" w:fill="FFFFFF"/>
        </w:rPr>
        <w:t xml:space="preserve"> </w:t>
      </w:r>
      <m:oMath>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m:t>
            </m:r>
          </m:e>
        </m:d>
      </m:oMath>
      <w:r w:rsidR="000B2196">
        <w:rPr>
          <w:rFonts w:ascii="Times New Roman" w:hAnsi="Times New Roman" w:cs="Times New Roman"/>
          <w:color w:val="0D0D0D"/>
          <w:sz w:val="20"/>
          <w:szCs w:val="20"/>
          <w:shd w:val="clear" w:color="auto" w:fill="FFFFFF"/>
        </w:rPr>
        <w:t xml:space="preserve"> is the Beta function and </w:t>
      </w:r>
      <m:oMath>
        <m:r>
          <w:rPr>
            <w:rFonts w:ascii="Cambria Math" w:hAnsi="Cambria Math" w:cs="Times New Roman"/>
            <w:color w:val="0D0D0D"/>
            <w:sz w:val="20"/>
            <w:szCs w:val="20"/>
            <w:shd w:val="clear" w:color="auto" w:fill="FFFFFF"/>
          </w:rPr>
          <m:t>a=p</m:t>
        </m:r>
        <m:d>
          <m:dPr>
            <m:ctrlPr>
              <w:rPr>
                <w:rFonts w:ascii="Cambria Math" w:hAnsi="Cambria Math" w:cs="Times New Roman"/>
                <w:i/>
                <w:color w:val="0D0D0D"/>
                <w:sz w:val="20"/>
                <w:szCs w:val="20"/>
                <w:shd w:val="clear" w:color="auto" w:fill="FFFFFF"/>
              </w:rPr>
            </m:ctrlPr>
          </m:dPr>
          <m:e>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1-</m:t>
                </m:r>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num>
              <m:den>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den>
            </m:f>
          </m:e>
        </m:d>
      </m:oMath>
      <w:r w:rsidR="000B2196">
        <w:rPr>
          <w:rFonts w:ascii="Times New Roman" w:hAnsi="Times New Roman" w:cs="Times New Roman"/>
          <w:color w:val="0D0D0D"/>
          <w:sz w:val="20"/>
          <w:szCs w:val="20"/>
          <w:shd w:val="clear" w:color="auto" w:fill="FFFFFF"/>
        </w:rPr>
        <w:t xml:space="preserve">, </w:t>
      </w:r>
      <m:oMath>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1-p</m:t>
            </m:r>
          </m:e>
        </m:d>
        <m:d>
          <m:dPr>
            <m:ctrlPr>
              <w:rPr>
                <w:rFonts w:ascii="Cambria Math" w:hAnsi="Cambria Math" w:cs="Times New Roman"/>
                <w:i/>
                <w:color w:val="0D0D0D"/>
                <w:sz w:val="20"/>
                <w:szCs w:val="20"/>
                <w:shd w:val="clear" w:color="auto" w:fill="FFFFFF"/>
              </w:rPr>
            </m:ctrlPr>
          </m:dPr>
          <m:e>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1-</m:t>
                </m:r>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num>
              <m:den>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den>
            </m:f>
          </m:e>
        </m:d>
      </m:oMath>
      <w:r w:rsidR="000B2196">
        <w:rPr>
          <w:rFonts w:ascii="Times New Roman" w:hAnsi="Times New Roman" w:cs="Times New Roman"/>
          <w:color w:val="0D0D0D"/>
          <w:sz w:val="20"/>
          <w:szCs w:val="20"/>
          <w:shd w:val="clear" w:color="auto" w:fill="FFFFFF"/>
        </w:rPr>
        <w:t xml:space="preserve">. Under the Beta-Binomial distribution, the mean and variance of </w:t>
      </w:r>
      <m:oMath>
        <m:r>
          <w:rPr>
            <w:rFonts w:ascii="Cambria Math" w:hAnsi="Cambria Math" w:cs="Times New Roman"/>
            <w:color w:val="0D0D0D"/>
            <w:sz w:val="20"/>
            <w:szCs w:val="20"/>
            <w:shd w:val="clear" w:color="auto" w:fill="FFFFFF"/>
          </w:rPr>
          <m:t>X</m:t>
        </m:r>
      </m:oMath>
      <w:r w:rsidR="000B2196">
        <w:rPr>
          <w:rFonts w:ascii="Times New Roman" w:hAnsi="Times New Roman" w:cs="Times New Roman"/>
          <w:color w:val="0D0D0D"/>
          <w:sz w:val="20"/>
          <w:szCs w:val="20"/>
          <w:shd w:val="clear" w:color="auto" w:fill="FFFFFF"/>
        </w:rPr>
        <w:t xml:space="preserve"> are </w:t>
      </w:r>
      <m:oMath>
        <m:r>
          <w:rPr>
            <w:rFonts w:ascii="Cambria Math" w:hAnsi="Cambria Math" w:cs="Times New Roman"/>
            <w:color w:val="0D0D0D"/>
            <w:sz w:val="20"/>
            <w:szCs w:val="20"/>
            <w:shd w:val="clear" w:color="auto" w:fill="FFFFFF"/>
          </w:rPr>
          <m:t>E</m:t>
        </m:r>
        <m:d>
          <m:dPr>
            <m:begChr m:val="["/>
            <m:endChr m:val="]"/>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d>
        <m:r>
          <w:rPr>
            <w:rFonts w:ascii="Cambria Math" w:hAnsi="Cambria Math" w:cs="Times New Roman"/>
            <w:color w:val="0D0D0D"/>
            <w:sz w:val="20"/>
            <w:szCs w:val="20"/>
            <w:shd w:val="clear" w:color="auto" w:fill="FFFFFF"/>
          </w:rPr>
          <m:t>=np</m:t>
        </m:r>
      </m:oMath>
      <w:r w:rsidR="000B2196">
        <w:rPr>
          <w:rFonts w:ascii="Times New Roman" w:hAnsi="Times New Roman" w:cs="Times New Roman"/>
          <w:color w:val="0D0D0D"/>
          <w:sz w:val="20"/>
          <w:szCs w:val="20"/>
          <w:shd w:val="clear" w:color="auto" w:fill="FFFFFF"/>
        </w:rPr>
        <w:t xml:space="preserve"> and </w:t>
      </w:r>
      <m:oMath>
        <m:r>
          <w:rPr>
            <w:rFonts w:ascii="Cambria Math" w:hAnsi="Cambria Math" w:cs="Times New Roman"/>
            <w:color w:val="0D0D0D"/>
            <w:sz w:val="20"/>
            <w:szCs w:val="20"/>
            <w:shd w:val="clear" w:color="auto" w:fill="FFFFFF"/>
          </w:rPr>
          <m:t>Var</m:t>
        </m:r>
        <m:d>
          <m:dPr>
            <m:begChr m:val="["/>
            <m:endChr m:val="]"/>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d>
        <m:r>
          <w:rPr>
            <w:rFonts w:ascii="Cambria Math" w:hAnsi="Cambria Math" w:cs="Times New Roman"/>
            <w:color w:val="0D0D0D"/>
            <w:sz w:val="20"/>
            <w:szCs w:val="20"/>
            <w:shd w:val="clear" w:color="auto" w:fill="FFFFFF"/>
          </w:rPr>
          <m:t>=np</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1-p</m:t>
            </m:r>
          </m:e>
        </m:d>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n-1</m:t>
                </m:r>
              </m:e>
            </m:d>
            <m:r>
              <m:rPr>
                <m:sty m:val="p"/>
              </m:rPr>
              <w:rPr>
                <w:rFonts w:ascii="Cambria Math" w:hAnsi="Cambria Math" w:cs="Times New Roman"/>
                <w:color w:val="0D0D0D"/>
                <w:sz w:val="20"/>
                <w:szCs w:val="20"/>
                <w:shd w:val="clear" w:color="auto" w:fill="FFFFFF"/>
              </w:rPr>
              <m:t>κ</m:t>
            </m:r>
          </m:e>
        </m:d>
      </m:oMath>
      <w:r w:rsidR="00EE4B38">
        <w:rPr>
          <w:rFonts w:ascii="Times New Roman" w:hAnsi="Times New Roman" w:cs="Times New Roman"/>
          <w:color w:val="0D0D0D"/>
          <w:sz w:val="20"/>
          <w:szCs w:val="20"/>
          <w:shd w:val="clear" w:color="auto" w:fill="FFFFFF"/>
        </w:rPr>
        <w:t xml:space="preserve"> respectively.</w:t>
      </w:r>
    </w:p>
    <w:p w14:paraId="1EA6A0DE" w14:textId="77777777" w:rsidR="00EE4B38" w:rsidRDefault="00EE4B38"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 xml:space="preserve">The model-predicted probability that a diagnosis in year </w:t>
      </w:r>
      <m:oMath>
        <m:r>
          <w:rPr>
            <w:rFonts w:ascii="Cambria Math" w:hAnsi="Cambria Math" w:cs="Times New Roman"/>
            <w:color w:val="0D0D0D"/>
            <w:sz w:val="20"/>
            <w:szCs w:val="20"/>
            <w:shd w:val="clear" w:color="auto" w:fill="FFFFFF"/>
          </w:rPr>
          <m:t>t</m:t>
        </m:r>
      </m:oMath>
      <w:r>
        <w:rPr>
          <w:rFonts w:ascii="Times New Roman" w:hAnsi="Times New Roman" w:cs="Times New Roman"/>
          <w:color w:val="0D0D0D"/>
          <w:sz w:val="20"/>
          <w:szCs w:val="20"/>
          <w:shd w:val="clear" w:color="auto" w:fill="FFFFFF"/>
        </w:rPr>
        <w:t xml:space="preserve"> was symptomatic is </w:t>
      </w:r>
    </w:p>
    <w:p w14:paraId="72655DE5" w14:textId="3FBE625D" w:rsidR="00EE4B38" w:rsidRDefault="00000000" w:rsidP="00373D9B">
      <w:pPr>
        <w:spacing w:line="276" w:lineRule="auto"/>
        <w:jc w:val="both"/>
        <w:rPr>
          <w:rFonts w:ascii="Times New Roman" w:hAnsi="Times New Roman" w:cs="Times New Roman"/>
          <w:color w:val="0D0D0D"/>
          <w:sz w:val="20"/>
          <w:szCs w:val="20"/>
          <w:shd w:val="clear" w:color="auto" w:fill="FFFFFF"/>
        </w:rPr>
      </w:pPr>
      <m:oMathPara>
        <m:oMath>
          <m:eqArr>
            <m:eqArrPr>
              <m:maxDist m:val="1"/>
              <m:ctrlPr>
                <w:rPr>
                  <w:rFonts w:ascii="Cambria Math" w:hAnsi="Cambria Math" w:cs="Times New Roman"/>
                  <w:i/>
                  <w:color w:val="0D0D0D"/>
                  <w:sz w:val="20"/>
                  <w:szCs w:val="20"/>
                  <w:shd w:val="clear" w:color="auto" w:fill="FFFFFF"/>
                </w:rPr>
              </m:ctrlPr>
            </m:eqArrPr>
            <m:e>
              <m:f>
                <m:fPr>
                  <m:ctrlPr>
                    <w:rPr>
                      <w:rFonts w:ascii="Cambria Math" w:hAnsi="Cambria Math" w:cs="Times New Roman"/>
                      <w:color w:val="0D0D0D"/>
                      <w:sz w:val="20"/>
                      <w:szCs w:val="20"/>
                      <w:shd w:val="clear" w:color="auto" w:fill="FFFFFF"/>
                    </w:rPr>
                  </m:ctrlPr>
                </m:fPr>
                <m:num>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ctrlPr>
                    <w:rPr>
                      <w:rFonts w:ascii="Cambria Math" w:hAnsi="Cambria Math" w:cs="Times New Roman"/>
                      <w:i/>
                      <w:color w:val="0D0D0D"/>
                      <w:sz w:val="20"/>
                      <w:szCs w:val="20"/>
                      <w:shd w:val="clear" w:color="auto" w:fill="FFFFFF"/>
                    </w:rPr>
                  </m:ctrlPr>
                </m:num>
                <m:den>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r>
                    <w:rPr>
                      <w:rFonts w:ascii="Cambria Math" w:hAnsi="Cambria Math" w:cs="Times New Roman"/>
                      <w:color w:val="0D0D0D"/>
                      <w:sz w:val="20"/>
                      <w:szCs w:val="20"/>
                      <w:shd w:val="clear" w:color="auto" w:fill="FFFFFF"/>
                    </w:rPr>
                    <m:t>+</m:t>
                  </m:r>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ctrlPr>
                    <w:rPr>
                      <w:rFonts w:ascii="Cambria Math" w:hAnsi="Cambria Math" w:cs="Times New Roman"/>
                      <w:i/>
                      <w:color w:val="0D0D0D"/>
                      <w:sz w:val="20"/>
                      <w:szCs w:val="20"/>
                      <w:shd w:val="clear" w:color="auto" w:fill="FFFFFF"/>
                    </w:rPr>
                  </m:ctrlPr>
                </m:den>
              </m:f>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13</m:t>
                  </m:r>
                </m:e>
              </m:d>
            </m:e>
          </m:eqArr>
        </m:oMath>
      </m:oMathPara>
    </w:p>
    <w:p w14:paraId="78599312" w14:textId="01B55053" w:rsidR="00EE4B38" w:rsidRDefault="00EE4B38"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 xml:space="preserve">where </w:t>
      </w:r>
      <m:oMath>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oMath>
      <w:r>
        <w:rPr>
          <w:rFonts w:ascii="Times New Roman" w:hAnsi="Times New Roman" w:cs="Times New Roman"/>
          <w:color w:val="0D0D0D"/>
          <w:sz w:val="20"/>
          <w:szCs w:val="20"/>
          <w:shd w:val="clear" w:color="auto" w:fill="FFFFFF"/>
        </w:rPr>
        <w:t xml:space="preserve"> and </w:t>
      </w:r>
      <m:oMath>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oMath>
      <w:r>
        <w:rPr>
          <w:rFonts w:ascii="Times New Roman" w:hAnsi="Times New Roman" w:cs="Times New Roman"/>
          <w:color w:val="0D0D0D"/>
          <w:sz w:val="20"/>
          <w:szCs w:val="20"/>
          <w:shd w:val="clear" w:color="auto" w:fill="FFFFFF"/>
        </w:rPr>
        <w:t xml:space="preserve"> and the number of symptomatic and asymptomatic diagnoses in year </w:t>
      </w:r>
      <m:oMath>
        <m:r>
          <w:rPr>
            <w:rFonts w:ascii="Cambria Math" w:hAnsi="Cambria Math" w:cs="Times New Roman"/>
            <w:color w:val="0D0D0D"/>
            <w:sz w:val="20"/>
            <w:szCs w:val="20"/>
            <w:shd w:val="clear" w:color="auto" w:fill="FFFFFF"/>
          </w:rPr>
          <m:t>t</m:t>
        </m:r>
      </m:oMath>
      <w:r>
        <w:rPr>
          <w:rFonts w:ascii="Times New Roman" w:hAnsi="Times New Roman" w:cs="Times New Roman"/>
          <w:color w:val="0D0D0D"/>
          <w:sz w:val="20"/>
          <w:szCs w:val="20"/>
          <w:shd w:val="clear" w:color="auto" w:fill="FFFFFF"/>
        </w:rPr>
        <w:t>, respectively, as follows:</w:t>
      </w:r>
    </w:p>
    <w:p w14:paraId="1ACB1A93" w14:textId="48BB77FE" w:rsidR="00877A9C" w:rsidRPr="00877A9C" w:rsidRDefault="00000000" w:rsidP="00373D9B">
      <w:pPr>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μ</m:t>
                          </m:r>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14</m:t>
                  </m:r>
                </m:e>
              </m:d>
            </m:e>
          </m:eqArr>
          <m:r>
            <m:rPr>
              <m:sty m:val="p"/>
            </m:rPr>
            <w:rPr>
              <w:rFonts w:ascii="Times New Roman" w:hAnsi="Times New Roman" w:cs="Times New Roman"/>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A</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η</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15</m:t>
                  </m:r>
                </m:e>
              </m:d>
            </m:e>
          </m:eqArr>
        </m:oMath>
      </m:oMathPara>
    </w:p>
    <w:p w14:paraId="55CAC18B" w14:textId="75561A94" w:rsidR="00877A9C" w:rsidRDefault="00877A9C" w:rsidP="00373D9B">
      <w:pPr>
        <w:spacing w:line="276" w:lineRule="auto"/>
        <w:jc w:val="both"/>
        <w:rPr>
          <w:rFonts w:ascii="Times New Roman" w:hAnsi="Times New Roman" w:cs="Times New Roman"/>
          <w:color w:val="0D0D0D"/>
          <w:sz w:val="20"/>
          <w:szCs w:val="20"/>
          <w:shd w:val="clear" w:color="auto" w:fill="FFFFFF"/>
          <w:lang w:val="en-US"/>
        </w:rPr>
      </w:pPr>
      <w:r>
        <w:rPr>
          <w:rFonts w:ascii="Times New Roman" w:hAnsi="Times New Roman" w:cs="Times New Roman"/>
          <w:iCs/>
          <w:color w:val="0D0D0D"/>
          <w:sz w:val="20"/>
          <w:szCs w:val="20"/>
          <w:shd w:val="clear" w:color="auto" w:fill="FFFFFF"/>
          <w:lang w:val="en-US"/>
        </w:rPr>
        <w:t>We model</w:t>
      </w:r>
      <w:r w:rsidR="00F5221A">
        <w:rPr>
          <w:rFonts w:ascii="Times New Roman" w:hAnsi="Times New Roman" w:cs="Times New Roman"/>
          <w:iCs/>
          <w:color w:val="0D0D0D"/>
          <w:sz w:val="20"/>
          <w:szCs w:val="20"/>
          <w:shd w:val="clear" w:color="auto" w:fill="FFFFFF"/>
          <w:lang w:val="en-US"/>
        </w:rPr>
        <w:t>l</w:t>
      </w:r>
      <w:r>
        <w:rPr>
          <w:rFonts w:ascii="Times New Roman" w:hAnsi="Times New Roman" w:cs="Times New Roman"/>
          <w:iCs/>
          <w:color w:val="0D0D0D"/>
          <w:sz w:val="20"/>
          <w:szCs w:val="20"/>
          <w:shd w:val="clear" w:color="auto" w:fill="FFFFFF"/>
          <w:lang w:val="en-US"/>
        </w:rPr>
        <w:t xml:space="preserve">ed </w:t>
      </w:r>
      <w:r w:rsidR="00F5221A">
        <w:rPr>
          <w:rFonts w:ascii="Times New Roman" w:hAnsi="Times New Roman" w:cs="Times New Roman"/>
          <w:iCs/>
          <w:color w:val="0D0D0D"/>
          <w:sz w:val="20"/>
          <w:szCs w:val="20"/>
          <w:shd w:val="clear" w:color="auto" w:fill="FFFFFF"/>
          <w:lang w:val="en-US"/>
        </w:rPr>
        <w:t xml:space="preserve">the number of symptomatic diagnoses in GRASP, accounting for the size of the GRASP sample,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R</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F5221A">
        <w:rPr>
          <w:rFonts w:ascii="Times New Roman" w:hAnsi="Times New Roman" w:cs="Times New Roman"/>
          <w:iCs/>
          <w:color w:val="0D0D0D"/>
          <w:sz w:val="20"/>
          <w:szCs w:val="20"/>
          <w:shd w:val="clear" w:color="auto" w:fill="FFFFFF"/>
          <w:lang w:val="en-US"/>
        </w:rPr>
        <w:t xml:space="preserve">, and fitted the shape parameter for the GRASP dataset,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S</m:t>
            </m:r>
          </m:sub>
        </m:sSub>
      </m:oMath>
      <w:r w:rsidR="00F5221A">
        <w:rPr>
          <w:rFonts w:ascii="Times New Roman" w:hAnsi="Times New Roman" w:cs="Times New Roman"/>
          <w:color w:val="0D0D0D"/>
          <w:sz w:val="20"/>
          <w:szCs w:val="20"/>
          <w:shd w:val="clear" w:color="auto" w:fill="FFFFFF"/>
          <w:lang w:val="en-US"/>
        </w:rPr>
        <w:t>, within the Bayesian framework:</w:t>
      </w:r>
    </w:p>
    <w:p w14:paraId="12E230CF" w14:textId="2161DA68" w:rsidR="00F5221A" w:rsidRPr="00F5221A" w:rsidRDefault="00000000" w:rsidP="00373D9B">
      <w:pPr>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~BetaBinom</m:t>
              </m:r>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R</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f>
                        <m:fPr>
                          <m:ctrlPr>
                            <w:rPr>
                              <w:rFonts w:ascii="Cambria Math" w:hAnsi="Cambria Math" w:cs="Times New Roman"/>
                              <w:i/>
                              <w:color w:val="0D0D0D"/>
                              <w:sz w:val="20"/>
                              <w:szCs w:val="20"/>
                              <w:shd w:val="clear" w:color="auto" w:fill="FFFFFF"/>
                            </w:rPr>
                          </m:ctrlPr>
                        </m:fPr>
                        <m:num>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num>
                        <m:den>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r>
                            <w:rPr>
                              <w:rFonts w:ascii="Cambria Math" w:hAnsi="Cambria Math" w:cs="Times New Roman"/>
                              <w:color w:val="0D0D0D"/>
                              <w:sz w:val="20"/>
                              <w:szCs w:val="20"/>
                              <w:shd w:val="clear" w:color="auto" w:fill="FFFFFF"/>
                            </w:rPr>
                            <m:t>+</m:t>
                          </m:r>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den>
                      </m:f>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S</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16</m:t>
                  </m:r>
                </m:e>
              </m:d>
            </m:e>
          </m:eqArr>
        </m:oMath>
      </m:oMathPara>
    </w:p>
    <w:p w14:paraId="0C57FEA2" w14:textId="50B50D6A" w:rsidR="00373D9B" w:rsidRPr="000B2196" w:rsidRDefault="00373D9B" w:rsidP="00373D9B">
      <w:pPr>
        <w:spacing w:line="276" w:lineRule="auto"/>
        <w:jc w:val="both"/>
        <w:rPr>
          <w:rFonts w:ascii="Times New Roman" w:hAnsi="Times New Roman" w:cs="Times New Roman"/>
          <w:color w:val="0D0D0D"/>
          <w:sz w:val="20"/>
          <w:szCs w:val="20"/>
          <w:shd w:val="clear" w:color="auto" w:fill="FFFFFF"/>
        </w:rPr>
      </w:pPr>
      <w:r w:rsidRPr="002D7CDC">
        <w:rPr>
          <w:rFonts w:ascii="Times New Roman" w:hAnsi="Times New Roman" w:cs="Times New Roman"/>
          <w:color w:val="0D0D0D"/>
          <w:sz w:val="20"/>
          <w:szCs w:val="20"/>
          <w:shd w:val="clear" w:color="auto" w:fill="FFFFFF"/>
          <w:lang w:val="en-US"/>
        </w:rPr>
        <w:t xml:space="preserve">The </w:t>
      </w:r>
      <w:r>
        <w:rPr>
          <w:rFonts w:ascii="Times New Roman" w:hAnsi="Times New Roman" w:cs="Times New Roman"/>
          <w:color w:val="0D0D0D"/>
          <w:sz w:val="20"/>
          <w:szCs w:val="20"/>
          <w:shd w:val="clear" w:color="auto" w:fill="FFFFFF"/>
          <w:lang w:val="en-US"/>
        </w:rPr>
        <w:t xml:space="preserve">overall </w:t>
      </w:r>
      <w:r w:rsidRPr="002D7CDC">
        <w:rPr>
          <w:rFonts w:ascii="Times New Roman" w:hAnsi="Times New Roman" w:cs="Times New Roman"/>
          <w:color w:val="0D0D0D"/>
          <w:sz w:val="20"/>
          <w:szCs w:val="20"/>
          <w:shd w:val="clear" w:color="auto" w:fill="FFFFFF"/>
          <w:lang w:val="en-US"/>
        </w:rPr>
        <w:t xml:space="preserve">likelihood of the </w:t>
      </w:r>
      <w:r>
        <w:rPr>
          <w:rFonts w:ascii="Times New Roman" w:hAnsi="Times New Roman" w:cs="Times New Roman"/>
          <w:color w:val="0D0D0D"/>
          <w:sz w:val="20"/>
          <w:szCs w:val="20"/>
          <w:shd w:val="clear" w:color="auto" w:fill="FFFFFF"/>
          <w:lang w:val="en-US"/>
        </w:rPr>
        <w:t>data</w:t>
      </w:r>
      <w:r w:rsidRPr="002D7CDC">
        <w:rPr>
          <w:rFonts w:ascii="Times New Roman" w:hAnsi="Times New Roman" w:cs="Times New Roman"/>
          <w:color w:val="0D0D0D"/>
          <w:sz w:val="20"/>
          <w:szCs w:val="20"/>
          <w:shd w:val="clear" w:color="auto" w:fill="FFFFFF"/>
          <w:lang w:val="en-US"/>
        </w:rPr>
        <w:t xml:space="preserve"> given the modelled trajectories produced by parameter set </w:t>
      </w:r>
      <m:oMath>
        <m:r>
          <m:rPr>
            <m:sty m:val="p"/>
          </m:rPr>
          <w:rPr>
            <w:rFonts w:ascii="Cambria Math" w:hAnsi="Cambria Math" w:cs="Times New Roman"/>
            <w:color w:val="0D0D0D"/>
            <w:sz w:val="20"/>
            <w:szCs w:val="20"/>
            <w:shd w:val="clear" w:color="auto" w:fill="FFFFFF"/>
            <w:lang w:val="en-US"/>
          </w:rPr>
          <m:t>Θ</m:t>
        </m:r>
      </m:oMath>
      <w:r w:rsidRPr="002D7CDC">
        <w:rPr>
          <w:rFonts w:ascii="Times New Roman" w:hAnsi="Times New Roman" w:cs="Times New Roman"/>
          <w:color w:val="0D0D0D"/>
          <w:sz w:val="20"/>
          <w:szCs w:val="20"/>
          <w:shd w:val="clear" w:color="auto" w:fill="FFFFFF"/>
          <w:lang w:val="en-US"/>
        </w:rPr>
        <w:t xml:space="preserve"> was calculated as the product of the likelihoods of the </w:t>
      </w:r>
      <w:r w:rsidR="00506AFF">
        <w:rPr>
          <w:rFonts w:ascii="Times New Roman" w:hAnsi="Times New Roman" w:cs="Times New Roman"/>
          <w:color w:val="0D0D0D"/>
          <w:sz w:val="20"/>
          <w:szCs w:val="20"/>
          <w:shd w:val="clear" w:color="auto" w:fill="FFFFFF"/>
          <w:lang w:val="en-US"/>
        </w:rPr>
        <w:t xml:space="preserve">six </w:t>
      </w:r>
      <w:r w:rsidRPr="002D7CDC">
        <w:rPr>
          <w:rFonts w:ascii="Times New Roman" w:hAnsi="Times New Roman" w:cs="Times New Roman"/>
          <w:color w:val="0D0D0D"/>
          <w:sz w:val="20"/>
          <w:szCs w:val="20"/>
          <w:shd w:val="clear" w:color="auto" w:fill="FFFFFF"/>
          <w:lang w:val="en-US"/>
        </w:rPr>
        <w:t>data stream</w:t>
      </w:r>
      <w:r w:rsidR="00506AFF">
        <w:rPr>
          <w:rFonts w:ascii="Times New Roman" w:hAnsi="Times New Roman" w:cs="Times New Roman"/>
          <w:color w:val="0D0D0D"/>
          <w:sz w:val="20"/>
          <w:szCs w:val="20"/>
          <w:shd w:val="clear" w:color="auto" w:fill="FFFFFF"/>
          <w:lang w:val="en-US"/>
        </w:rPr>
        <w:t>s</w:t>
      </w:r>
      <w:r w:rsidRPr="002D7CDC">
        <w:rPr>
          <w:rFonts w:ascii="Times New Roman" w:hAnsi="Times New Roman" w:cs="Times New Roman"/>
          <w:color w:val="0D0D0D"/>
          <w:sz w:val="20"/>
          <w:szCs w:val="20"/>
          <w:shd w:val="clear" w:color="auto" w:fill="FFFFFF"/>
          <w:lang w:val="en-US"/>
        </w:rPr>
        <w:t xml:space="preserve"> in each year </w:t>
      </w:r>
      <m:oMath>
        <m:r>
          <w:rPr>
            <w:rFonts w:ascii="Cambria Math" w:hAnsi="Cambria Math" w:cs="Times New Roman"/>
            <w:color w:val="0D0D0D"/>
            <w:sz w:val="20"/>
            <w:szCs w:val="20"/>
            <w:shd w:val="clear" w:color="auto" w:fill="FFFFFF"/>
            <w:lang w:val="en-US"/>
          </w:rPr>
          <m:t>t</m:t>
        </m:r>
      </m:oMath>
      <w:r w:rsidRPr="002D7CDC">
        <w:rPr>
          <w:rFonts w:ascii="Times New Roman" w:hAnsi="Times New Roman" w:cs="Times New Roman"/>
          <w:color w:val="0D0D0D"/>
          <w:sz w:val="20"/>
          <w:szCs w:val="20"/>
          <w:shd w:val="clear" w:color="auto" w:fill="FFFFFF"/>
          <w:lang w:val="en-US"/>
        </w:rPr>
        <w:t xml:space="preserve"> = 2011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0</m:t>
            </m:r>
          </m:sub>
        </m:sSub>
      </m:oMath>
      <w:r w:rsidRPr="002D7CDC">
        <w:rPr>
          <w:rFonts w:ascii="Times New Roman" w:hAnsi="Times New Roman" w:cs="Times New Roman"/>
          <w:color w:val="0D0D0D"/>
          <w:sz w:val="20"/>
          <w:szCs w:val="20"/>
          <w:shd w:val="clear" w:color="auto" w:fill="FFFFFF"/>
          <w:lang w:val="en-US"/>
        </w:rPr>
        <w:t>), …, 20</w:t>
      </w:r>
      <w:r w:rsidR="002A1438">
        <w:rPr>
          <w:rFonts w:ascii="Times New Roman" w:hAnsi="Times New Roman" w:cs="Times New Roman"/>
          <w:color w:val="0D0D0D"/>
          <w:sz w:val="20"/>
          <w:szCs w:val="20"/>
          <w:shd w:val="clear" w:color="auto" w:fill="FFFFFF"/>
          <w:lang w:val="en-US"/>
        </w:rPr>
        <w:t>19, 2022</w:t>
      </w:r>
      <w:r w:rsidRPr="002D7CDC">
        <w:rPr>
          <w:rFonts w:ascii="Times New Roman" w:hAnsi="Times New Roman" w:cs="Times New Roman"/>
          <w:color w:val="0D0D0D"/>
          <w:sz w:val="20"/>
          <w:szCs w:val="20"/>
          <w:shd w:val="clear" w:color="auto" w:fill="FFFFFF"/>
          <w:lang w:val="en-US"/>
        </w:rPr>
        <w:t>, 2023, 2024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max</m:t>
            </m:r>
          </m:sub>
        </m:sSub>
      </m:oMath>
      <w:r w:rsidRPr="002D7CDC">
        <w:rPr>
          <w:rFonts w:ascii="Times New Roman" w:hAnsi="Times New Roman" w:cs="Times New Roman"/>
          <w:color w:val="0D0D0D"/>
          <w:sz w:val="20"/>
          <w:szCs w:val="20"/>
          <w:shd w:val="clear" w:color="auto" w:fill="FFFFFF"/>
          <w:lang w:val="en-US"/>
        </w:rPr>
        <w:t>) for England</w:t>
      </w:r>
      <w:r w:rsidR="000D472A">
        <w:rPr>
          <w:rFonts w:ascii="Times New Roman" w:hAnsi="Times New Roman" w:cs="Times New Roman"/>
          <w:color w:val="0D0D0D"/>
          <w:sz w:val="20"/>
          <w:szCs w:val="20"/>
          <w:shd w:val="clear" w:color="auto" w:fill="FFFFFF"/>
          <w:lang w:val="en-US"/>
        </w:rPr>
        <w:t xml:space="preserve"> (</w:t>
      </w:r>
      <m:oMath>
        <m:r>
          <w:rPr>
            <w:rFonts w:ascii="Cambria Math" w:hAnsi="Cambria Math" w:cs="Times New Roman"/>
            <w:color w:val="0D0D0D"/>
            <w:sz w:val="20"/>
            <w:szCs w:val="20"/>
            <w:shd w:val="clear" w:color="auto" w:fill="FFFFFF"/>
            <w:lang w:val="en-US"/>
          </w:rPr>
          <m:t>t=2020, 2021</m:t>
        </m:r>
      </m:oMath>
      <w:r w:rsidR="000D472A">
        <w:rPr>
          <w:rFonts w:ascii="Times New Roman" w:hAnsi="Times New Roman" w:cs="Times New Roman"/>
          <w:color w:val="0D0D0D"/>
          <w:sz w:val="20"/>
          <w:szCs w:val="20"/>
          <w:shd w:val="clear" w:color="auto" w:fill="FFFFFF"/>
          <w:lang w:val="en-US"/>
        </w:rPr>
        <w:t xml:space="preserve"> </w:t>
      </w:r>
      <w:r w:rsidR="0016426E">
        <w:rPr>
          <w:rFonts w:ascii="Times New Roman" w:hAnsi="Times New Roman" w:cs="Times New Roman"/>
          <w:color w:val="0D0D0D"/>
          <w:sz w:val="20"/>
          <w:szCs w:val="20"/>
          <w:shd w:val="clear" w:color="auto" w:fill="FFFFFF"/>
          <w:lang w:val="en-US"/>
        </w:rPr>
        <w:t>were excluded</w:t>
      </w:r>
      <w:r w:rsidR="000D472A">
        <w:rPr>
          <w:rFonts w:ascii="Times New Roman" w:hAnsi="Times New Roman" w:cs="Times New Roman"/>
          <w:color w:val="0D0D0D"/>
          <w:sz w:val="20"/>
          <w:szCs w:val="20"/>
          <w:shd w:val="clear" w:color="auto" w:fill="FFFFFF"/>
          <w:lang w:val="en-US"/>
        </w:rPr>
        <w:t xml:space="preserve"> for England for all six data streams)</w:t>
      </w:r>
      <w:r w:rsidR="00506AFF">
        <w:rPr>
          <w:rFonts w:ascii="Times New Roman" w:hAnsi="Times New Roman" w:cs="Times New Roman"/>
          <w:color w:val="0D0D0D"/>
          <w:sz w:val="20"/>
          <w:szCs w:val="20"/>
          <w:shd w:val="clear" w:color="auto" w:fill="FFFFFF"/>
          <w:lang w:val="en-US"/>
        </w:rPr>
        <w:t>, as follows:</w:t>
      </w:r>
    </w:p>
    <w:p w14:paraId="4E99A476" w14:textId="4BB48032" w:rsidR="001725A7" w:rsidRPr="005B07EA" w:rsidRDefault="00000000" w:rsidP="009701A4">
      <w:pPr>
        <w:pStyle w:val="NormalWeb"/>
        <w:spacing w:line="276" w:lineRule="auto"/>
        <w:jc w:val="both"/>
        <w:rPr>
          <w:i/>
          <w:sz w:val="20"/>
          <w:szCs w:val="20"/>
        </w:rPr>
      </w:pPr>
      <m:oMathPara>
        <m:oMath>
          <m:eqArr>
            <m:eqArrPr>
              <m:maxDist m:val="1"/>
              <m:ctrlPr>
                <w:rPr>
                  <w:rFonts w:ascii="Cambria Math" w:hAnsi="Cambria Math"/>
                  <w:i/>
                  <w:color w:val="0D0D0D"/>
                  <w:sz w:val="20"/>
                  <w:szCs w:val="20"/>
                  <w:shd w:val="clear" w:color="auto" w:fill="FFFFFF"/>
                  <w:lang w:val="en-US"/>
                </w:rPr>
              </m:ctrlPr>
            </m:eqArrPr>
            <m:e>
              <m:r>
                <w:rPr>
                  <w:rFonts w:ascii="Cambria Math" w:hAnsi="Cambria Math"/>
                  <w:color w:val="0D0D0D"/>
                  <w:sz w:val="20"/>
                  <w:szCs w:val="20"/>
                  <w:shd w:val="clear" w:color="auto" w:fill="FFFFFF"/>
                  <w:lang w:val="en-US"/>
                </w:rPr>
                <m:t>L</m:t>
              </m:r>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Z</m:t>
                  </m:r>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m:t>
              </m:r>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m:t>
                  </m:r>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0</m:t>
                      </m:r>
                    </m:sub>
                  </m:sSub>
                </m:sub>
                <m:sup>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max</m:t>
                      </m:r>
                    </m:sub>
                  </m:sSub>
                </m:sup>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T</m:t>
                          </m:r>
                        </m:sub>
                      </m:sSub>
                    </m:sub>
                  </m:sSub>
                  <m:d>
                    <m:dPr>
                      <m:ctrlPr>
                        <w:rPr>
                          <w:rFonts w:ascii="Cambria Math" w:hAnsi="Cambria Math"/>
                          <w:i/>
                          <w:color w:val="0D0D0D"/>
                          <w:sz w:val="20"/>
                          <w:szCs w:val="20"/>
                          <w:shd w:val="clear" w:color="auto" w:fill="FFFFFF"/>
                          <w:lang w:val="en-US"/>
                        </w:rPr>
                      </m:ctrlPr>
                    </m:d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T</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c</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c</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d2</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d2</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 xml:space="preserve"> </m:t>
                  </m:r>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t=2015</m:t>
                      </m:r>
                    </m:sub>
                    <m:sup>
                      <m:r>
                        <w:rPr>
                          <w:rFonts w:ascii="Cambria Math" w:hAnsi="Cambria Math"/>
                          <w:color w:val="0D0D0D"/>
                          <w:sz w:val="20"/>
                          <w:szCs w:val="20"/>
                          <w:shd w:val="clear" w:color="auto" w:fill="FFFFFF"/>
                          <w:lang w:val="en-US"/>
                        </w:rPr>
                        <m:t>2022</m:t>
                      </m:r>
                    </m:sup>
                    <m:e>
                      <m:sSub>
                        <m:sSubPr>
                          <m:ctrlPr>
                            <w:rPr>
                              <w:rFonts w:ascii="Cambria Math" w:hAnsi="Cambria Math"/>
                              <w:i/>
                              <w:color w:val="0D0D0D"/>
                              <w:sz w:val="20"/>
                              <w:szCs w:val="20"/>
                              <w:shd w:val="clear" w:color="auto" w:fill="FFFFFF"/>
                              <w:lang w:val="en-US"/>
                            </w:rPr>
                          </m:ctrlPr>
                        </m:sSub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eastAsiaTheme="minorEastAsia" w:hAnsi="Cambria Math"/>
                                      <w:color w:val="0D0D0D"/>
                                      <w:kern w:val="2"/>
                                      <w:sz w:val="20"/>
                                      <w:szCs w:val="20"/>
                                      <w:shd w:val="clear" w:color="auto" w:fill="FFFFFF"/>
                                      <w:lang w:val="en-US"/>
                                      <w14:ligatures w14:val="standardContextual"/>
                                    </w:rPr>
                                    <m:t>0</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0</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t</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t</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e>
                  </m:nary>
                </m:e>
              </m:nary>
              <m:ctrlPr>
                <w:rPr>
                  <w:rFonts w:ascii="Cambria Math" w:eastAsia="Cambria Math" w:hAnsi="Cambria Math" w:cs="Cambria Math"/>
                  <w:i/>
                  <w:color w:val="0D0D0D"/>
                  <w:sz w:val="20"/>
                  <w:szCs w:val="20"/>
                  <w:shd w:val="clear" w:color="auto" w:fill="FFFFFF"/>
                </w:rPr>
              </m:ctrlPr>
            </m:e>
            <m:e>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t=2013</m:t>
                  </m:r>
                </m:sub>
                <m:sup>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max</m:t>
                      </m:r>
                    </m:sub>
                  </m:sSub>
                </m:sup>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S</m:t>
                          </m:r>
                        </m:sub>
                      </m:sSub>
                    </m:sub>
                  </m:sSub>
                  <m:d>
                    <m:dPr>
                      <m:ctrlPr>
                        <w:rPr>
                          <w:rFonts w:ascii="Cambria Math" w:hAnsi="Cambria Math"/>
                          <w:i/>
                          <w:color w:val="0D0D0D"/>
                          <w:sz w:val="20"/>
                          <w:szCs w:val="20"/>
                          <w:shd w:val="clear" w:color="auto" w:fill="FFFFFF"/>
                          <w:lang w:val="en-US"/>
                        </w:rPr>
                      </m:ctrlPr>
                    </m:d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S</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R</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r>
                        <w:rPr>
                          <w:rFonts w:ascii="Cambria Math" w:hAnsi="Cambria Math"/>
                          <w:color w:val="0D0D0D"/>
                          <w:sz w:val="20"/>
                          <w:szCs w:val="20"/>
                          <w:shd w:val="clear" w:color="auto" w:fill="FFFFFF"/>
                          <w:lang w:val="en-US"/>
                        </w:rPr>
                        <m:t>, Θ</m:t>
                      </m:r>
                    </m:e>
                  </m:d>
                </m:e>
              </m:nary>
              <m:r>
                <w:rPr>
                  <w:rFonts w:ascii="Cambria Math" w:hAnsi="Cambria Math"/>
                  <w:color w:val="0D0D0D"/>
                  <w:sz w:val="20"/>
                  <w:szCs w:val="20"/>
                  <w:shd w:val="clear" w:color="auto" w:fill="FFFFFF"/>
                  <w:lang w:val="en-US"/>
                </w:rPr>
                <m:t>#</m:t>
              </m:r>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17</m:t>
                  </m:r>
                </m:e>
              </m:d>
            </m:e>
          </m:eqArr>
        </m:oMath>
      </m:oMathPara>
    </w:p>
    <w:p w14:paraId="6F102B0D" w14:textId="563B7D38" w:rsidR="000B68AF" w:rsidRDefault="000B68AF" w:rsidP="000B68A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F02256">
        <w:rPr>
          <w:rFonts w:ascii="Times New Roman" w:hAnsi="Times New Roman" w:cs="Times New Roman"/>
          <w:sz w:val="20"/>
          <w:szCs w:val="20"/>
        </w:rPr>
        <w:t>Gonorrhoea can infect multiple anatomical sites</w:t>
      </w:r>
      <w:r>
        <w:rPr>
          <w:rFonts w:ascii="Times New Roman" w:hAnsi="Times New Roman" w:cs="Times New Roman"/>
          <w:sz w:val="20"/>
          <w:szCs w:val="20"/>
        </w:rPr>
        <w:t xml:space="preserve"> (i.e., </w:t>
      </w:r>
      <w:r w:rsidRPr="00F02256">
        <w:rPr>
          <w:rFonts w:ascii="Times New Roman" w:hAnsi="Times New Roman" w:cs="Times New Roman"/>
          <w:sz w:val="20"/>
          <w:szCs w:val="20"/>
        </w:rPr>
        <w:t>the rectum, pharynx, and urethra</w:t>
      </w:r>
      <w:r>
        <w:rPr>
          <w:rFonts w:ascii="Times New Roman" w:hAnsi="Times New Roman" w:cs="Times New Roman"/>
          <w:sz w:val="20"/>
          <w:szCs w:val="20"/>
        </w:rPr>
        <w:t xml:space="preserve">) </w:t>
      </w:r>
      <w:r w:rsidRPr="00F02256">
        <w:rPr>
          <w:rFonts w:ascii="Times New Roman" w:hAnsi="Times New Roman" w:cs="Times New Roman"/>
          <w:sz w:val="20"/>
          <w:szCs w:val="20"/>
        </w:rPr>
        <w:t xml:space="preserve">each associated with distinct probabilities of symptom development and transmission potential </w:t>
      </w:r>
      <w:r w:rsidRPr="00F02256">
        <w:rPr>
          <w:rFonts w:ascii="Times New Roman" w:eastAsia="Times New Roman" w:hAnsi="Times New Roman" w:cs="Times New Roman"/>
          <w:color w:val="000000" w:themeColor="text1"/>
          <w:kern w:val="0"/>
          <w:sz w:val="20"/>
          <w:szCs w:val="20"/>
          <w14:ligatures w14:val="none"/>
        </w:rPr>
        <w:fldChar w:fldCharType="begin"/>
      </w:r>
      <w:r w:rsidR="00756FF7">
        <w:rPr>
          <w:rFonts w:ascii="Times New Roman" w:eastAsia="Times New Roman" w:hAnsi="Times New Roman" w:cs="Times New Roman"/>
          <w:color w:val="000000" w:themeColor="text1"/>
          <w:kern w:val="0"/>
          <w:sz w:val="20"/>
          <w:szCs w:val="20"/>
          <w14:ligatures w14:val="none"/>
        </w:rPr>
        <w:instrText xml:space="preserve"> ADDIN ZOTERO_ITEM CSL_CITATION {"citationID":"gu82ZKtP","properties":{"formattedCitation":"[20]","plainCitation":"[20]","noteIndex":0},"citationItems":[{"id":426,"uris":["http://zotero.org/users/9663344/items/5WMZE529"],"itemData":{"id":426,"type":"article-journal","abstract":"We determined the conditions of 26 women who had recently been exposed to Neisseria gonorrhoeae. Infection was more common among women with more than one exposure (13/14) than among those with one exposure (6/12). Gonococcal infection was significantly associated with the presence of findings on physical examination suggestive of upper genital tract inflammation. Nine of 19 infected women had such findings; no uninfected women did. Among infected women, the prevalence of abnormal physical findings was 47% +/- 23% (95% confidence interval). These findings suggest that upper genital tract involvement is a common early complication of gonococcal infection.","container-title":"JAMA","ISSN":"0098-7484","issue":"23","journalAbbreviation":"JAMA","language":"eng","page":"3205-3209","PMID":"6417362","source":"PubMed","title":"Risk of acquiring gonorrhea and prevalence of abnormal adnexal findings among women recently exposed to gonorrhea","volume":"250","author":[{"family":"Platt","given":"R."},{"family":"Rice","given":"P. A."},{"family":"McCormack","given":"W. M."}],"issued":{"date-parts":[["1983",12,16]]}}}],"schema":"https://github.com/citation-style-language/schema/raw/master/csl-citation.json"}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sidR="00756FF7">
        <w:rPr>
          <w:rFonts w:ascii="Times New Roman" w:eastAsia="Times New Roman" w:hAnsi="Times New Roman" w:cs="Times New Roman"/>
          <w:noProof/>
          <w:color w:val="000000" w:themeColor="text1"/>
          <w:kern w:val="0"/>
          <w:sz w:val="20"/>
          <w:szCs w:val="20"/>
          <w14:ligatures w14:val="none"/>
        </w:rPr>
        <w:t>[20]</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 xml:space="preserve">. </w:t>
      </w:r>
      <w:r w:rsidRPr="00F02256">
        <w:rPr>
          <w:rFonts w:ascii="Times New Roman" w:hAnsi="Times New Roman" w:cs="Times New Roman"/>
          <w:sz w:val="20"/>
          <w:szCs w:val="20"/>
        </w:rPr>
        <w:t xml:space="preserve">Because available surveillance data are not disaggregated by infection site, model parameters represent site-averaged values. The model further assumes that infection does not confer lasting natural immunity </w:t>
      </w:r>
      <w:r w:rsidRPr="00F02256">
        <w:rPr>
          <w:rFonts w:ascii="Times New Roman" w:eastAsia="Times New Roman" w:hAnsi="Times New Roman" w:cs="Times New Roman"/>
          <w:color w:val="000000" w:themeColor="text1"/>
          <w:kern w:val="0"/>
          <w:sz w:val="20"/>
          <w:szCs w:val="20"/>
          <w14:ligatures w14:val="none"/>
        </w:rPr>
        <w:fldChar w:fldCharType="begin"/>
      </w:r>
      <w:r w:rsidR="00756FF7">
        <w:rPr>
          <w:rFonts w:ascii="Times New Roman" w:eastAsia="Times New Roman" w:hAnsi="Times New Roman" w:cs="Times New Roman"/>
          <w:color w:val="000000" w:themeColor="text1"/>
          <w:kern w:val="0"/>
          <w:sz w:val="20"/>
          <w:szCs w:val="20"/>
          <w14:ligatures w14:val="none"/>
        </w:rPr>
        <w:instrText xml:space="preserve"> ADDIN ZOTERO_ITEM CSL_CITATION {"citationID":"KrHKNrh4","properties":{"formattedCitation":"[21], [22]","plainCitation":"[21], [22]","noteIndex":0},"citationItems":[{"id":428,"uris":["http://zotero.org/users/9663344/items/E74QJDGX"],"itemData":{"id":428,"type":"article-journal","abstract":"BACKGROUND: Reinfection, a common occurrence with gonorrhea, may result from a lack of protective immune response, or from the tremendous gonococcal strain variation.\nGOAL: A two-phase study in human volunteers tested whether experimental infection with Neisseria gonorrhoeae MS11mkC would protect against reinfection with the same organisms.\nSTUDY DESIGN: In phase 1, an intraurethral inoculum of 57,000 piliated, transparent (opacity protein-negative [Opa-]) MS11mkC N gonorrhoeae infected 14 of 15 (93%) volunteers. The volunteers were encouraged to delay treatment for at least 5 days. In phase 2, which began 2 weeks after treatment for the initial infection, volunteers were inoculated with 7,100 piliated, Opa- MS11mkC.\nRESULTS: The phase 2 challenge infected 6 of 14 (43%) previously infected volunteers and 5 of 10 (50%) naïve control subjects. Phase 1 volunteers who resisted reinfection were significantly more likely to have had a fourfold or greater increase in lipooligosaccharide immunoglobulin G during phase 1 than those who did not resist reinfection (P = 0.026).\nCONCLUSIONS: Although infection did not provide protection from reinfection under the conditions used, the results suggest that immunity to reinfection is more complex than anticipated by the experimental design.","container-title":"Sexually Transmitted Diseases","DOI":"10.1097/00007435-200110000-00001","ISSN":"0148-5717","issue":"10","journalAbbreviation":"Sex Transm Dis","language":"eng","page":"555-564","PMID":"11689753","source":"PubMed","title":"Experimental gonococcal urethritis and reinfection with homologous gonococci in male volunteers","volume":"28","author":[{"family":"Schmidt","given":"K. A."},{"family":"Schneider","given":"H."},{"family":"Lindstrom","given":"J. A."},{"family":"Boslego","given":"J. W."},{"family":"Warren","given":"R. A."},{"family":"Van de Verg","given":"L."},{"family":"Deal","given":"C. D."},{"family":"McClain","given":"J. B."},{"family":"Griffiss","given":"J. M."}],"issued":{"date-parts":[["2001",10]]}}},{"id":430,"uris":["http://zotero.org/users/9663344/items/MCW5TZ48"],"itemData":{"id":430,"type":"article-journal","abstract":"Determining the magnitude of chlamydia and gonorrhea reinfection is critical to inform evidence-based clinical practice guidelines related to retesting after treatment. PubMed was used to identify peer-reviewed English language studies published in the past 30 years that estimated reinfection rates among females treated for chlamydia or gonorrhea. Included in this analysis were original studies conducted in the United States and other industrialized countries that reported data on chlamydia or gonorrhea reinfection in females. Studies were stratified into 3 tiers based on study design. Reinfection rates were examined in relation to the organism, study design, length of follow-up, and population characteristics. Of the 47 studies included, 16 were active cohort (Tier 1), 15 passive cohort (Tier 2), and 16 disease registry (Tier 3) studies. The overall median proportion of females reinfected with chlamydia was 13.9% (n = 38 studies). Modeled chlamydia reinfection within 12 months demonstrated peak rates of 19% to 20% at 8 to 10 months. The overall median proportion of females reinfected with gonorrhea was 11.7% (n = 17 studies). Younger age was associated with higher rates of both chlamydia and gonorrhea reinfection. High rates of reinfection with chlamydia and gonorrhea among females, along with practical considerations, warrant retesting 3 to 6 months after treatment of the initial infection. Further research should investigate effective interventions to reduce reinfection and to increase retesting.","container-title":"Sexually Transmitted Diseases","DOI":"10.1097/OLQ.0b013e3181a2a933","ISSN":"1537-4521","issue":"8","journalAbbreviation":"Sex Transm Dis","language":"eng","page":"478-489","PMID":"19617871","source":"PubMed","title":"Repeat infection with Chlamydia and gonorrhea among females: a systematic review of the literature","title-short":"Repeat infection with Chlamydia and gonorrhea among females","volume":"36","author":[{"family":"Hosenfeld","given":"Christina B."},{"family":"Workowski","given":"Kimberly A."},{"family":"Berman","given":"Stuart"},{"family":"Zaidi","given":"Akbar"},{"family":"Dyson","given":"Jeri"},{"family":"Mosure","given":"Debra"},{"family":"Bolan","given":"Gail"},{"family":"Bauer","given":"Heidi M."}],"issued":{"date-parts":[["2009",8]]}}}],"schema":"https://github.com/citation-style-language/schema/raw/master/csl-citation.json"}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sidR="00756FF7">
        <w:rPr>
          <w:rFonts w:ascii="Times New Roman" w:eastAsia="Times New Roman" w:hAnsi="Times New Roman" w:cs="Times New Roman"/>
          <w:noProof/>
          <w:color w:val="000000" w:themeColor="text1"/>
          <w:kern w:val="0"/>
          <w:sz w:val="20"/>
          <w:szCs w:val="20"/>
          <w14:ligatures w14:val="none"/>
        </w:rPr>
        <w:t>[21], [22]</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w:t>
      </w:r>
    </w:p>
    <w:p w14:paraId="012611B1" w14:textId="6018BFA5" w:rsidR="000B68AF" w:rsidRDefault="000B68AF" w:rsidP="000B68AF">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t>Table 1: Fixed parameters.</w:t>
      </w:r>
    </w:p>
    <w:tbl>
      <w:tblPr>
        <w:tblStyle w:val="TableGrid"/>
        <w:tblW w:w="0" w:type="auto"/>
        <w:tblLook w:val="04A0" w:firstRow="1" w:lastRow="0" w:firstColumn="1" w:lastColumn="0" w:noHBand="0" w:noVBand="1"/>
      </w:tblPr>
      <w:tblGrid>
        <w:gridCol w:w="1202"/>
        <w:gridCol w:w="4108"/>
        <w:gridCol w:w="1800"/>
        <w:gridCol w:w="1916"/>
      </w:tblGrid>
      <w:tr w:rsidR="000B68AF" w14:paraId="2BF301F7" w14:textId="77777777" w:rsidTr="004338C0">
        <w:tc>
          <w:tcPr>
            <w:tcW w:w="1202" w:type="dxa"/>
            <w:tcBorders>
              <w:top w:val="single" w:sz="4" w:space="0" w:color="auto"/>
              <w:bottom w:val="single" w:sz="4" w:space="0" w:color="auto"/>
            </w:tcBorders>
          </w:tcPr>
          <w:p w14:paraId="2C816FD8"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p>
        </w:tc>
        <w:tc>
          <w:tcPr>
            <w:tcW w:w="4108" w:type="dxa"/>
            <w:tcBorders>
              <w:top w:val="single" w:sz="4" w:space="0" w:color="auto"/>
              <w:bottom w:val="single" w:sz="4" w:space="0" w:color="auto"/>
            </w:tcBorders>
          </w:tcPr>
          <w:p w14:paraId="7CAC8250" w14:textId="77777777" w:rsidR="000B68AF" w:rsidRDefault="000B68AF" w:rsidP="0007760A">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1800" w:type="dxa"/>
            <w:tcBorders>
              <w:top w:val="single" w:sz="4" w:space="0" w:color="auto"/>
              <w:bottom w:val="single" w:sz="4" w:space="0" w:color="auto"/>
            </w:tcBorders>
          </w:tcPr>
          <w:p w14:paraId="0110426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1916" w:type="dxa"/>
            <w:tcBorders>
              <w:top w:val="single" w:sz="4" w:space="0" w:color="auto"/>
              <w:bottom w:val="single" w:sz="4" w:space="0" w:color="auto"/>
            </w:tcBorders>
          </w:tcPr>
          <w:p w14:paraId="67CFDA35" w14:textId="77777777" w:rsidR="000B68AF" w:rsidRDefault="000B68AF" w:rsidP="0007760A">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0B68AF" w14:paraId="75959899" w14:textId="77777777" w:rsidTr="004338C0">
        <w:tc>
          <w:tcPr>
            <w:tcW w:w="1202" w:type="dxa"/>
            <w:tcBorders>
              <w:top w:val="single" w:sz="4" w:space="0" w:color="auto"/>
            </w:tcBorders>
          </w:tcPr>
          <w:p w14:paraId="249F3673" w14:textId="77777777" w:rsidR="000B68AF" w:rsidRPr="00D32E21" w:rsidRDefault="000B68AF" w:rsidP="000B68AF">
            <w:pPr>
              <w:spacing w:before="100" w:beforeAutospacing="1" w:after="100" w:afterAutospacing="1" w:line="276" w:lineRule="auto"/>
              <w:rPr>
                <w:rFonts w:eastAsia="Times New Roman"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N</m:t>
                </m:r>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108" w:type="dxa"/>
            <w:tcBorders>
              <w:top w:val="single" w:sz="4" w:space="0" w:color="auto"/>
            </w:tcBorders>
          </w:tcPr>
          <w:p w14:paraId="0AF8ABD4"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Initial population size of Singapore MSM</w:t>
            </w:r>
          </w:p>
        </w:tc>
        <w:tc>
          <w:tcPr>
            <w:tcW w:w="1800" w:type="dxa"/>
            <w:tcBorders>
              <w:top w:val="single" w:sz="4" w:space="0" w:color="auto"/>
            </w:tcBorders>
          </w:tcPr>
          <w:p w14:paraId="00E49386" w14:textId="700678A3"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600,000</w:t>
            </w:r>
          </w:p>
        </w:tc>
        <w:tc>
          <w:tcPr>
            <w:tcW w:w="1916" w:type="dxa"/>
            <w:tcBorders>
              <w:top w:val="single" w:sz="4" w:space="0" w:color="auto"/>
            </w:tcBorders>
          </w:tcPr>
          <w:p w14:paraId="5BFC354C" w14:textId="34F89A16" w:rsidR="000B68AF" w:rsidRPr="002D7CDC" w:rsidRDefault="000B68AF" w:rsidP="000B68AF">
            <w:pPr>
              <w:spacing w:before="100" w:beforeAutospacing="1" w:after="100" w:afterAutospacing="1" w:line="276" w:lineRule="auto"/>
              <w:rPr>
                <w:szCs w:val="20"/>
              </w:rPr>
            </w:pPr>
            <w:r w:rsidRPr="002D7CDC">
              <w:rPr>
                <w:szCs w:val="20"/>
              </w:rPr>
              <w:fldChar w:fldCharType="begin"/>
            </w:r>
            <w:r w:rsidR="00756FF7">
              <w:rPr>
                <w:szCs w:val="20"/>
              </w:rPr>
              <w:instrText xml:space="preserve"> ADDIN ZOTERO_ITEM CSL_CITATION {"citationID":"MKMGDMCL","properties":{"formattedCitation":"[11]","plainCitation":"[11]","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756FF7">
              <w:rPr>
                <w:noProof/>
                <w:szCs w:val="20"/>
              </w:rPr>
              <w:t>[11]</w:t>
            </w:r>
            <w:r w:rsidRPr="002D7CDC">
              <w:rPr>
                <w:szCs w:val="20"/>
              </w:rPr>
              <w:fldChar w:fldCharType="end"/>
            </w:r>
          </w:p>
        </w:tc>
      </w:tr>
      <w:tr w:rsidR="000B68AF" w14:paraId="50526759" w14:textId="77777777" w:rsidTr="0007760A">
        <w:tc>
          <w:tcPr>
            <w:tcW w:w="1202" w:type="dxa"/>
          </w:tcPr>
          <w:p w14:paraId="070C11C8"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α</m:t>
                </m:r>
              </m:oMath>
            </m:oMathPara>
          </w:p>
        </w:tc>
        <w:tc>
          <w:tcPr>
            <w:tcW w:w="4108" w:type="dxa"/>
          </w:tcPr>
          <w:p w14:paraId="7512E438"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population entrance (at age 15)</w:t>
            </w:r>
          </w:p>
        </w:tc>
        <w:tc>
          <w:tcPr>
            <w:tcW w:w="1800" w:type="dxa"/>
          </w:tcPr>
          <w:p w14:paraId="70CA2BE1" w14:textId="5C4446F7"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12,000</w:t>
            </w:r>
          </w:p>
        </w:tc>
        <w:tc>
          <w:tcPr>
            <w:tcW w:w="1916" w:type="dxa"/>
          </w:tcPr>
          <w:p w14:paraId="17025A64" w14:textId="639A3B8E" w:rsidR="000B68AF" w:rsidRPr="002D7CDC" w:rsidRDefault="000B68AF" w:rsidP="000B68AF">
            <w:pPr>
              <w:spacing w:before="100" w:beforeAutospacing="1" w:after="100" w:afterAutospacing="1" w:line="276" w:lineRule="auto"/>
              <w:rPr>
                <w:szCs w:val="20"/>
              </w:rPr>
            </w:pPr>
            <w:r w:rsidRPr="002D7CDC">
              <w:rPr>
                <w:szCs w:val="20"/>
              </w:rPr>
              <w:fldChar w:fldCharType="begin"/>
            </w:r>
            <w:r w:rsidR="00756FF7">
              <w:rPr>
                <w:szCs w:val="20"/>
              </w:rPr>
              <w:instrText xml:space="preserve"> ADDIN ZOTERO_ITEM CSL_CITATION {"citationID":"w57P0FhY","properties":{"formattedCitation":"[11]","plainCitation":"[11]","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756FF7">
              <w:rPr>
                <w:noProof/>
                <w:szCs w:val="20"/>
              </w:rPr>
              <w:t>[11]</w:t>
            </w:r>
            <w:r w:rsidRPr="002D7CDC">
              <w:rPr>
                <w:szCs w:val="20"/>
              </w:rPr>
              <w:fldChar w:fldCharType="end"/>
            </w:r>
          </w:p>
        </w:tc>
      </w:tr>
      <w:tr w:rsidR="000B68AF" w14:paraId="6F071FDD" w14:textId="77777777" w:rsidTr="0007760A">
        <w:tc>
          <w:tcPr>
            <w:tcW w:w="1202" w:type="dxa"/>
          </w:tcPr>
          <w:p w14:paraId="0453A3F1" w14:textId="77777777" w:rsidR="000B68AF" w:rsidRPr="00D32E21" w:rsidRDefault="000B68AF"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γ</m:t>
                </m:r>
              </m:oMath>
            </m:oMathPara>
          </w:p>
        </w:tc>
        <w:tc>
          <w:tcPr>
            <w:tcW w:w="4108" w:type="dxa"/>
          </w:tcPr>
          <w:p w14:paraId="17C50987"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Years spent in the sexually-active population</w:t>
            </w:r>
          </w:p>
        </w:tc>
        <w:tc>
          <w:tcPr>
            <w:tcW w:w="1800" w:type="dxa"/>
          </w:tcPr>
          <w:p w14:paraId="7D0B43A0" w14:textId="4C6D9C2E"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50</w:t>
            </w:r>
          </w:p>
        </w:tc>
        <w:tc>
          <w:tcPr>
            <w:tcW w:w="1916" w:type="dxa"/>
          </w:tcPr>
          <w:p w14:paraId="342E4B2F" w14:textId="32500E4D" w:rsidR="000B68AF" w:rsidRPr="002D7CDC" w:rsidRDefault="000B68AF" w:rsidP="000B68AF">
            <w:pPr>
              <w:spacing w:before="100" w:beforeAutospacing="1" w:after="100" w:afterAutospacing="1" w:line="276" w:lineRule="auto"/>
              <w:rPr>
                <w:szCs w:val="20"/>
              </w:rPr>
            </w:pPr>
            <w:r w:rsidRPr="002D7CDC">
              <w:rPr>
                <w:szCs w:val="20"/>
              </w:rPr>
              <w:t>Ages 15-65</w:t>
            </w:r>
          </w:p>
        </w:tc>
      </w:tr>
      <w:tr w:rsidR="000B68AF" w14:paraId="61185994" w14:textId="77777777" w:rsidTr="0007760A">
        <w:tc>
          <w:tcPr>
            <w:tcW w:w="1202" w:type="dxa"/>
          </w:tcPr>
          <w:p w14:paraId="7F5E60A9" w14:textId="77777777" w:rsidR="000B68AF" w:rsidRPr="00D32E21" w:rsidRDefault="00000000"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62AF2B81"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7524D44B" w14:textId="1C1972B3"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0.85</w:t>
            </w:r>
          </w:p>
        </w:tc>
        <w:tc>
          <w:tcPr>
            <w:tcW w:w="1916" w:type="dxa"/>
          </w:tcPr>
          <w:p w14:paraId="20F138AF" w14:textId="4BA1E400" w:rsidR="000B68AF" w:rsidRPr="002D7CDC" w:rsidRDefault="000B68AF" w:rsidP="000B68AF">
            <w:pPr>
              <w:spacing w:before="100" w:beforeAutospacing="1" w:after="100" w:afterAutospacing="1" w:line="276" w:lineRule="auto"/>
              <w:rPr>
                <w:szCs w:val="20"/>
              </w:rPr>
            </w:pPr>
            <w:r w:rsidRPr="002D7CDC">
              <w:rPr>
                <w:szCs w:val="20"/>
              </w:rPr>
              <w:fldChar w:fldCharType="begin"/>
            </w:r>
            <w:r w:rsidR="00756FF7">
              <w:rPr>
                <w:szCs w:val="20"/>
              </w:rPr>
              <w:instrText xml:space="preserve"> ADDIN ZOTERO_ITEM CSL_CITATION {"citationID":"ImYdrbxT","properties":{"formattedCitation":"[11]","plainCitation":"[11]","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756FF7">
              <w:rPr>
                <w:noProof/>
                <w:szCs w:val="20"/>
              </w:rPr>
              <w:t>[11]</w:t>
            </w:r>
            <w:r w:rsidRPr="002D7CDC">
              <w:rPr>
                <w:szCs w:val="20"/>
              </w:rPr>
              <w:fldChar w:fldCharType="end"/>
            </w:r>
          </w:p>
        </w:tc>
      </w:tr>
      <w:tr w:rsidR="000B68AF" w14:paraId="3B19744C" w14:textId="77777777" w:rsidTr="0007760A">
        <w:tc>
          <w:tcPr>
            <w:tcW w:w="1202" w:type="dxa"/>
          </w:tcPr>
          <w:p w14:paraId="7E3171F5" w14:textId="77777777" w:rsidR="000B68AF" w:rsidRPr="00D32E21" w:rsidRDefault="00000000"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49EDB31F"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3EFD947D" w14:textId="428AE10D"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0.15</w:t>
            </w:r>
          </w:p>
        </w:tc>
        <w:tc>
          <w:tcPr>
            <w:tcW w:w="1916" w:type="dxa"/>
          </w:tcPr>
          <w:p w14:paraId="21364C4A" w14:textId="4787CFC5" w:rsidR="000B68AF" w:rsidRPr="002D7CDC" w:rsidRDefault="000B68AF" w:rsidP="000B68AF">
            <w:pPr>
              <w:spacing w:before="100" w:beforeAutospacing="1" w:after="100" w:afterAutospacing="1" w:line="276" w:lineRule="auto"/>
              <w:rPr>
                <w:szCs w:val="20"/>
              </w:rPr>
            </w:pPr>
            <m:oMathPara>
              <m:oMath>
                <m:r>
                  <w:rPr>
                    <w:rFonts w:ascii="Cambria Math" w:hAnsi="Cambria Math"/>
                    <w:szCs w:val="20"/>
                  </w:rPr>
                  <m:t>1-</m:t>
                </m:r>
                <m:sSub>
                  <m:sSubPr>
                    <m:ctrlPr>
                      <w:rPr>
                        <w:rFonts w:ascii="Cambria Math" w:hAnsi="Cambria Math"/>
                        <w:i/>
                        <w:szCs w:val="20"/>
                      </w:rPr>
                    </m:ctrlPr>
                  </m:sSubPr>
                  <m:e>
                    <m:r>
                      <w:rPr>
                        <w:rFonts w:ascii="Cambria Math" w:hAnsi="Cambria Math"/>
                        <w:szCs w:val="20"/>
                      </w:rPr>
                      <m:t>q</m:t>
                    </m:r>
                  </m:e>
                  <m:sub>
                    <m:r>
                      <w:rPr>
                        <w:rFonts w:ascii="Cambria Math" w:hAnsi="Cambria Math"/>
                        <w:szCs w:val="20"/>
                      </w:rPr>
                      <m:t>L</m:t>
                    </m:r>
                  </m:sub>
                </m:sSub>
              </m:oMath>
            </m:oMathPara>
          </w:p>
        </w:tc>
      </w:tr>
      <w:tr w:rsidR="000B68AF" w14:paraId="43DFE4C6" w14:textId="77777777" w:rsidTr="0007760A">
        <w:tc>
          <w:tcPr>
            <w:tcW w:w="1202" w:type="dxa"/>
          </w:tcPr>
          <w:p w14:paraId="5A8F510A" w14:textId="77777777" w:rsidR="000B68AF" w:rsidRPr="00D32E21" w:rsidRDefault="00000000"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4724C6C5"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68EA611C" w14:textId="21D8D3EA"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0.6</w:t>
            </w:r>
          </w:p>
        </w:tc>
        <w:tc>
          <w:tcPr>
            <w:tcW w:w="1916" w:type="dxa"/>
          </w:tcPr>
          <w:p w14:paraId="029C5E72" w14:textId="7C23A843" w:rsidR="000B68AF" w:rsidRPr="002D7CDC" w:rsidRDefault="000B68AF" w:rsidP="000B68AF">
            <w:pPr>
              <w:spacing w:before="100" w:beforeAutospacing="1" w:after="100" w:afterAutospacing="1" w:line="276" w:lineRule="auto"/>
              <w:rPr>
                <w:szCs w:val="20"/>
              </w:rPr>
            </w:pPr>
            <w:r w:rsidRPr="002D7CDC">
              <w:rPr>
                <w:szCs w:val="20"/>
              </w:rPr>
              <w:fldChar w:fldCharType="begin"/>
            </w:r>
            <w:r w:rsidR="00756FF7">
              <w:rPr>
                <w:szCs w:val="20"/>
              </w:rPr>
              <w:instrText xml:space="preserve"> ADDIN ZOTERO_ITEM CSL_CITATION {"citationID":"wN04tvFd","properties":{"formattedCitation":"[11]","plainCitation":"[11]","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756FF7">
              <w:rPr>
                <w:noProof/>
                <w:szCs w:val="20"/>
              </w:rPr>
              <w:t>[11]</w:t>
            </w:r>
            <w:r w:rsidRPr="002D7CDC">
              <w:rPr>
                <w:szCs w:val="20"/>
              </w:rPr>
              <w:fldChar w:fldCharType="end"/>
            </w:r>
          </w:p>
        </w:tc>
      </w:tr>
      <w:tr w:rsidR="000B68AF" w14:paraId="1EF3BDCD" w14:textId="77777777" w:rsidTr="0007760A">
        <w:tc>
          <w:tcPr>
            <w:tcW w:w="1202" w:type="dxa"/>
          </w:tcPr>
          <w:p w14:paraId="7F5863F5" w14:textId="77777777" w:rsidR="000B68AF" w:rsidRPr="00D32E21" w:rsidRDefault="00000000" w:rsidP="000B68AF">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7CFFB1A6" w14:textId="77777777" w:rsidR="000B68AF" w:rsidRDefault="000B68AF" w:rsidP="000B68AF">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784F330C" w14:textId="6232E810" w:rsidR="000B68AF" w:rsidRDefault="000B68AF" w:rsidP="000B68AF">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15.6</w:t>
            </w:r>
          </w:p>
        </w:tc>
        <w:tc>
          <w:tcPr>
            <w:tcW w:w="1916" w:type="dxa"/>
          </w:tcPr>
          <w:p w14:paraId="11665C68" w14:textId="417A295B" w:rsidR="000B68AF" w:rsidRPr="002D7CDC" w:rsidRDefault="000B68AF" w:rsidP="000B68AF">
            <w:pPr>
              <w:spacing w:before="100" w:beforeAutospacing="1" w:after="100" w:afterAutospacing="1" w:line="276" w:lineRule="auto"/>
              <w:rPr>
                <w:szCs w:val="20"/>
              </w:rPr>
            </w:pPr>
            <w:r w:rsidRPr="002D7CDC">
              <w:rPr>
                <w:szCs w:val="20"/>
              </w:rPr>
              <w:fldChar w:fldCharType="begin"/>
            </w:r>
            <w:r w:rsidR="00756FF7">
              <w:rPr>
                <w:szCs w:val="20"/>
              </w:rPr>
              <w:instrText xml:space="preserve"> ADDIN ZOTERO_ITEM CSL_CITATION {"citationID":"iZMaP5Y4","properties":{"formattedCitation":"[11]","plainCitation":"[11]","noteIndex":0},"citationItems":[{"id":56,"uris":["http://zotero.org/users/9663344/items/T6SAULLB","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D7CDC">
              <w:rPr>
                <w:szCs w:val="20"/>
              </w:rPr>
              <w:fldChar w:fldCharType="separate"/>
            </w:r>
            <w:r w:rsidR="00756FF7">
              <w:rPr>
                <w:noProof/>
                <w:szCs w:val="20"/>
              </w:rPr>
              <w:t>[11]</w:t>
            </w:r>
            <w:r w:rsidRPr="002D7CDC">
              <w:rPr>
                <w:szCs w:val="20"/>
              </w:rPr>
              <w:fldChar w:fldCharType="end"/>
            </w:r>
          </w:p>
        </w:tc>
      </w:tr>
    </w:tbl>
    <w:p w14:paraId="6D387D3F" w14:textId="05A00855" w:rsidR="000B68AF" w:rsidRDefault="00362BD9" w:rsidP="009701A4">
      <w:pPr>
        <w:pStyle w:val="NormalWeb"/>
        <w:spacing w:line="276" w:lineRule="auto"/>
        <w:jc w:val="both"/>
        <w:rPr>
          <w:sz w:val="20"/>
          <w:szCs w:val="20"/>
        </w:rPr>
      </w:pPr>
      <w:r w:rsidRPr="00362BD9">
        <w:rPr>
          <w:sz w:val="20"/>
          <w:szCs w:val="20"/>
        </w:rPr>
        <w:t>Data from 2020 and 2021 were excluded from both model calibration and forward simulation due to substantial disruptions associated with the COVID-19 pandemic. During this period, sexual behaviour, healthcare access, testing practices, clinic attendance, and reporting systems were markedly altered by lockdown measures, service reallocation, and changes in care-seeking behaviour. These disruptions resulted in surveillance data that do not reflect the underlying natural transmission dynamics assumed in our model framework. Because the transmission model does not explicitly incorporate COVID</w:t>
      </w:r>
      <w:r>
        <w:rPr>
          <w:sz w:val="20"/>
          <w:szCs w:val="20"/>
        </w:rPr>
        <w:t>-</w:t>
      </w:r>
      <w:r w:rsidRPr="00362BD9">
        <w:rPr>
          <w:sz w:val="20"/>
          <w:szCs w:val="20"/>
        </w:rPr>
        <w:t>19-related behavioural restrictions or service interruptions, including these years in either the likelihood (calibration) or prediction phase would introduce structural model misspecification. This could bias parameter estimates, distort inferred transmission trends, and reduce predictive validity for post-pandemic scenarios. Excluding 2020</w:t>
      </w:r>
      <w:r w:rsidR="00CE1D02">
        <w:rPr>
          <w:sz w:val="20"/>
          <w:szCs w:val="20"/>
        </w:rPr>
        <w:t>-</w:t>
      </w:r>
      <w:r w:rsidRPr="00362BD9">
        <w:rPr>
          <w:sz w:val="20"/>
          <w:szCs w:val="20"/>
        </w:rPr>
        <w:t>2021 therefore ensures internal consistency between model structure and observed data, yielding parameter estimates that better represent stable transmission conditions and providing more reliable projections for future, non-pandemic epidemiological settings.</w:t>
      </w:r>
    </w:p>
    <w:p w14:paraId="2532B1D8" w14:textId="72BF0E46" w:rsidR="0075770A" w:rsidRPr="0075770A" w:rsidRDefault="0075770A" w:rsidP="009701A4">
      <w:pPr>
        <w:pStyle w:val="NormalWeb"/>
        <w:spacing w:line="276" w:lineRule="auto"/>
        <w:jc w:val="both"/>
        <w:rPr>
          <w:sz w:val="20"/>
          <w:szCs w:val="20"/>
        </w:rPr>
      </w:pPr>
      <w:r w:rsidRPr="0075770A">
        <w:rPr>
          <w:sz w:val="20"/>
          <w:szCs w:val="20"/>
        </w:rPr>
        <w:t xml:space="preserve">The vast majority of anorectal and pharyngeal </w:t>
      </w:r>
      <w:r w:rsidRPr="0075770A">
        <w:rPr>
          <w:rStyle w:val="Emphasis"/>
          <w:sz w:val="20"/>
          <w:szCs w:val="20"/>
        </w:rPr>
        <w:t>N. gonorrhoeae</w:t>
      </w:r>
      <w:r w:rsidRPr="0075770A">
        <w:rPr>
          <w:sz w:val="20"/>
          <w:szCs w:val="20"/>
        </w:rPr>
        <w:t xml:space="preserve"> infections are asymptomatic and often self-resolving, and therefore may not come to clinical attention</w:t>
      </w:r>
      <w:r w:rsidRPr="0075770A">
        <w:rPr>
          <w:sz w:val="20"/>
          <w:szCs w:val="20"/>
        </w:rPr>
        <w:t xml:space="preserve"> </w:t>
      </w:r>
      <w:r w:rsidRPr="0075770A">
        <w:rPr>
          <w:sz w:val="20"/>
          <w:szCs w:val="20"/>
        </w:rPr>
        <w:fldChar w:fldCharType="begin"/>
      </w:r>
      <w:r w:rsidRPr="0075770A">
        <w:rPr>
          <w:sz w:val="20"/>
          <w:szCs w:val="20"/>
        </w:rPr>
        <w:instrText xml:space="preserve"> ADDIN ZOTERO_ITEM CSL_CITATION {"citationID":"AoMNwVfY","properties":{"unsorted":false,"formattedCitation":"[23]","plainCitation":"[23]","noteIndex":0},"citationItems":[{"id":466,"uris":["http://zotero.org/users/9663344/items/KSZNZDBB"],"itemData":{"id":466,"type":"article-journal","container-title":"The Lancet Regional Health – Europe","DOI":"10.1016/j.lanepe.2023.100743","ISSN":"2666-7762","journalAbbreviation":"The Lancet Regional Health – Europe","language":"English","publisher":"Elsevier","source":"www.thelancet.com","title":"Management of asymptomatic sexually transmitted infections in Europe: towards a differentiated, evidence-based approach","title-short":"Management of asymptomatic sexually transmitted infections in Europe","URL":"https://www.thelancet.com/journals/lanepe/article/PIIS2666-7762%2823%2900162-X/fulltext?utm_source=chatgpt.com","volume":"34","author":[{"family":"Kenyon","given":"Chris"},{"family":"Herrmann","given":"Björn"},{"family":"Hughes","given":"Gwenda"},{"family":"Vries","given":"Henry J. C.","dropping-particle":"de"}],"accessed":{"date-parts":[["2026",3,16]]},"issued":{"date-parts":[["2023",11,1]]}}}],"schema":"https://github.com/citation-style-language/schema/raw/master/csl-citation.json"} </w:instrText>
      </w:r>
      <w:r w:rsidRPr="0075770A">
        <w:rPr>
          <w:sz w:val="20"/>
          <w:szCs w:val="20"/>
        </w:rPr>
        <w:fldChar w:fldCharType="separate"/>
      </w:r>
      <w:r w:rsidRPr="0075770A">
        <w:rPr>
          <w:noProof/>
          <w:sz w:val="20"/>
          <w:szCs w:val="20"/>
        </w:rPr>
        <w:t>[23]</w:t>
      </w:r>
      <w:r w:rsidRPr="0075770A">
        <w:rPr>
          <w:sz w:val="20"/>
          <w:szCs w:val="20"/>
        </w:rPr>
        <w:fldChar w:fldCharType="end"/>
      </w:r>
      <w:r w:rsidRPr="0075770A">
        <w:rPr>
          <w:sz w:val="20"/>
          <w:szCs w:val="20"/>
        </w:rPr>
        <w:t>.</w:t>
      </w:r>
      <w:r w:rsidRPr="0075770A">
        <w:rPr>
          <w:sz w:val="20"/>
          <w:szCs w:val="20"/>
        </w:rPr>
        <w:t xml:space="preserve"> </w:t>
      </w:r>
      <w:r w:rsidRPr="0075770A">
        <w:rPr>
          <w:sz w:val="20"/>
          <w:szCs w:val="20"/>
        </w:rPr>
        <w:t>In addition, many infections remain undiagnosed because regular screening is not universal, even among high-risk populations. Routine surveillance systems capture only diagnosed cases rather than the true underlying incidence.</w:t>
      </w:r>
      <w:r w:rsidRPr="0075770A">
        <w:rPr>
          <w:sz w:val="20"/>
          <w:szCs w:val="20"/>
        </w:rPr>
        <w:t xml:space="preserve"> </w:t>
      </w:r>
      <w:r w:rsidRPr="0075770A">
        <w:rPr>
          <w:sz w:val="20"/>
          <w:szCs w:val="20"/>
        </w:rPr>
        <w:t>Consequently, gonorrhoea is widely considered to be substantially underdiagnosed and underreported worldwide</w:t>
      </w:r>
      <w:r w:rsidRPr="0075770A">
        <w:rPr>
          <w:sz w:val="20"/>
          <w:szCs w:val="20"/>
        </w:rPr>
        <w:t xml:space="preserve"> </w:t>
      </w:r>
      <w:r w:rsidRPr="0075770A">
        <w:rPr>
          <w:sz w:val="20"/>
          <w:szCs w:val="20"/>
        </w:rPr>
        <w:fldChar w:fldCharType="begin"/>
      </w:r>
      <w:r w:rsidRPr="0075770A">
        <w:rPr>
          <w:sz w:val="20"/>
          <w:szCs w:val="20"/>
        </w:rPr>
        <w:instrText xml:space="preserve"> ADDIN ZOTERO_ITEM CSL_CITATION {"citationID":"swB3iheD","properties":{"unsorted":false,"formattedCitation":"[24]","plainCitation":"[24]","noteIndex":0},"citationItems":[{"id":459,"uris":["http://zotero.org/users/9663344/items/H5QEVIVK"],"itemData":{"id":459,"type":"article-journal","abstract":"Background\nThe World Health Organization (WHO) recommends periodic gonorrhoea prevalence assessments in the general population or proxies thereof (including pregnant women, women attending family planning clinics, military recruits, and men undergoing employment physicals for example) and in population groups at increased risk, including men-who-have-sex-with-men (MSM) and sex workers.\n\nMethod\nWe evaluated reported prevalence data, including estimates from proxy general population samples to reflect the WHO recommendations. We describe the outcomes from the general population country-by-country and extend previous reviews to include MSM, sex workers, and extragenital infections.\n\nResult and conclusion\nIn our systematic search, 2015 titles were reviewed (January 2010–April 2019) and 174 full-text publications were included. National, population-based prevalence data were identified in only four countries (the United States of America, the United Kingdom, Peru, New Caledonia) and local population-based estimates were reported in areas within five countries (China, South Africa, Brazil, Benin, and Malawi). The remaining studies identified only reported test positivity from non-probability, proxy general population samples. Due to the diversity of the reviewed studies, detailed comparison across studies was not possible. In MSM, data were identified from 64 studies in 25 countries. Rectal infection rates were generally higher than urogenital or pharyngeal infection rates, where extragenital testing was conducted. Data on sex workers were identified from 41 studies in 23 countries; rates in female sex workers were high. Current prevalence monitoring was shown to be highly suboptimal worldwide. Serial prevalence monitoring of critical epidemiological variables, and guidelines to optimize prevalence study conduct and reporting beyond antenatal settings are recommended.\n\nSupplementary Information\nThe online version contains supplementary material available at 10.1186/s12879-021-06381-4.","container-title":"BMC Infectious Diseases","DOI":"10.1186/s12879-021-06381-4","ISSN":"1471-2334","journalAbbreviation":"BMC Infect Dis","page":"1152","PMID":"34763670","PMCID":"PMC8582208","source":"PubMed Central","title":"Gonorrhoea: a systematic review of prevalence reporting globally","title-short":"Gonorrhoea","volume":"21","author":[{"family":"Whelan","given":"Jane"},{"family":"Abbing-Karahagopian","given":"Victoria"},{"family":"Serino","given":"Laura"},{"family":"Unemo","given":"Magnus"}],"issued":{"date-parts":[["2021",11,11]]}}}],"schema":"https://github.com/citation-style-language/schema/raw/master/csl-citation.json"} </w:instrText>
      </w:r>
      <w:r w:rsidRPr="0075770A">
        <w:rPr>
          <w:sz w:val="20"/>
          <w:szCs w:val="20"/>
        </w:rPr>
        <w:fldChar w:fldCharType="separate"/>
      </w:r>
      <w:r w:rsidRPr="0075770A">
        <w:rPr>
          <w:noProof/>
          <w:sz w:val="20"/>
          <w:szCs w:val="20"/>
        </w:rPr>
        <w:t>[24]</w:t>
      </w:r>
      <w:r w:rsidRPr="0075770A">
        <w:rPr>
          <w:sz w:val="20"/>
          <w:szCs w:val="20"/>
        </w:rPr>
        <w:fldChar w:fldCharType="end"/>
      </w:r>
      <w:r w:rsidRPr="0075770A">
        <w:rPr>
          <w:sz w:val="20"/>
          <w:szCs w:val="20"/>
        </w:rPr>
        <w:t xml:space="preserve">. </w:t>
      </w:r>
    </w:p>
    <w:p w14:paraId="7C255E31" w14:textId="77777777" w:rsidR="00362BD9" w:rsidRDefault="00362BD9" w:rsidP="009701A4">
      <w:pPr>
        <w:pStyle w:val="NormalWeb"/>
        <w:spacing w:line="276" w:lineRule="auto"/>
        <w:jc w:val="both"/>
        <w:rPr>
          <w:sz w:val="20"/>
          <w:szCs w:val="20"/>
        </w:rPr>
      </w:pPr>
    </w:p>
    <w:p w14:paraId="0C0E4E81" w14:textId="31DD353F" w:rsidR="00362BD9" w:rsidRDefault="00362BD9" w:rsidP="009701A4">
      <w:pPr>
        <w:pStyle w:val="NormalWeb"/>
        <w:spacing w:line="276" w:lineRule="auto"/>
        <w:jc w:val="both"/>
        <w:rPr>
          <w:sz w:val="20"/>
          <w:szCs w:val="20"/>
        </w:rPr>
        <w:sectPr w:rsidR="00362BD9" w:rsidSect="001725A7">
          <w:pgSz w:w="11906" w:h="16838"/>
          <w:pgMar w:top="1440" w:right="1440" w:bottom="1440" w:left="1440" w:header="708" w:footer="708" w:gutter="0"/>
          <w:cols w:space="708"/>
          <w:docGrid w:linePitch="360"/>
        </w:sectPr>
      </w:pPr>
    </w:p>
    <w:p w14:paraId="0A66F148" w14:textId="5590B512" w:rsidR="006173E0" w:rsidRPr="001010DC" w:rsidRDefault="006173E0" w:rsidP="006173E0">
      <w:pPr>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lastRenderedPageBreak/>
        <w:t xml:space="preserve">Table </w:t>
      </w:r>
      <w:r>
        <w:rPr>
          <w:rFonts w:ascii="Times New Roman" w:hAnsi="Times New Roman" w:cs="Times New Roman"/>
          <w:color w:val="000000"/>
          <w:sz w:val="20"/>
          <w:szCs w:val="20"/>
          <w:lang w:val="en-GB"/>
        </w:rPr>
        <w:t>1</w:t>
      </w:r>
      <w:r w:rsidRPr="002D7CDC">
        <w:rPr>
          <w:rFonts w:ascii="Times New Roman" w:hAnsi="Times New Roman" w:cs="Times New Roman"/>
          <w:color w:val="000000"/>
          <w:sz w:val="20"/>
          <w:szCs w:val="20"/>
          <w:lang w:val="en-GB"/>
        </w:rPr>
        <w:t xml:space="preserve">. </w:t>
      </w:r>
      <w:r w:rsidRPr="006108A8">
        <w:rPr>
          <w:rFonts w:ascii="Times New Roman" w:hAnsi="Times New Roman" w:cs="Times New Roman"/>
          <w:color w:val="0D0D0D"/>
          <w:sz w:val="20"/>
          <w:szCs w:val="20"/>
          <w:shd w:val="clear" w:color="auto" w:fill="FFFFFF"/>
          <w:lang w:val="en-US"/>
        </w:rPr>
        <w:t>Annual gonorrhea diagnose</w:t>
      </w:r>
      <w:r w:rsidR="006108A8" w:rsidRPr="006108A8">
        <w:rPr>
          <w:rFonts w:ascii="Times New Roman" w:hAnsi="Times New Roman" w:cs="Times New Roman"/>
          <w:color w:val="0D0D0D"/>
          <w:sz w:val="20"/>
          <w:szCs w:val="20"/>
          <w:shd w:val="clear" w:color="auto" w:fill="FFFFFF"/>
          <w:lang w:val="en-US"/>
        </w:rPr>
        <w:t xml:space="preserve">s, tests, symptomatic diagnoses, asymptomatic diagnoses, percentage ceftriaxone-resistant, and percentage tetracycline-resistant </w:t>
      </w:r>
      <w:r w:rsidRPr="006108A8">
        <w:rPr>
          <w:rFonts w:ascii="Times New Roman" w:hAnsi="Times New Roman" w:cs="Times New Roman"/>
          <w:color w:val="0D0D0D"/>
          <w:sz w:val="20"/>
          <w:szCs w:val="20"/>
          <w:shd w:val="clear" w:color="auto" w:fill="FFFFFF"/>
          <w:lang w:val="en-US"/>
        </w:rPr>
        <w:t>among MSM in England.</w:t>
      </w:r>
      <w:r w:rsidR="001010DC" w:rsidRPr="006108A8">
        <w:rPr>
          <w:rFonts w:ascii="Times New Roman" w:hAnsi="Times New Roman" w:cs="Times New Roman"/>
          <w:color w:val="0D0D0D"/>
          <w:sz w:val="20"/>
          <w:szCs w:val="20"/>
          <w:shd w:val="clear" w:color="auto" w:fill="FFFFFF"/>
          <w:lang w:val="en-US"/>
        </w:rPr>
        <w:t xml:space="preserve"> </w:t>
      </w:r>
      <w:r w:rsidR="00630081" w:rsidRPr="006108A8">
        <w:rPr>
          <w:rFonts w:ascii="Times New Roman" w:hAnsi="Times New Roman" w:cs="Times New Roman"/>
          <w:sz w:val="20"/>
          <w:szCs w:val="20"/>
        </w:rPr>
        <w:t xml:space="preserve">Doxycycline susceptibility cannot be directly assessed because doxycycline MICs were not routinely available. Therefore, we used tetracycline MIC </w:t>
      </w:r>
      <m:oMath>
        <m:r>
          <w:rPr>
            <w:rFonts w:ascii="Cambria Math" w:hAnsi="Cambria Math" w:cs="Times New Roman"/>
            <w:sz w:val="20"/>
            <w:szCs w:val="20"/>
          </w:rPr>
          <m:t>&gt;</m:t>
        </m:r>
      </m:oMath>
      <w:r w:rsidR="00630081" w:rsidRPr="006108A8">
        <w:rPr>
          <w:rFonts w:ascii="Times New Roman" w:hAnsi="Times New Roman" w:cs="Times New Roman"/>
          <w:sz w:val="20"/>
          <w:szCs w:val="20"/>
        </w:rPr>
        <w:t xml:space="preserve"> 1 mg/L among MSM isolates as the primary proxy for doxycycline non-susceptibility, consistent with surveillance practice. High-level plasmid-mediated resistance (tetM), typically associated with tetracycline MIC </w:t>
      </w:r>
      <m:oMath>
        <m:r>
          <w:rPr>
            <w:rFonts w:ascii="Cambria Math" w:hAnsi="Cambria Math" w:cs="Times New Roman"/>
            <w:sz w:val="20"/>
            <w:szCs w:val="20"/>
          </w:rPr>
          <m:t>≥</m:t>
        </m:r>
      </m:oMath>
      <w:r w:rsidR="00630081" w:rsidRPr="006108A8">
        <w:rPr>
          <w:rFonts w:ascii="Times New Roman" w:hAnsi="Times New Roman" w:cs="Times New Roman"/>
          <w:sz w:val="20"/>
          <w:szCs w:val="20"/>
        </w:rPr>
        <w:t xml:space="preserve"> 8 mg/L, was available only for the general population; these data were used solely for sensitivity analyses to bound the prevalence of high-level doxycycline resistance in MSM.</w:t>
      </w:r>
    </w:p>
    <w:tbl>
      <w:tblPr>
        <w:tblStyle w:val="TableGrid"/>
        <w:tblW w:w="13958" w:type="dxa"/>
        <w:jc w:val="center"/>
        <w:tblBorders>
          <w:insideV w:val="single" w:sz="4" w:space="0" w:color="auto"/>
        </w:tblBorders>
        <w:tblLook w:val="04A0" w:firstRow="1" w:lastRow="0" w:firstColumn="1" w:lastColumn="0" w:noHBand="0" w:noVBand="1"/>
      </w:tblPr>
      <w:tblGrid>
        <w:gridCol w:w="746"/>
        <w:gridCol w:w="1773"/>
        <w:gridCol w:w="1529"/>
        <w:gridCol w:w="1856"/>
        <w:gridCol w:w="1527"/>
        <w:gridCol w:w="1389"/>
        <w:gridCol w:w="1890"/>
        <w:gridCol w:w="1710"/>
        <w:gridCol w:w="1538"/>
      </w:tblGrid>
      <w:tr w:rsidR="00D95BD9" w:rsidRPr="002D7CDC" w14:paraId="6EBD6B1A" w14:textId="3F6EA2B6" w:rsidTr="007D28FF">
        <w:trPr>
          <w:jc w:val="center"/>
        </w:trPr>
        <w:tc>
          <w:tcPr>
            <w:tcW w:w="746" w:type="dxa"/>
            <w:tcBorders>
              <w:top w:val="single" w:sz="4" w:space="0" w:color="auto"/>
              <w:bottom w:val="single" w:sz="4" w:space="0" w:color="auto"/>
              <w:right w:val="nil"/>
            </w:tcBorders>
          </w:tcPr>
          <w:p w14:paraId="2A4310C7"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Year</w:t>
            </w:r>
          </w:p>
        </w:tc>
        <w:tc>
          <w:tcPr>
            <w:tcW w:w="1773" w:type="dxa"/>
            <w:tcBorders>
              <w:top w:val="single" w:sz="4" w:space="0" w:color="auto"/>
              <w:left w:val="nil"/>
              <w:bottom w:val="single" w:sz="4" w:space="0" w:color="auto"/>
              <w:right w:val="nil"/>
            </w:tcBorders>
          </w:tcPr>
          <w:p w14:paraId="69E76FEB" w14:textId="523D3CC9"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diagnoses</w:t>
            </w:r>
          </w:p>
        </w:tc>
        <w:tc>
          <w:tcPr>
            <w:tcW w:w="1529" w:type="dxa"/>
            <w:tcBorders>
              <w:top w:val="single" w:sz="4" w:space="0" w:color="auto"/>
              <w:left w:val="nil"/>
              <w:bottom w:val="single" w:sz="4" w:space="0" w:color="auto"/>
              <w:right w:val="nil"/>
            </w:tcBorders>
          </w:tcPr>
          <w:p w14:paraId="34A265CB" w14:textId="338889D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tests</w:t>
            </w:r>
          </w:p>
        </w:tc>
        <w:tc>
          <w:tcPr>
            <w:tcW w:w="1856" w:type="dxa"/>
            <w:tcBorders>
              <w:top w:val="single" w:sz="4" w:space="0" w:color="auto"/>
              <w:left w:val="nil"/>
              <w:bottom w:val="single" w:sz="4" w:space="0" w:color="auto"/>
              <w:right w:val="nil"/>
            </w:tcBorders>
          </w:tcPr>
          <w:p w14:paraId="20F3F035" w14:textId="6603A37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MSM in GRASP report</w:t>
            </w:r>
          </w:p>
        </w:tc>
        <w:tc>
          <w:tcPr>
            <w:tcW w:w="1527" w:type="dxa"/>
            <w:tcBorders>
              <w:top w:val="single" w:sz="4" w:space="0" w:color="auto"/>
              <w:left w:val="nil"/>
              <w:bottom w:val="single" w:sz="4" w:space="0" w:color="auto"/>
              <w:right w:val="nil"/>
            </w:tcBorders>
          </w:tcPr>
          <w:p w14:paraId="69308E99" w14:textId="261A6395"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symptomatic diagnoses in GRASP report</w:t>
            </w:r>
          </w:p>
        </w:tc>
        <w:tc>
          <w:tcPr>
            <w:tcW w:w="1389" w:type="dxa"/>
            <w:tcBorders>
              <w:top w:val="single" w:sz="4" w:space="0" w:color="auto"/>
              <w:left w:val="nil"/>
              <w:bottom w:val="single" w:sz="4" w:space="0" w:color="auto"/>
              <w:right w:val="nil"/>
            </w:tcBorders>
          </w:tcPr>
          <w:p w14:paraId="72FD1652" w14:textId="5D6B12A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asymptomatic diagnoses in GRASP report</w:t>
            </w:r>
          </w:p>
        </w:tc>
        <w:tc>
          <w:tcPr>
            <w:tcW w:w="1890" w:type="dxa"/>
            <w:tcBorders>
              <w:top w:val="single" w:sz="4" w:space="0" w:color="auto"/>
              <w:left w:val="nil"/>
              <w:bottom w:val="single" w:sz="4" w:space="0" w:color="auto"/>
              <w:right w:val="nil"/>
            </w:tcBorders>
          </w:tcPr>
          <w:p w14:paraId="5F1223B7" w14:textId="4DBC514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ceftriaxone-resistant </w:t>
            </w:r>
            <w:r w:rsidR="007D28FF">
              <w:rPr>
                <w:rFonts w:cs="Times New Roman"/>
                <w:color w:val="0D0D0D"/>
                <w:szCs w:val="20"/>
                <w:shd w:val="clear" w:color="auto" w:fill="FFFFFF"/>
                <w:lang w:val="en-US"/>
              </w:rPr>
              <w:t xml:space="preserve">in MSM         </w:t>
            </w:r>
            <w:proofErr w:type="gramStart"/>
            <w:r w:rsidR="007D28FF">
              <w:rPr>
                <w:rFonts w:cs="Times New Roman"/>
                <w:color w:val="0D0D0D"/>
                <w:szCs w:val="20"/>
                <w:shd w:val="clear" w:color="auto" w:fill="FFFFFF"/>
                <w:lang w:val="en-US"/>
              </w:rPr>
              <w:t xml:space="preserve">   </w:t>
            </w:r>
            <w:r>
              <w:rPr>
                <w:rFonts w:cs="Times New Roman"/>
                <w:color w:val="0D0D0D"/>
                <w:szCs w:val="20"/>
                <w:shd w:val="clear" w:color="auto" w:fill="FFFFFF"/>
                <w:lang w:val="en-US"/>
              </w:rPr>
              <w:t>(</w:t>
            </w:r>
            <w:proofErr w:type="gramEnd"/>
            <w:r>
              <w:rPr>
                <w:rFonts w:cs="Times New Roman"/>
                <w:color w:val="0D0D0D"/>
                <w:szCs w:val="20"/>
                <w:shd w:val="clear" w:color="auto" w:fill="FFFFFF"/>
                <w:lang w:val="en-US"/>
              </w:rPr>
              <w:t xml:space="preserve">MIC </w:t>
            </w:r>
            <m:oMath>
              <m:r>
                <w:rPr>
                  <w:rFonts w:ascii="Cambria Math" w:hAnsi="Cambria Math" w:cs="Times New Roman"/>
                  <w:sz w:val="16"/>
                  <w:szCs w:val="16"/>
                </w:rPr>
                <m:t>&gt;</m:t>
              </m:r>
            </m:oMath>
            <w:r>
              <w:rPr>
                <w:rFonts w:cs="Times New Roman"/>
                <w:color w:val="0D0D0D"/>
                <w:szCs w:val="20"/>
                <w:shd w:val="clear" w:color="auto" w:fill="FFFFFF"/>
                <w:lang w:val="en-US"/>
              </w:rPr>
              <w:t xml:space="preserve"> 0.125mg/L)</w:t>
            </w:r>
          </w:p>
        </w:tc>
        <w:tc>
          <w:tcPr>
            <w:tcW w:w="1710" w:type="dxa"/>
            <w:tcBorders>
              <w:top w:val="single" w:sz="4" w:space="0" w:color="auto"/>
              <w:left w:val="nil"/>
              <w:bottom w:val="single" w:sz="4" w:space="0" w:color="auto"/>
            </w:tcBorders>
          </w:tcPr>
          <w:p w14:paraId="5B9ABA7C" w14:textId="1AA7528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tetracycline-resistant </w:t>
            </w:r>
            <w:r w:rsidR="007D28FF">
              <w:rPr>
                <w:rFonts w:cs="Times New Roman"/>
                <w:color w:val="0D0D0D"/>
                <w:szCs w:val="20"/>
                <w:shd w:val="clear" w:color="auto" w:fill="FFFFFF"/>
                <w:lang w:val="en-US"/>
              </w:rPr>
              <w:t xml:space="preserve">in MSM </w:t>
            </w:r>
            <w:r>
              <w:rPr>
                <w:rFonts w:cs="Times New Roman"/>
                <w:color w:val="0D0D0D"/>
                <w:szCs w:val="20"/>
                <w:shd w:val="clear" w:color="auto" w:fill="FFFFFF"/>
                <w:lang w:val="en-US"/>
              </w:rPr>
              <w:t xml:space="preserve">(MIC </w:t>
            </w:r>
            <m:oMath>
              <m:r>
                <w:rPr>
                  <w:rFonts w:ascii="Cambria Math" w:hAnsi="Cambria Math" w:cs="Times New Roman"/>
                  <w:sz w:val="16"/>
                  <w:szCs w:val="16"/>
                </w:rPr>
                <m:t>&gt;</m:t>
              </m:r>
            </m:oMath>
            <w:r>
              <w:rPr>
                <w:rFonts w:cs="Times New Roman"/>
                <w:color w:val="0D0D0D"/>
                <w:szCs w:val="20"/>
                <w:shd w:val="clear" w:color="auto" w:fill="FFFFFF"/>
                <w:lang w:val="en-US"/>
              </w:rPr>
              <w:t xml:space="preserve"> 1mg/L)</w:t>
            </w:r>
          </w:p>
        </w:tc>
        <w:tc>
          <w:tcPr>
            <w:tcW w:w="1538" w:type="dxa"/>
            <w:tcBorders>
              <w:top w:val="single" w:sz="4" w:space="0" w:color="auto"/>
              <w:bottom w:val="single" w:sz="4" w:space="0" w:color="auto"/>
            </w:tcBorders>
          </w:tcPr>
          <w:p w14:paraId="1264EBDF" w14:textId="0619623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tetracycline-resistant </w:t>
            </w:r>
            <w:r w:rsidR="007D28FF">
              <w:rPr>
                <w:rFonts w:cs="Times New Roman"/>
                <w:color w:val="0D0D0D"/>
                <w:szCs w:val="20"/>
                <w:shd w:val="clear" w:color="auto" w:fill="FFFFFF"/>
                <w:lang w:val="en-US"/>
              </w:rPr>
              <w:t xml:space="preserve">     </w:t>
            </w:r>
            <w:proofErr w:type="gramStart"/>
            <w:r w:rsidR="007D28FF">
              <w:rPr>
                <w:rFonts w:cs="Times New Roman"/>
                <w:color w:val="0D0D0D"/>
                <w:szCs w:val="20"/>
                <w:shd w:val="clear" w:color="auto" w:fill="FFFFFF"/>
                <w:lang w:val="en-US"/>
              </w:rPr>
              <w:t xml:space="preserve">   </w:t>
            </w:r>
            <w:r>
              <w:rPr>
                <w:rFonts w:cs="Times New Roman"/>
                <w:color w:val="0D0D0D"/>
                <w:szCs w:val="20"/>
                <w:shd w:val="clear" w:color="auto" w:fill="FFFFFF"/>
                <w:lang w:val="en-US"/>
              </w:rPr>
              <w:t>(</w:t>
            </w:r>
            <w:proofErr w:type="gramEnd"/>
            <w:r>
              <w:rPr>
                <w:rFonts w:cs="Times New Roman"/>
                <w:color w:val="0D0D0D"/>
                <w:szCs w:val="20"/>
                <w:shd w:val="clear" w:color="auto" w:fill="FFFFFF"/>
                <w:lang w:val="en-US"/>
              </w:rPr>
              <w:t>MIC</w:t>
            </w:r>
            <w:r w:rsidR="003E7919">
              <w:rPr>
                <w:rFonts w:cs="Times New Roman"/>
                <w:color w:val="0D0D0D"/>
                <w:szCs w:val="20"/>
                <w:shd w:val="clear" w:color="auto" w:fill="FFFFFF"/>
                <w:lang w:val="en-US"/>
              </w:rPr>
              <w:t xml:space="preserve"> </w:t>
            </w:r>
            <m:oMath>
              <m:r>
                <w:rPr>
                  <w:rFonts w:ascii="Cambria Math" w:hAnsi="Cambria Math" w:cs="Times New Roman"/>
                  <w:sz w:val="16"/>
                  <w:szCs w:val="16"/>
                </w:rPr>
                <m:t>≥</m:t>
              </m:r>
            </m:oMath>
            <w:r>
              <w:rPr>
                <w:rFonts w:cs="Times New Roman"/>
                <w:color w:val="0D0D0D"/>
                <w:szCs w:val="20"/>
                <w:shd w:val="clear" w:color="auto" w:fill="FFFFFF"/>
                <w:lang w:val="en-US"/>
              </w:rPr>
              <w:t xml:space="preserve"> 8mg/L)</w:t>
            </w:r>
          </w:p>
        </w:tc>
      </w:tr>
      <w:tr w:rsidR="00D95BD9" w:rsidRPr="002D7CDC" w14:paraId="46193362" w14:textId="44B995FD" w:rsidTr="007D28FF">
        <w:trPr>
          <w:jc w:val="center"/>
        </w:trPr>
        <w:tc>
          <w:tcPr>
            <w:tcW w:w="746" w:type="dxa"/>
            <w:tcBorders>
              <w:top w:val="single" w:sz="4" w:space="0" w:color="auto"/>
              <w:right w:val="nil"/>
            </w:tcBorders>
          </w:tcPr>
          <w:p w14:paraId="73C2B163"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2011</w:t>
            </w:r>
          </w:p>
        </w:tc>
        <w:tc>
          <w:tcPr>
            <w:tcW w:w="1773" w:type="dxa"/>
            <w:tcBorders>
              <w:top w:val="single" w:sz="4" w:space="0" w:color="auto"/>
              <w:left w:val="nil"/>
              <w:right w:val="nil"/>
            </w:tcBorders>
          </w:tcPr>
          <w:p w14:paraId="0F1C2737" w14:textId="2FA33D7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7797</w:t>
            </w:r>
          </w:p>
        </w:tc>
        <w:tc>
          <w:tcPr>
            <w:tcW w:w="1529" w:type="dxa"/>
            <w:tcBorders>
              <w:top w:val="single" w:sz="4" w:space="0" w:color="auto"/>
              <w:left w:val="nil"/>
              <w:bottom w:val="nil"/>
              <w:right w:val="nil"/>
            </w:tcBorders>
          </w:tcPr>
          <w:p w14:paraId="78205630" w14:textId="51DDBBC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86472</w:t>
            </w:r>
          </w:p>
        </w:tc>
        <w:tc>
          <w:tcPr>
            <w:tcW w:w="1856" w:type="dxa"/>
            <w:tcBorders>
              <w:top w:val="single" w:sz="4" w:space="0" w:color="auto"/>
              <w:left w:val="nil"/>
              <w:bottom w:val="nil"/>
              <w:right w:val="nil"/>
            </w:tcBorders>
          </w:tcPr>
          <w:p w14:paraId="0A72B334" w14:textId="5527EF9E"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27" w:type="dxa"/>
            <w:tcBorders>
              <w:top w:val="single" w:sz="4" w:space="0" w:color="auto"/>
              <w:left w:val="nil"/>
              <w:bottom w:val="nil"/>
              <w:right w:val="nil"/>
            </w:tcBorders>
          </w:tcPr>
          <w:p w14:paraId="2D9DD03A" w14:textId="13D82206"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389" w:type="dxa"/>
            <w:tcBorders>
              <w:top w:val="single" w:sz="4" w:space="0" w:color="auto"/>
              <w:left w:val="nil"/>
              <w:bottom w:val="nil"/>
              <w:right w:val="nil"/>
            </w:tcBorders>
          </w:tcPr>
          <w:p w14:paraId="4088A8E2" w14:textId="659DEFAF"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890" w:type="dxa"/>
            <w:tcBorders>
              <w:top w:val="single" w:sz="4" w:space="0" w:color="auto"/>
              <w:left w:val="nil"/>
              <w:right w:val="nil"/>
            </w:tcBorders>
          </w:tcPr>
          <w:p w14:paraId="1D3DD5E8" w14:textId="724E4A6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top w:val="single" w:sz="4" w:space="0" w:color="auto"/>
              <w:left w:val="nil"/>
            </w:tcBorders>
          </w:tcPr>
          <w:p w14:paraId="0E656E83" w14:textId="45054DD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38" w:type="dxa"/>
            <w:tcBorders>
              <w:top w:val="single" w:sz="4" w:space="0" w:color="auto"/>
            </w:tcBorders>
          </w:tcPr>
          <w:p w14:paraId="1EBBEBCB" w14:textId="0B3EC42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348D0FEF" w14:textId="2A519F44" w:rsidTr="007D28FF">
        <w:trPr>
          <w:jc w:val="center"/>
        </w:trPr>
        <w:tc>
          <w:tcPr>
            <w:tcW w:w="746" w:type="dxa"/>
            <w:tcBorders>
              <w:right w:val="nil"/>
            </w:tcBorders>
          </w:tcPr>
          <w:p w14:paraId="4FD51E9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2012</w:t>
            </w:r>
          </w:p>
        </w:tc>
        <w:tc>
          <w:tcPr>
            <w:tcW w:w="1773" w:type="dxa"/>
            <w:tcBorders>
              <w:left w:val="nil"/>
              <w:right w:val="nil"/>
            </w:tcBorders>
          </w:tcPr>
          <w:p w14:paraId="3E03D848" w14:textId="3500E6E8"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10690</w:t>
            </w:r>
          </w:p>
        </w:tc>
        <w:tc>
          <w:tcPr>
            <w:tcW w:w="1529" w:type="dxa"/>
            <w:tcBorders>
              <w:top w:val="nil"/>
              <w:left w:val="nil"/>
              <w:bottom w:val="nil"/>
              <w:right w:val="nil"/>
            </w:tcBorders>
          </w:tcPr>
          <w:p w14:paraId="4B8319AC" w14:textId="112AC859"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99558</w:t>
            </w:r>
          </w:p>
        </w:tc>
        <w:tc>
          <w:tcPr>
            <w:tcW w:w="1856" w:type="dxa"/>
            <w:tcBorders>
              <w:top w:val="nil"/>
              <w:left w:val="nil"/>
              <w:bottom w:val="nil"/>
              <w:right w:val="nil"/>
            </w:tcBorders>
          </w:tcPr>
          <w:p w14:paraId="6B7ED86E" w14:textId="0B976ED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27" w:type="dxa"/>
            <w:tcBorders>
              <w:top w:val="nil"/>
              <w:left w:val="nil"/>
              <w:bottom w:val="nil"/>
              <w:right w:val="nil"/>
            </w:tcBorders>
          </w:tcPr>
          <w:p w14:paraId="286A2925" w14:textId="3D9BF799"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389" w:type="dxa"/>
            <w:tcBorders>
              <w:top w:val="nil"/>
              <w:left w:val="nil"/>
              <w:bottom w:val="nil"/>
              <w:right w:val="nil"/>
            </w:tcBorders>
          </w:tcPr>
          <w:p w14:paraId="502063CF" w14:textId="23767E4D"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890" w:type="dxa"/>
            <w:tcBorders>
              <w:left w:val="nil"/>
              <w:right w:val="nil"/>
            </w:tcBorders>
          </w:tcPr>
          <w:p w14:paraId="0FB10733" w14:textId="55C3B5C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02431400" w14:textId="01F8E8B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38" w:type="dxa"/>
          </w:tcPr>
          <w:p w14:paraId="1857C959" w14:textId="1CEEABB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9.5</w:t>
            </w:r>
          </w:p>
        </w:tc>
      </w:tr>
      <w:tr w:rsidR="00D95BD9" w:rsidRPr="002D7CDC" w14:paraId="0EFC8EF0" w14:textId="7AD42668" w:rsidTr="007D28FF">
        <w:trPr>
          <w:jc w:val="center"/>
        </w:trPr>
        <w:tc>
          <w:tcPr>
            <w:tcW w:w="746" w:type="dxa"/>
            <w:tcBorders>
              <w:right w:val="nil"/>
            </w:tcBorders>
          </w:tcPr>
          <w:p w14:paraId="22A90C22"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2013</w:t>
            </w:r>
          </w:p>
        </w:tc>
        <w:tc>
          <w:tcPr>
            <w:tcW w:w="1773" w:type="dxa"/>
            <w:tcBorders>
              <w:left w:val="nil"/>
              <w:right w:val="nil"/>
            </w:tcBorders>
          </w:tcPr>
          <w:p w14:paraId="4A4332B1" w14:textId="2305CD3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13579</w:t>
            </w:r>
          </w:p>
        </w:tc>
        <w:tc>
          <w:tcPr>
            <w:tcW w:w="1529" w:type="dxa"/>
            <w:tcBorders>
              <w:top w:val="nil"/>
              <w:left w:val="nil"/>
              <w:bottom w:val="nil"/>
              <w:right w:val="nil"/>
            </w:tcBorders>
          </w:tcPr>
          <w:p w14:paraId="6F3F1792" w14:textId="60345B4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114282</w:t>
            </w:r>
          </w:p>
        </w:tc>
        <w:tc>
          <w:tcPr>
            <w:tcW w:w="1856" w:type="dxa"/>
            <w:tcBorders>
              <w:top w:val="nil"/>
              <w:left w:val="nil"/>
              <w:bottom w:val="nil"/>
              <w:right w:val="nil"/>
            </w:tcBorders>
          </w:tcPr>
          <w:p w14:paraId="075816FE" w14:textId="7F7CBBD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1090</w:t>
            </w:r>
          </w:p>
        </w:tc>
        <w:tc>
          <w:tcPr>
            <w:tcW w:w="1527" w:type="dxa"/>
            <w:tcBorders>
              <w:top w:val="nil"/>
              <w:left w:val="nil"/>
              <w:bottom w:val="nil"/>
              <w:right w:val="nil"/>
            </w:tcBorders>
          </w:tcPr>
          <w:p w14:paraId="5C9D5243" w14:textId="432DD0C1"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402</w:t>
            </w:r>
          </w:p>
        </w:tc>
        <w:tc>
          <w:tcPr>
            <w:tcW w:w="1389" w:type="dxa"/>
            <w:tcBorders>
              <w:top w:val="nil"/>
              <w:left w:val="nil"/>
              <w:bottom w:val="nil"/>
              <w:right w:val="nil"/>
            </w:tcBorders>
          </w:tcPr>
          <w:p w14:paraId="300CA7BB" w14:textId="1802C7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191</w:t>
            </w:r>
          </w:p>
        </w:tc>
        <w:tc>
          <w:tcPr>
            <w:tcW w:w="1890" w:type="dxa"/>
            <w:tcBorders>
              <w:left w:val="nil"/>
              <w:right w:val="nil"/>
            </w:tcBorders>
          </w:tcPr>
          <w:p w14:paraId="3708C83D" w14:textId="05A1ECF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0AFBE6A5" w14:textId="6079A5C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92.5</w:t>
            </w:r>
            <w:r>
              <w:rPr>
                <w:rStyle w:val="FootnoteReference"/>
                <w:rFonts w:cs="Times New Roman"/>
                <w:color w:val="0D0D0D"/>
                <w:szCs w:val="20"/>
                <w:shd w:val="clear" w:color="auto" w:fill="FFFFFF"/>
                <w:lang w:val="en-US"/>
              </w:rPr>
              <w:footnoteReference w:id="2"/>
            </w:r>
          </w:p>
        </w:tc>
        <w:tc>
          <w:tcPr>
            <w:tcW w:w="1538" w:type="dxa"/>
          </w:tcPr>
          <w:p w14:paraId="37D26422" w14:textId="6498C11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11.2</w:t>
            </w:r>
          </w:p>
        </w:tc>
      </w:tr>
      <w:tr w:rsidR="00D95BD9" w:rsidRPr="002D7CDC" w14:paraId="4BC81B48" w14:textId="1D584C0A" w:rsidTr="007D28FF">
        <w:trPr>
          <w:jc w:val="center"/>
        </w:trPr>
        <w:tc>
          <w:tcPr>
            <w:tcW w:w="746" w:type="dxa"/>
            <w:tcBorders>
              <w:right w:val="nil"/>
            </w:tcBorders>
          </w:tcPr>
          <w:p w14:paraId="0A04507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2014</w:t>
            </w:r>
          </w:p>
        </w:tc>
        <w:tc>
          <w:tcPr>
            <w:tcW w:w="1773" w:type="dxa"/>
            <w:tcBorders>
              <w:left w:val="nil"/>
              <w:right w:val="nil"/>
            </w:tcBorders>
          </w:tcPr>
          <w:p w14:paraId="62901024" w14:textId="13AD81B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18017</w:t>
            </w:r>
          </w:p>
        </w:tc>
        <w:tc>
          <w:tcPr>
            <w:tcW w:w="1529" w:type="dxa"/>
            <w:tcBorders>
              <w:top w:val="nil"/>
              <w:left w:val="nil"/>
              <w:bottom w:val="nil"/>
              <w:right w:val="nil"/>
            </w:tcBorders>
          </w:tcPr>
          <w:p w14:paraId="37A0BFCF" w14:textId="65968CD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146991</w:t>
            </w:r>
          </w:p>
        </w:tc>
        <w:tc>
          <w:tcPr>
            <w:tcW w:w="1856" w:type="dxa"/>
            <w:tcBorders>
              <w:top w:val="nil"/>
              <w:left w:val="nil"/>
              <w:bottom w:val="nil"/>
              <w:right w:val="nil"/>
            </w:tcBorders>
          </w:tcPr>
          <w:p w14:paraId="3E71D7B6" w14:textId="62782E9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1073</w:t>
            </w:r>
          </w:p>
        </w:tc>
        <w:tc>
          <w:tcPr>
            <w:tcW w:w="1527" w:type="dxa"/>
            <w:tcBorders>
              <w:top w:val="nil"/>
              <w:left w:val="nil"/>
              <w:bottom w:val="nil"/>
              <w:right w:val="nil"/>
            </w:tcBorders>
          </w:tcPr>
          <w:p w14:paraId="63126EF8" w14:textId="5542DA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573</w:t>
            </w:r>
          </w:p>
        </w:tc>
        <w:tc>
          <w:tcPr>
            <w:tcW w:w="1389" w:type="dxa"/>
            <w:tcBorders>
              <w:top w:val="nil"/>
              <w:left w:val="nil"/>
              <w:bottom w:val="nil"/>
              <w:right w:val="nil"/>
            </w:tcBorders>
          </w:tcPr>
          <w:p w14:paraId="350417D8" w14:textId="39437652"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361</w:t>
            </w:r>
          </w:p>
        </w:tc>
        <w:tc>
          <w:tcPr>
            <w:tcW w:w="1890" w:type="dxa"/>
            <w:tcBorders>
              <w:left w:val="nil"/>
              <w:right w:val="nil"/>
            </w:tcBorders>
          </w:tcPr>
          <w:p w14:paraId="1DEC6F74" w14:textId="708B8F4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368A9FCA" w14:textId="3C077C4D" w:rsidR="00E5498B" w:rsidRPr="00382F6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Pr>
                <w:rFonts w:cs="Times New Roman"/>
                <w:color w:val="0D0D0D"/>
                <w:szCs w:val="20"/>
                <w:shd w:val="clear" w:color="auto" w:fill="FFFFFF"/>
                <w:lang w:val="en-US"/>
              </w:rPr>
              <w:t>91.5</w:t>
            </w:r>
            <w:r>
              <w:rPr>
                <w:rFonts w:cs="Times New Roman"/>
                <w:color w:val="0D0D0D"/>
                <w:szCs w:val="20"/>
                <w:shd w:val="clear" w:color="auto" w:fill="FFFFFF"/>
                <w:vertAlign w:val="superscript"/>
                <w:lang w:val="en-US"/>
              </w:rPr>
              <w:t>*</w:t>
            </w:r>
          </w:p>
        </w:tc>
        <w:tc>
          <w:tcPr>
            <w:tcW w:w="1538" w:type="dxa"/>
          </w:tcPr>
          <w:p w14:paraId="5F69CD62" w14:textId="057EE1E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0C9DCFA6" w14:textId="78F919D1" w:rsidTr="007D28FF">
        <w:trPr>
          <w:jc w:val="center"/>
        </w:trPr>
        <w:tc>
          <w:tcPr>
            <w:tcW w:w="746" w:type="dxa"/>
            <w:tcBorders>
              <w:right w:val="nil"/>
            </w:tcBorders>
          </w:tcPr>
          <w:p w14:paraId="56CB69B4"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2015</w:t>
            </w:r>
          </w:p>
        </w:tc>
        <w:tc>
          <w:tcPr>
            <w:tcW w:w="1773" w:type="dxa"/>
            <w:tcBorders>
              <w:left w:val="nil"/>
              <w:right w:val="nil"/>
            </w:tcBorders>
          </w:tcPr>
          <w:p w14:paraId="54A30258" w14:textId="02D00AB9"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22042</w:t>
            </w:r>
          </w:p>
        </w:tc>
        <w:tc>
          <w:tcPr>
            <w:tcW w:w="1529" w:type="dxa"/>
            <w:tcBorders>
              <w:top w:val="nil"/>
              <w:left w:val="nil"/>
              <w:bottom w:val="nil"/>
              <w:right w:val="nil"/>
            </w:tcBorders>
          </w:tcPr>
          <w:p w14:paraId="56B63DCC" w14:textId="3F298E7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162071</w:t>
            </w:r>
          </w:p>
        </w:tc>
        <w:tc>
          <w:tcPr>
            <w:tcW w:w="1856" w:type="dxa"/>
            <w:tcBorders>
              <w:top w:val="nil"/>
              <w:left w:val="nil"/>
              <w:bottom w:val="nil"/>
              <w:right w:val="nil"/>
            </w:tcBorders>
          </w:tcPr>
          <w:p w14:paraId="6A4A915D" w14:textId="2CEB375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1226</w:t>
            </w:r>
          </w:p>
        </w:tc>
        <w:tc>
          <w:tcPr>
            <w:tcW w:w="1527" w:type="dxa"/>
            <w:tcBorders>
              <w:top w:val="nil"/>
              <w:left w:val="nil"/>
              <w:bottom w:val="nil"/>
              <w:right w:val="nil"/>
            </w:tcBorders>
          </w:tcPr>
          <w:p w14:paraId="60454E71" w14:textId="15FA1591"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454</w:t>
            </w:r>
          </w:p>
        </w:tc>
        <w:tc>
          <w:tcPr>
            <w:tcW w:w="1389" w:type="dxa"/>
            <w:tcBorders>
              <w:top w:val="nil"/>
              <w:left w:val="nil"/>
              <w:bottom w:val="nil"/>
              <w:right w:val="nil"/>
            </w:tcBorders>
          </w:tcPr>
          <w:p w14:paraId="7C666DA1" w14:textId="2447E9B0"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358</w:t>
            </w:r>
          </w:p>
        </w:tc>
        <w:tc>
          <w:tcPr>
            <w:tcW w:w="1890" w:type="dxa"/>
            <w:tcBorders>
              <w:left w:val="nil"/>
              <w:right w:val="nil"/>
            </w:tcBorders>
          </w:tcPr>
          <w:p w14:paraId="4A5040DD" w14:textId="791381C5"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287FD9D1" w14:textId="57F7E5F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41.6</w:t>
            </w:r>
          </w:p>
        </w:tc>
        <w:tc>
          <w:tcPr>
            <w:tcW w:w="1538" w:type="dxa"/>
          </w:tcPr>
          <w:p w14:paraId="07605260" w14:textId="0E84141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76F246AD" w14:textId="1544F27C" w:rsidTr="007D28FF">
        <w:trPr>
          <w:trHeight w:val="58"/>
          <w:jc w:val="center"/>
        </w:trPr>
        <w:tc>
          <w:tcPr>
            <w:tcW w:w="746" w:type="dxa"/>
            <w:tcBorders>
              <w:right w:val="nil"/>
            </w:tcBorders>
          </w:tcPr>
          <w:p w14:paraId="1D33D971"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2016</w:t>
            </w:r>
          </w:p>
        </w:tc>
        <w:tc>
          <w:tcPr>
            <w:tcW w:w="1773" w:type="dxa"/>
            <w:tcBorders>
              <w:left w:val="nil"/>
              <w:right w:val="nil"/>
            </w:tcBorders>
          </w:tcPr>
          <w:p w14:paraId="69297820" w14:textId="524B3990"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17297</w:t>
            </w:r>
          </w:p>
        </w:tc>
        <w:tc>
          <w:tcPr>
            <w:tcW w:w="1529" w:type="dxa"/>
            <w:tcBorders>
              <w:top w:val="nil"/>
              <w:left w:val="nil"/>
              <w:bottom w:val="nil"/>
              <w:right w:val="nil"/>
            </w:tcBorders>
          </w:tcPr>
          <w:p w14:paraId="10FA88CE" w14:textId="7980DD4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170936</w:t>
            </w:r>
          </w:p>
        </w:tc>
        <w:tc>
          <w:tcPr>
            <w:tcW w:w="1856" w:type="dxa"/>
            <w:tcBorders>
              <w:top w:val="nil"/>
              <w:left w:val="nil"/>
              <w:bottom w:val="nil"/>
              <w:right w:val="nil"/>
            </w:tcBorders>
          </w:tcPr>
          <w:p w14:paraId="1FC458FD" w14:textId="286DA25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821</w:t>
            </w:r>
          </w:p>
        </w:tc>
        <w:tc>
          <w:tcPr>
            <w:tcW w:w="1527" w:type="dxa"/>
            <w:tcBorders>
              <w:top w:val="nil"/>
              <w:left w:val="nil"/>
              <w:bottom w:val="nil"/>
              <w:right w:val="nil"/>
            </w:tcBorders>
          </w:tcPr>
          <w:p w14:paraId="5662C376" w14:textId="28C714FA"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366</w:t>
            </w:r>
          </w:p>
        </w:tc>
        <w:tc>
          <w:tcPr>
            <w:tcW w:w="1389" w:type="dxa"/>
            <w:tcBorders>
              <w:top w:val="nil"/>
              <w:left w:val="nil"/>
              <w:bottom w:val="nil"/>
              <w:right w:val="nil"/>
            </w:tcBorders>
          </w:tcPr>
          <w:p w14:paraId="190084C6" w14:textId="48B6E7C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325</w:t>
            </w:r>
          </w:p>
        </w:tc>
        <w:tc>
          <w:tcPr>
            <w:tcW w:w="1890" w:type="dxa"/>
            <w:tcBorders>
              <w:left w:val="nil"/>
              <w:right w:val="nil"/>
            </w:tcBorders>
          </w:tcPr>
          <w:p w14:paraId="24DFC06C" w14:textId="0088BE7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1BDB5728" w14:textId="7112132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45.1</w:t>
            </w:r>
          </w:p>
        </w:tc>
        <w:tc>
          <w:tcPr>
            <w:tcW w:w="1538" w:type="dxa"/>
          </w:tcPr>
          <w:p w14:paraId="11174F13" w14:textId="460A26EC"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3BAFCFBC" w14:textId="46413F14" w:rsidTr="007D28FF">
        <w:trPr>
          <w:jc w:val="center"/>
        </w:trPr>
        <w:tc>
          <w:tcPr>
            <w:tcW w:w="746" w:type="dxa"/>
            <w:tcBorders>
              <w:right w:val="nil"/>
            </w:tcBorders>
          </w:tcPr>
          <w:p w14:paraId="478E5FFF"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2017</w:t>
            </w:r>
          </w:p>
        </w:tc>
        <w:tc>
          <w:tcPr>
            <w:tcW w:w="1773" w:type="dxa"/>
            <w:tcBorders>
              <w:left w:val="nil"/>
              <w:right w:val="nil"/>
            </w:tcBorders>
          </w:tcPr>
          <w:p w14:paraId="3C058AEF" w14:textId="13288D68"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21209</w:t>
            </w:r>
          </w:p>
        </w:tc>
        <w:tc>
          <w:tcPr>
            <w:tcW w:w="1529" w:type="dxa"/>
            <w:tcBorders>
              <w:top w:val="nil"/>
              <w:left w:val="nil"/>
              <w:bottom w:val="nil"/>
              <w:right w:val="nil"/>
            </w:tcBorders>
          </w:tcPr>
          <w:p w14:paraId="335410A4" w14:textId="10EFAD7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190941</w:t>
            </w:r>
          </w:p>
        </w:tc>
        <w:tc>
          <w:tcPr>
            <w:tcW w:w="1856" w:type="dxa"/>
            <w:tcBorders>
              <w:top w:val="nil"/>
              <w:left w:val="nil"/>
              <w:bottom w:val="nil"/>
              <w:right w:val="nil"/>
            </w:tcBorders>
          </w:tcPr>
          <w:p w14:paraId="0E104717" w14:textId="765EF11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839</w:t>
            </w:r>
          </w:p>
        </w:tc>
        <w:tc>
          <w:tcPr>
            <w:tcW w:w="1527" w:type="dxa"/>
            <w:tcBorders>
              <w:top w:val="nil"/>
              <w:left w:val="nil"/>
              <w:bottom w:val="nil"/>
              <w:right w:val="nil"/>
            </w:tcBorders>
          </w:tcPr>
          <w:p w14:paraId="392226B8" w14:textId="4A3B6032"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355</w:t>
            </w:r>
          </w:p>
        </w:tc>
        <w:tc>
          <w:tcPr>
            <w:tcW w:w="1389" w:type="dxa"/>
            <w:tcBorders>
              <w:top w:val="nil"/>
              <w:left w:val="nil"/>
              <w:bottom w:val="nil"/>
              <w:right w:val="nil"/>
            </w:tcBorders>
          </w:tcPr>
          <w:p w14:paraId="4428A66D" w14:textId="3F4AEA2B"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327</w:t>
            </w:r>
          </w:p>
        </w:tc>
        <w:tc>
          <w:tcPr>
            <w:tcW w:w="1890" w:type="dxa"/>
            <w:tcBorders>
              <w:left w:val="nil"/>
              <w:right w:val="nil"/>
            </w:tcBorders>
          </w:tcPr>
          <w:p w14:paraId="23ED62CA" w14:textId="43F25EB9"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7339A368" w14:textId="6DF3CB9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54.4</w:t>
            </w:r>
          </w:p>
        </w:tc>
        <w:tc>
          <w:tcPr>
            <w:tcW w:w="1538" w:type="dxa"/>
          </w:tcPr>
          <w:p w14:paraId="501DBE6D" w14:textId="7D0F10F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43.7</w:t>
            </w:r>
          </w:p>
        </w:tc>
      </w:tr>
      <w:tr w:rsidR="00D95BD9" w:rsidRPr="002D7CDC" w14:paraId="07D7E33D" w14:textId="201F4579" w:rsidTr="007D28FF">
        <w:trPr>
          <w:jc w:val="center"/>
        </w:trPr>
        <w:tc>
          <w:tcPr>
            <w:tcW w:w="746" w:type="dxa"/>
            <w:tcBorders>
              <w:right w:val="nil"/>
            </w:tcBorders>
          </w:tcPr>
          <w:p w14:paraId="62C14220"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2018</w:t>
            </w:r>
          </w:p>
        </w:tc>
        <w:tc>
          <w:tcPr>
            <w:tcW w:w="1773" w:type="dxa"/>
            <w:tcBorders>
              <w:left w:val="nil"/>
              <w:right w:val="nil"/>
            </w:tcBorders>
          </w:tcPr>
          <w:p w14:paraId="2B12B5DF" w14:textId="3B94A24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26748</w:t>
            </w:r>
          </w:p>
        </w:tc>
        <w:tc>
          <w:tcPr>
            <w:tcW w:w="1529" w:type="dxa"/>
            <w:tcBorders>
              <w:top w:val="nil"/>
              <w:left w:val="nil"/>
              <w:bottom w:val="nil"/>
              <w:right w:val="nil"/>
            </w:tcBorders>
          </w:tcPr>
          <w:p w14:paraId="53DEF618" w14:textId="4C9BD39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228103</w:t>
            </w:r>
          </w:p>
        </w:tc>
        <w:tc>
          <w:tcPr>
            <w:tcW w:w="1856" w:type="dxa"/>
            <w:tcBorders>
              <w:top w:val="nil"/>
              <w:left w:val="nil"/>
              <w:bottom w:val="nil"/>
              <w:right w:val="nil"/>
            </w:tcBorders>
          </w:tcPr>
          <w:p w14:paraId="5C0040F7" w14:textId="3B0F453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799</w:t>
            </w:r>
          </w:p>
        </w:tc>
        <w:tc>
          <w:tcPr>
            <w:tcW w:w="1527" w:type="dxa"/>
            <w:tcBorders>
              <w:top w:val="nil"/>
              <w:left w:val="nil"/>
              <w:bottom w:val="nil"/>
              <w:right w:val="nil"/>
            </w:tcBorders>
          </w:tcPr>
          <w:p w14:paraId="6271B7A0" w14:textId="592C9A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361</w:t>
            </w:r>
          </w:p>
        </w:tc>
        <w:tc>
          <w:tcPr>
            <w:tcW w:w="1389" w:type="dxa"/>
            <w:tcBorders>
              <w:top w:val="nil"/>
              <w:left w:val="nil"/>
              <w:bottom w:val="nil"/>
              <w:right w:val="nil"/>
            </w:tcBorders>
          </w:tcPr>
          <w:p w14:paraId="2B075967" w14:textId="21F168AD"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328</w:t>
            </w:r>
          </w:p>
        </w:tc>
        <w:tc>
          <w:tcPr>
            <w:tcW w:w="1890" w:type="dxa"/>
            <w:tcBorders>
              <w:left w:val="nil"/>
              <w:right w:val="nil"/>
            </w:tcBorders>
          </w:tcPr>
          <w:p w14:paraId="725DF0AC" w14:textId="6685833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542B3E3A" w14:textId="26ABECB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63.6</w:t>
            </w:r>
          </w:p>
        </w:tc>
        <w:tc>
          <w:tcPr>
            <w:tcW w:w="1538" w:type="dxa"/>
          </w:tcPr>
          <w:p w14:paraId="6AB8FFAE" w14:textId="28D241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43.2</w:t>
            </w:r>
          </w:p>
        </w:tc>
      </w:tr>
      <w:tr w:rsidR="00D95BD9" w:rsidRPr="002D7CDC" w14:paraId="58ECEB2E" w14:textId="5635B66A" w:rsidTr="00932C73">
        <w:trPr>
          <w:jc w:val="center"/>
        </w:trPr>
        <w:tc>
          <w:tcPr>
            <w:tcW w:w="746" w:type="dxa"/>
            <w:tcBorders>
              <w:bottom w:val="nil"/>
              <w:right w:val="nil"/>
            </w:tcBorders>
          </w:tcPr>
          <w:p w14:paraId="0035499F"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2019</w:t>
            </w:r>
          </w:p>
        </w:tc>
        <w:tc>
          <w:tcPr>
            <w:tcW w:w="1773" w:type="dxa"/>
            <w:tcBorders>
              <w:left w:val="nil"/>
              <w:bottom w:val="nil"/>
              <w:right w:val="nil"/>
            </w:tcBorders>
          </w:tcPr>
          <w:p w14:paraId="1755FD8E" w14:textId="4E81EEA0"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33634</w:t>
            </w:r>
          </w:p>
        </w:tc>
        <w:tc>
          <w:tcPr>
            <w:tcW w:w="1529" w:type="dxa"/>
            <w:tcBorders>
              <w:top w:val="nil"/>
              <w:left w:val="nil"/>
              <w:bottom w:val="nil"/>
              <w:right w:val="nil"/>
            </w:tcBorders>
          </w:tcPr>
          <w:p w14:paraId="5FA69BC7" w14:textId="694EE94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268605</w:t>
            </w:r>
          </w:p>
        </w:tc>
        <w:tc>
          <w:tcPr>
            <w:tcW w:w="1856" w:type="dxa"/>
            <w:tcBorders>
              <w:top w:val="nil"/>
              <w:left w:val="nil"/>
              <w:bottom w:val="nil"/>
              <w:right w:val="nil"/>
            </w:tcBorders>
          </w:tcPr>
          <w:p w14:paraId="118E188A" w14:textId="2B93C98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971</w:t>
            </w:r>
          </w:p>
        </w:tc>
        <w:tc>
          <w:tcPr>
            <w:tcW w:w="1527" w:type="dxa"/>
            <w:tcBorders>
              <w:top w:val="nil"/>
              <w:left w:val="nil"/>
              <w:bottom w:val="nil"/>
              <w:right w:val="nil"/>
            </w:tcBorders>
          </w:tcPr>
          <w:p w14:paraId="3C782FA8" w14:textId="6C9C3A46" w:rsidR="00E5498B" w:rsidRDefault="001A06DF"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408</w:t>
            </w:r>
          </w:p>
        </w:tc>
        <w:tc>
          <w:tcPr>
            <w:tcW w:w="1389" w:type="dxa"/>
            <w:tcBorders>
              <w:top w:val="nil"/>
              <w:left w:val="nil"/>
              <w:bottom w:val="nil"/>
              <w:right w:val="nil"/>
            </w:tcBorders>
          </w:tcPr>
          <w:p w14:paraId="420C4E67" w14:textId="4C25B11D" w:rsidR="00E5498B" w:rsidRDefault="001A06DF"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419</w:t>
            </w:r>
          </w:p>
        </w:tc>
        <w:tc>
          <w:tcPr>
            <w:tcW w:w="1890" w:type="dxa"/>
            <w:tcBorders>
              <w:left w:val="nil"/>
              <w:bottom w:val="nil"/>
              <w:right w:val="nil"/>
            </w:tcBorders>
          </w:tcPr>
          <w:p w14:paraId="6F7B90B7" w14:textId="53FD93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bottom w:val="nil"/>
            </w:tcBorders>
          </w:tcPr>
          <w:p w14:paraId="68B73222" w14:textId="6A2BC7D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75.0</w:t>
            </w:r>
          </w:p>
        </w:tc>
        <w:tc>
          <w:tcPr>
            <w:tcW w:w="1538" w:type="dxa"/>
            <w:tcBorders>
              <w:bottom w:val="nil"/>
            </w:tcBorders>
          </w:tcPr>
          <w:p w14:paraId="65A3D22D" w14:textId="62D80AB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45.2</w:t>
            </w:r>
          </w:p>
        </w:tc>
      </w:tr>
      <w:tr w:rsidR="00393D45" w:rsidRPr="00813523" w14:paraId="02936333" w14:textId="77777777" w:rsidTr="00932C73">
        <w:trPr>
          <w:jc w:val="center"/>
        </w:trPr>
        <w:tc>
          <w:tcPr>
            <w:tcW w:w="746" w:type="dxa"/>
            <w:tcBorders>
              <w:top w:val="nil"/>
              <w:bottom w:val="nil"/>
              <w:right w:val="nil"/>
            </w:tcBorders>
          </w:tcPr>
          <w:p w14:paraId="77C8A8D0" w14:textId="4CEC4A23"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2020</w:t>
            </w:r>
            <w:r w:rsidRPr="008D037C">
              <w:rPr>
                <w:rStyle w:val="FootnoteReference"/>
                <w:rFonts w:cs="Times New Roman"/>
                <w:color w:val="0D0D0D"/>
                <w:szCs w:val="20"/>
                <w:highlight w:val="yellow"/>
                <w:shd w:val="clear" w:color="auto" w:fill="FFFFFF"/>
                <w:lang w:val="en-US"/>
              </w:rPr>
              <w:footnoteReference w:customMarkFollows="1" w:id="3"/>
              <w:t>**</w:t>
            </w:r>
          </w:p>
        </w:tc>
        <w:tc>
          <w:tcPr>
            <w:tcW w:w="1773" w:type="dxa"/>
            <w:tcBorders>
              <w:top w:val="nil"/>
              <w:left w:val="nil"/>
              <w:bottom w:val="nil"/>
              <w:right w:val="nil"/>
            </w:tcBorders>
          </w:tcPr>
          <w:p w14:paraId="68011A70" w14:textId="75790F92"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24936</w:t>
            </w:r>
          </w:p>
        </w:tc>
        <w:tc>
          <w:tcPr>
            <w:tcW w:w="1529" w:type="dxa"/>
            <w:tcBorders>
              <w:top w:val="nil"/>
              <w:left w:val="nil"/>
              <w:bottom w:val="nil"/>
              <w:right w:val="nil"/>
            </w:tcBorders>
          </w:tcPr>
          <w:p w14:paraId="0ED79356" w14:textId="1465D0F3"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219721</w:t>
            </w:r>
          </w:p>
        </w:tc>
        <w:tc>
          <w:tcPr>
            <w:tcW w:w="1856" w:type="dxa"/>
            <w:tcBorders>
              <w:top w:val="nil"/>
              <w:left w:val="nil"/>
              <w:bottom w:val="nil"/>
              <w:right w:val="nil"/>
            </w:tcBorders>
          </w:tcPr>
          <w:p w14:paraId="01A0169C" w14:textId="15B2FE6F"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785</w:t>
            </w:r>
          </w:p>
        </w:tc>
        <w:tc>
          <w:tcPr>
            <w:tcW w:w="1527" w:type="dxa"/>
            <w:tcBorders>
              <w:top w:val="nil"/>
              <w:left w:val="nil"/>
              <w:bottom w:val="nil"/>
              <w:right w:val="nil"/>
            </w:tcBorders>
          </w:tcPr>
          <w:p w14:paraId="5F437C1A" w14:textId="7DA0F0A0" w:rsidR="00E5498B" w:rsidRPr="008D037C"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410</w:t>
            </w:r>
          </w:p>
        </w:tc>
        <w:tc>
          <w:tcPr>
            <w:tcW w:w="1389" w:type="dxa"/>
            <w:tcBorders>
              <w:top w:val="nil"/>
              <w:left w:val="nil"/>
              <w:bottom w:val="nil"/>
              <w:right w:val="nil"/>
            </w:tcBorders>
          </w:tcPr>
          <w:p w14:paraId="47F1757D" w14:textId="5D640530" w:rsidR="00E5498B" w:rsidRPr="008D037C"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265</w:t>
            </w:r>
          </w:p>
        </w:tc>
        <w:tc>
          <w:tcPr>
            <w:tcW w:w="1890" w:type="dxa"/>
            <w:tcBorders>
              <w:top w:val="nil"/>
              <w:left w:val="nil"/>
              <w:bottom w:val="nil"/>
              <w:right w:val="nil"/>
            </w:tcBorders>
          </w:tcPr>
          <w:p w14:paraId="0D6023AA" w14:textId="6D288E8C"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0.0</w:t>
            </w:r>
          </w:p>
        </w:tc>
        <w:tc>
          <w:tcPr>
            <w:tcW w:w="1710" w:type="dxa"/>
            <w:tcBorders>
              <w:top w:val="nil"/>
              <w:left w:val="nil"/>
              <w:bottom w:val="nil"/>
              <w:right w:val="single" w:sz="4" w:space="0" w:color="auto"/>
            </w:tcBorders>
          </w:tcPr>
          <w:p w14:paraId="3C44F697" w14:textId="07E7A13B"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79.2</w:t>
            </w:r>
          </w:p>
        </w:tc>
        <w:tc>
          <w:tcPr>
            <w:tcW w:w="1538" w:type="dxa"/>
            <w:tcBorders>
              <w:top w:val="nil"/>
              <w:left w:val="single" w:sz="4" w:space="0" w:color="auto"/>
              <w:bottom w:val="nil"/>
            </w:tcBorders>
          </w:tcPr>
          <w:p w14:paraId="3CB4E3C9" w14:textId="3080CEB6"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30.7</w:t>
            </w:r>
          </w:p>
        </w:tc>
      </w:tr>
      <w:tr w:rsidR="00393D45" w:rsidRPr="002D7CDC" w14:paraId="58DA3189" w14:textId="77777777" w:rsidTr="00932C73">
        <w:trPr>
          <w:jc w:val="center"/>
        </w:trPr>
        <w:tc>
          <w:tcPr>
            <w:tcW w:w="746" w:type="dxa"/>
            <w:tcBorders>
              <w:top w:val="nil"/>
              <w:bottom w:val="nil"/>
              <w:right w:val="nil"/>
            </w:tcBorders>
          </w:tcPr>
          <w:p w14:paraId="54ECB8AC" w14:textId="32C3FFFD"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vertAlign w:val="superscript"/>
                <w:lang w:val="en-US"/>
              </w:rPr>
            </w:pPr>
            <w:r w:rsidRPr="008D037C">
              <w:rPr>
                <w:rFonts w:cs="Times New Roman"/>
                <w:color w:val="0D0D0D"/>
                <w:szCs w:val="20"/>
                <w:highlight w:val="yellow"/>
                <w:shd w:val="clear" w:color="auto" w:fill="FFFFFF"/>
                <w:lang w:val="en-US"/>
              </w:rPr>
              <w:t>2021</w:t>
            </w:r>
            <w:r w:rsidRPr="008D037C">
              <w:rPr>
                <w:rFonts w:cs="Times New Roman"/>
                <w:color w:val="0D0D0D"/>
                <w:szCs w:val="20"/>
                <w:highlight w:val="yellow"/>
                <w:shd w:val="clear" w:color="auto" w:fill="FFFFFF"/>
                <w:vertAlign w:val="superscript"/>
                <w:lang w:val="en-US"/>
              </w:rPr>
              <w:t>**</w:t>
            </w:r>
          </w:p>
        </w:tc>
        <w:tc>
          <w:tcPr>
            <w:tcW w:w="1773" w:type="dxa"/>
            <w:tcBorders>
              <w:top w:val="nil"/>
              <w:left w:val="nil"/>
              <w:bottom w:val="nil"/>
              <w:right w:val="nil"/>
            </w:tcBorders>
          </w:tcPr>
          <w:p w14:paraId="1875855D" w14:textId="1ECE7044"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24830</w:t>
            </w:r>
          </w:p>
        </w:tc>
        <w:tc>
          <w:tcPr>
            <w:tcW w:w="1529" w:type="dxa"/>
            <w:tcBorders>
              <w:top w:val="nil"/>
              <w:left w:val="nil"/>
              <w:bottom w:val="nil"/>
              <w:right w:val="nil"/>
            </w:tcBorders>
          </w:tcPr>
          <w:p w14:paraId="3D027C30" w14:textId="2CDE2FE9"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260778</w:t>
            </w:r>
          </w:p>
        </w:tc>
        <w:tc>
          <w:tcPr>
            <w:tcW w:w="1856" w:type="dxa"/>
            <w:tcBorders>
              <w:top w:val="nil"/>
              <w:left w:val="nil"/>
              <w:bottom w:val="nil"/>
              <w:right w:val="nil"/>
            </w:tcBorders>
          </w:tcPr>
          <w:p w14:paraId="3126A3B9" w14:textId="7F3C07C1"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894</w:t>
            </w:r>
          </w:p>
        </w:tc>
        <w:tc>
          <w:tcPr>
            <w:tcW w:w="1527" w:type="dxa"/>
            <w:tcBorders>
              <w:top w:val="nil"/>
              <w:left w:val="nil"/>
              <w:bottom w:val="nil"/>
              <w:right w:val="nil"/>
            </w:tcBorders>
          </w:tcPr>
          <w:p w14:paraId="10573274" w14:textId="211643D0" w:rsidR="00E5498B" w:rsidRPr="008D037C"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411</w:t>
            </w:r>
          </w:p>
        </w:tc>
        <w:tc>
          <w:tcPr>
            <w:tcW w:w="1389" w:type="dxa"/>
            <w:tcBorders>
              <w:top w:val="nil"/>
              <w:left w:val="nil"/>
              <w:bottom w:val="nil"/>
              <w:right w:val="nil"/>
            </w:tcBorders>
          </w:tcPr>
          <w:p w14:paraId="3052EA8B" w14:textId="738BB2C4" w:rsidR="00E5498B" w:rsidRPr="008D037C"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483</w:t>
            </w:r>
          </w:p>
        </w:tc>
        <w:tc>
          <w:tcPr>
            <w:tcW w:w="1890" w:type="dxa"/>
            <w:tcBorders>
              <w:top w:val="nil"/>
              <w:left w:val="nil"/>
              <w:bottom w:val="nil"/>
              <w:right w:val="nil"/>
            </w:tcBorders>
          </w:tcPr>
          <w:p w14:paraId="6F8A0352" w14:textId="15351427"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0.0</w:t>
            </w:r>
          </w:p>
        </w:tc>
        <w:tc>
          <w:tcPr>
            <w:tcW w:w="1710" w:type="dxa"/>
            <w:tcBorders>
              <w:top w:val="nil"/>
              <w:left w:val="nil"/>
              <w:bottom w:val="nil"/>
              <w:right w:val="single" w:sz="4" w:space="0" w:color="auto"/>
            </w:tcBorders>
          </w:tcPr>
          <w:p w14:paraId="1CAE4605" w14:textId="508F3415"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86.0</w:t>
            </w:r>
          </w:p>
        </w:tc>
        <w:tc>
          <w:tcPr>
            <w:tcW w:w="1538" w:type="dxa"/>
            <w:tcBorders>
              <w:top w:val="nil"/>
              <w:left w:val="single" w:sz="4" w:space="0" w:color="auto"/>
              <w:bottom w:val="nil"/>
            </w:tcBorders>
          </w:tcPr>
          <w:p w14:paraId="64C0F093" w14:textId="2596E237" w:rsidR="00E5498B" w:rsidRPr="008D037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8D037C">
              <w:rPr>
                <w:rFonts w:cs="Times New Roman"/>
                <w:color w:val="0D0D0D"/>
                <w:szCs w:val="20"/>
                <w:highlight w:val="yellow"/>
                <w:shd w:val="clear" w:color="auto" w:fill="FFFFFF"/>
                <w:lang w:val="en-US"/>
              </w:rPr>
              <w:t>33.6</w:t>
            </w:r>
          </w:p>
        </w:tc>
      </w:tr>
      <w:tr w:rsidR="00D95BD9" w:rsidRPr="002D7CDC" w14:paraId="30BA7BAE" w14:textId="58C30819" w:rsidTr="007D28FF">
        <w:trPr>
          <w:jc w:val="center"/>
        </w:trPr>
        <w:tc>
          <w:tcPr>
            <w:tcW w:w="746" w:type="dxa"/>
            <w:tcBorders>
              <w:top w:val="nil"/>
              <w:right w:val="nil"/>
            </w:tcBorders>
          </w:tcPr>
          <w:p w14:paraId="14072D92"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2022</w:t>
            </w:r>
          </w:p>
        </w:tc>
        <w:tc>
          <w:tcPr>
            <w:tcW w:w="1773" w:type="dxa"/>
            <w:tcBorders>
              <w:top w:val="nil"/>
              <w:left w:val="nil"/>
              <w:right w:val="nil"/>
            </w:tcBorders>
          </w:tcPr>
          <w:p w14:paraId="726BE844" w14:textId="122BD8C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36933</w:t>
            </w:r>
          </w:p>
        </w:tc>
        <w:tc>
          <w:tcPr>
            <w:tcW w:w="1529" w:type="dxa"/>
            <w:tcBorders>
              <w:top w:val="nil"/>
              <w:left w:val="nil"/>
              <w:bottom w:val="nil"/>
              <w:right w:val="nil"/>
            </w:tcBorders>
          </w:tcPr>
          <w:p w14:paraId="292AEB5E" w14:textId="1DD4152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323012</w:t>
            </w:r>
          </w:p>
        </w:tc>
        <w:tc>
          <w:tcPr>
            <w:tcW w:w="1856" w:type="dxa"/>
            <w:tcBorders>
              <w:top w:val="nil"/>
              <w:left w:val="nil"/>
              <w:bottom w:val="nil"/>
              <w:right w:val="nil"/>
            </w:tcBorders>
          </w:tcPr>
          <w:p w14:paraId="37F20F8D" w14:textId="236307B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852</w:t>
            </w:r>
          </w:p>
        </w:tc>
        <w:tc>
          <w:tcPr>
            <w:tcW w:w="1527" w:type="dxa"/>
            <w:tcBorders>
              <w:top w:val="nil"/>
              <w:left w:val="nil"/>
              <w:bottom w:val="nil"/>
              <w:right w:val="nil"/>
            </w:tcBorders>
          </w:tcPr>
          <w:p w14:paraId="6D14F324" w14:textId="5CC0B759"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367</w:t>
            </w:r>
          </w:p>
        </w:tc>
        <w:tc>
          <w:tcPr>
            <w:tcW w:w="1389" w:type="dxa"/>
            <w:tcBorders>
              <w:top w:val="nil"/>
              <w:left w:val="nil"/>
              <w:bottom w:val="nil"/>
              <w:right w:val="nil"/>
            </w:tcBorders>
          </w:tcPr>
          <w:p w14:paraId="33FFE52C" w14:textId="4E2A5E23"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481</w:t>
            </w:r>
          </w:p>
        </w:tc>
        <w:tc>
          <w:tcPr>
            <w:tcW w:w="1890" w:type="dxa"/>
            <w:tcBorders>
              <w:top w:val="nil"/>
              <w:left w:val="nil"/>
              <w:right w:val="nil"/>
            </w:tcBorders>
          </w:tcPr>
          <w:p w14:paraId="2A5D754F" w14:textId="77FCB02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top w:val="nil"/>
              <w:left w:val="nil"/>
            </w:tcBorders>
          </w:tcPr>
          <w:p w14:paraId="64FF7F06" w14:textId="435CD04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68.5</w:t>
            </w:r>
          </w:p>
        </w:tc>
        <w:tc>
          <w:tcPr>
            <w:tcW w:w="1538" w:type="dxa"/>
            <w:tcBorders>
              <w:top w:val="nil"/>
            </w:tcBorders>
          </w:tcPr>
          <w:p w14:paraId="4D1A9BAC" w14:textId="7E97DEE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18.3</w:t>
            </w:r>
          </w:p>
        </w:tc>
      </w:tr>
      <w:tr w:rsidR="00D95BD9" w:rsidRPr="002D7CDC" w14:paraId="79866FA1" w14:textId="10D2E13D" w:rsidTr="007D28FF">
        <w:trPr>
          <w:jc w:val="center"/>
        </w:trPr>
        <w:tc>
          <w:tcPr>
            <w:tcW w:w="746" w:type="dxa"/>
            <w:tcBorders>
              <w:right w:val="nil"/>
            </w:tcBorders>
          </w:tcPr>
          <w:p w14:paraId="7D27892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2023</w:t>
            </w:r>
          </w:p>
        </w:tc>
        <w:tc>
          <w:tcPr>
            <w:tcW w:w="1773" w:type="dxa"/>
            <w:tcBorders>
              <w:left w:val="nil"/>
              <w:bottom w:val="nil"/>
              <w:right w:val="nil"/>
            </w:tcBorders>
          </w:tcPr>
          <w:p w14:paraId="70C610FB" w14:textId="35C55316"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40344</w:t>
            </w:r>
          </w:p>
        </w:tc>
        <w:tc>
          <w:tcPr>
            <w:tcW w:w="1529" w:type="dxa"/>
            <w:tcBorders>
              <w:top w:val="nil"/>
              <w:left w:val="nil"/>
              <w:bottom w:val="nil"/>
              <w:right w:val="nil"/>
            </w:tcBorders>
          </w:tcPr>
          <w:p w14:paraId="46CFFDD0" w14:textId="13886E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364015</w:t>
            </w:r>
          </w:p>
        </w:tc>
        <w:tc>
          <w:tcPr>
            <w:tcW w:w="1856" w:type="dxa"/>
            <w:tcBorders>
              <w:top w:val="nil"/>
              <w:left w:val="nil"/>
              <w:bottom w:val="nil"/>
              <w:right w:val="nil"/>
            </w:tcBorders>
          </w:tcPr>
          <w:p w14:paraId="5417F580" w14:textId="6E94355C"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1052</w:t>
            </w:r>
          </w:p>
        </w:tc>
        <w:tc>
          <w:tcPr>
            <w:tcW w:w="1527" w:type="dxa"/>
            <w:tcBorders>
              <w:top w:val="nil"/>
              <w:left w:val="nil"/>
              <w:bottom w:val="nil"/>
              <w:right w:val="nil"/>
            </w:tcBorders>
          </w:tcPr>
          <w:p w14:paraId="10D58F00" w14:textId="2D1BDF8B"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406</w:t>
            </w:r>
          </w:p>
        </w:tc>
        <w:tc>
          <w:tcPr>
            <w:tcW w:w="1389" w:type="dxa"/>
            <w:tcBorders>
              <w:top w:val="nil"/>
              <w:left w:val="nil"/>
              <w:bottom w:val="nil"/>
              <w:right w:val="nil"/>
            </w:tcBorders>
          </w:tcPr>
          <w:p w14:paraId="70293CDF" w14:textId="7CDBE650"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646</w:t>
            </w:r>
          </w:p>
        </w:tc>
        <w:tc>
          <w:tcPr>
            <w:tcW w:w="1890" w:type="dxa"/>
            <w:tcBorders>
              <w:left w:val="nil"/>
              <w:right w:val="nil"/>
            </w:tcBorders>
          </w:tcPr>
          <w:p w14:paraId="276935EF" w14:textId="7B07AA9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2C4DF5EC" w14:textId="5FA8373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85.9</w:t>
            </w:r>
            <w:r>
              <w:rPr>
                <w:rStyle w:val="FootnoteReference"/>
                <w:rFonts w:cs="Times New Roman"/>
                <w:color w:val="0D0D0D"/>
                <w:szCs w:val="20"/>
                <w:shd w:val="clear" w:color="auto" w:fill="FFFFFF"/>
                <w:lang w:val="en-US"/>
              </w:rPr>
              <w:footnoteReference w:customMarkFollows="1" w:id="4"/>
              <w:t>***</w:t>
            </w:r>
          </w:p>
        </w:tc>
        <w:tc>
          <w:tcPr>
            <w:tcW w:w="1538" w:type="dxa"/>
          </w:tcPr>
          <w:p w14:paraId="0517AD24" w14:textId="4087043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16.8</w:t>
            </w:r>
          </w:p>
        </w:tc>
      </w:tr>
      <w:tr w:rsidR="00D95BD9" w:rsidRPr="002D7CDC" w14:paraId="59166660" w14:textId="7859F898" w:rsidTr="007D28FF">
        <w:trPr>
          <w:jc w:val="center"/>
        </w:trPr>
        <w:tc>
          <w:tcPr>
            <w:tcW w:w="746" w:type="dxa"/>
            <w:tcBorders>
              <w:bottom w:val="single" w:sz="4" w:space="0" w:color="auto"/>
              <w:right w:val="nil"/>
            </w:tcBorders>
          </w:tcPr>
          <w:p w14:paraId="35757CD5"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2024</w:t>
            </w:r>
          </w:p>
        </w:tc>
        <w:tc>
          <w:tcPr>
            <w:tcW w:w="1773" w:type="dxa"/>
            <w:tcBorders>
              <w:top w:val="nil"/>
              <w:left w:val="nil"/>
              <w:bottom w:val="single" w:sz="4" w:space="0" w:color="auto"/>
              <w:right w:val="nil"/>
            </w:tcBorders>
          </w:tcPr>
          <w:p w14:paraId="7742CF44" w14:textId="43FE69CA"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38647</w:t>
            </w:r>
          </w:p>
        </w:tc>
        <w:tc>
          <w:tcPr>
            <w:tcW w:w="1529" w:type="dxa"/>
            <w:tcBorders>
              <w:top w:val="nil"/>
              <w:left w:val="nil"/>
              <w:bottom w:val="single" w:sz="4" w:space="0" w:color="auto"/>
              <w:right w:val="nil"/>
            </w:tcBorders>
          </w:tcPr>
          <w:p w14:paraId="6B5C4931" w14:textId="1518309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372371</w:t>
            </w:r>
          </w:p>
        </w:tc>
        <w:tc>
          <w:tcPr>
            <w:tcW w:w="1856" w:type="dxa"/>
            <w:tcBorders>
              <w:top w:val="nil"/>
              <w:left w:val="nil"/>
              <w:bottom w:val="single" w:sz="4" w:space="0" w:color="auto"/>
              <w:right w:val="nil"/>
            </w:tcBorders>
          </w:tcPr>
          <w:p w14:paraId="3C577557" w14:textId="3448E3E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971</w:t>
            </w:r>
          </w:p>
        </w:tc>
        <w:tc>
          <w:tcPr>
            <w:tcW w:w="1527" w:type="dxa"/>
            <w:tcBorders>
              <w:top w:val="nil"/>
              <w:left w:val="nil"/>
              <w:bottom w:val="single" w:sz="4" w:space="0" w:color="auto"/>
              <w:right w:val="nil"/>
            </w:tcBorders>
          </w:tcPr>
          <w:p w14:paraId="6429CC84" w14:textId="7F971C24"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437</w:t>
            </w:r>
          </w:p>
        </w:tc>
        <w:tc>
          <w:tcPr>
            <w:tcW w:w="1389" w:type="dxa"/>
            <w:tcBorders>
              <w:top w:val="nil"/>
              <w:left w:val="nil"/>
              <w:bottom w:val="single" w:sz="4" w:space="0" w:color="auto"/>
              <w:right w:val="nil"/>
            </w:tcBorders>
          </w:tcPr>
          <w:p w14:paraId="2371D6E3" w14:textId="3200A165"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530</w:t>
            </w:r>
          </w:p>
        </w:tc>
        <w:tc>
          <w:tcPr>
            <w:tcW w:w="1890" w:type="dxa"/>
            <w:tcBorders>
              <w:left w:val="nil"/>
              <w:bottom w:val="single" w:sz="4" w:space="0" w:color="auto"/>
              <w:right w:val="nil"/>
            </w:tcBorders>
          </w:tcPr>
          <w:p w14:paraId="58E662D1" w14:textId="7911302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45D311FB" w14:textId="4476A86A" w:rsidR="00E5498B" w:rsidRPr="00382F6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Pr>
                <w:rFonts w:cs="Times New Roman"/>
                <w:color w:val="0D0D0D"/>
                <w:szCs w:val="20"/>
                <w:shd w:val="clear" w:color="auto" w:fill="FFFFFF"/>
                <w:lang w:val="en-US"/>
              </w:rPr>
              <w:t>-</w:t>
            </w:r>
          </w:p>
        </w:tc>
        <w:tc>
          <w:tcPr>
            <w:tcW w:w="1538" w:type="dxa"/>
          </w:tcPr>
          <w:p w14:paraId="2EA2DA1A" w14:textId="4548146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30.1</w:t>
            </w:r>
          </w:p>
        </w:tc>
      </w:tr>
    </w:tbl>
    <w:p w14:paraId="204B28BC" w14:textId="7F9C881B" w:rsidR="007864C5" w:rsidRDefault="009E1546" w:rsidP="00AD417C">
      <w:pPr>
        <w:pStyle w:val="NormalWeb"/>
        <w:spacing w:line="276" w:lineRule="auto"/>
        <w:jc w:val="center"/>
        <w:rPr>
          <w:sz w:val="20"/>
          <w:szCs w:val="20"/>
        </w:rPr>
      </w:pPr>
      <w:r>
        <w:rPr>
          <w:noProof/>
          <w:sz w:val="20"/>
          <w:szCs w:val="20"/>
          <w14:ligatures w14:val="standardContextual"/>
        </w:rPr>
        <w:lastRenderedPageBreak/>
        <w:drawing>
          <wp:inline distT="0" distB="0" distL="0" distR="0" wp14:anchorId="331E82FF" wp14:editId="5A89DA72">
            <wp:extent cx="3910970" cy="4572000"/>
            <wp:effectExtent l="0" t="0" r="635" b="0"/>
            <wp:docPr id="399841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41242" name="Picture 399841242"/>
                    <pic:cNvPicPr/>
                  </pic:nvPicPr>
                  <pic:blipFill>
                    <a:blip r:embed="rId9"/>
                    <a:stretch>
                      <a:fillRect/>
                    </a:stretch>
                  </pic:blipFill>
                  <pic:spPr>
                    <a:xfrm>
                      <a:off x="0" y="0"/>
                      <a:ext cx="3910970" cy="4572000"/>
                    </a:xfrm>
                    <a:prstGeom prst="rect">
                      <a:avLst/>
                    </a:prstGeom>
                  </pic:spPr>
                </pic:pic>
              </a:graphicData>
            </a:graphic>
          </wp:inline>
        </w:drawing>
      </w:r>
    </w:p>
    <w:p w14:paraId="414EAC70" w14:textId="7B67C9D2" w:rsidR="009E1546" w:rsidRDefault="009E1546" w:rsidP="00284E15">
      <w:pPr>
        <w:pStyle w:val="NormalWeb"/>
        <w:spacing w:line="276" w:lineRule="auto"/>
        <w:jc w:val="center"/>
        <w:rPr>
          <w:sz w:val="20"/>
          <w:szCs w:val="20"/>
        </w:rPr>
      </w:pPr>
      <w:r>
        <w:rPr>
          <w:noProof/>
          <w:sz w:val="20"/>
          <w:szCs w:val="20"/>
          <w14:ligatures w14:val="standardContextual"/>
        </w:rPr>
        <w:lastRenderedPageBreak/>
        <w:drawing>
          <wp:inline distT="0" distB="0" distL="0" distR="0" wp14:anchorId="4BC276CD" wp14:editId="4B61F34A">
            <wp:extent cx="4389120" cy="2926080"/>
            <wp:effectExtent l="0" t="0" r="5080" b="0"/>
            <wp:docPr id="17243232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23282" name="Picture 1724323282"/>
                    <pic:cNvPicPr/>
                  </pic:nvPicPr>
                  <pic:blipFill>
                    <a:blip r:embed="rId10"/>
                    <a:stretch>
                      <a:fillRect/>
                    </a:stretch>
                  </pic:blipFill>
                  <pic:spPr>
                    <a:xfrm>
                      <a:off x="0" y="0"/>
                      <a:ext cx="4389120" cy="2926080"/>
                    </a:xfrm>
                    <a:prstGeom prst="rect">
                      <a:avLst/>
                    </a:prstGeom>
                  </pic:spPr>
                </pic:pic>
              </a:graphicData>
            </a:graphic>
          </wp:inline>
        </w:drawing>
      </w:r>
      <w:r w:rsidR="00284E15">
        <w:rPr>
          <w:noProof/>
          <w:sz w:val="20"/>
          <w:szCs w:val="20"/>
          <w14:ligatures w14:val="standardContextual"/>
        </w:rPr>
        <w:drawing>
          <wp:inline distT="0" distB="0" distL="0" distR="0" wp14:anchorId="57B66D02" wp14:editId="71284E1E">
            <wp:extent cx="4389120" cy="2926080"/>
            <wp:effectExtent l="0" t="0" r="5080" b="0"/>
            <wp:docPr id="7687627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62746" name="Picture 768762746"/>
                    <pic:cNvPicPr/>
                  </pic:nvPicPr>
                  <pic:blipFill>
                    <a:blip r:embed="rId11"/>
                    <a:stretch>
                      <a:fillRect/>
                    </a:stretch>
                  </pic:blipFill>
                  <pic:spPr>
                    <a:xfrm>
                      <a:off x="0" y="0"/>
                      <a:ext cx="4389120" cy="2926080"/>
                    </a:xfrm>
                    <a:prstGeom prst="rect">
                      <a:avLst/>
                    </a:prstGeom>
                  </pic:spPr>
                </pic:pic>
              </a:graphicData>
            </a:graphic>
          </wp:inline>
        </w:drawing>
      </w:r>
    </w:p>
    <w:p w14:paraId="378BEE0F" w14:textId="3216A82F" w:rsidR="00284E15" w:rsidRDefault="00284E15" w:rsidP="00284E15">
      <w:pPr>
        <w:pStyle w:val="NormalWeb"/>
        <w:spacing w:line="276" w:lineRule="auto"/>
        <w:jc w:val="both"/>
        <w:rPr>
          <w:sz w:val="20"/>
          <w:szCs w:val="20"/>
        </w:rPr>
      </w:pPr>
      <w:r w:rsidRPr="001E6772">
        <w:rPr>
          <w:sz w:val="20"/>
          <w:szCs w:val="20"/>
          <w:lang w:val="en-GB"/>
        </w:rPr>
        <w:t xml:space="preserve">Fig. 4: </w:t>
      </w:r>
      <w:proofErr w:type="spellStart"/>
      <w:r w:rsidRPr="001E6772">
        <w:rPr>
          <w:sz w:val="20"/>
          <w:szCs w:val="20"/>
          <w:lang w:val="en-GB"/>
        </w:rPr>
        <w:t>Traceplots</w:t>
      </w:r>
      <w:proofErr w:type="spellEnd"/>
      <w:r w:rsidRPr="001E6772">
        <w:rPr>
          <w:sz w:val="20"/>
          <w:szCs w:val="20"/>
          <w:lang w:val="en-GB"/>
        </w:rPr>
        <w:t xml:space="preserve"> (left column) and marginal posterior densities (right column) of parameter estimates. </w:t>
      </w:r>
      <w:proofErr w:type="spellStart"/>
      <w:r w:rsidRPr="001E6772">
        <w:rPr>
          <w:sz w:val="20"/>
          <w:szCs w:val="20"/>
          <w:lang w:val="en-GB"/>
        </w:rPr>
        <w:t>Traceplots</w:t>
      </w:r>
      <w:proofErr w:type="spellEnd"/>
      <w:r w:rsidRPr="001E6772">
        <w:rPr>
          <w:sz w:val="20"/>
          <w:szCs w:val="20"/>
          <w:lang w:val="en-GB"/>
        </w:rPr>
        <w:t xml:space="preserve"> show MCMC samples from </w:t>
      </w:r>
      <w:r w:rsidR="00E14D5D">
        <w:rPr>
          <w:sz w:val="20"/>
          <w:szCs w:val="20"/>
          <w:lang w:val="en-GB"/>
        </w:rPr>
        <w:t>five</w:t>
      </w:r>
      <w:r w:rsidRPr="001E6772">
        <w:rPr>
          <w:sz w:val="20"/>
          <w:szCs w:val="20"/>
          <w:lang w:val="en-GB"/>
        </w:rPr>
        <w:t xml:space="preserve"> chains, each with 2,000 iterations, with the first 1,000 discarded as burn-in. Coloured lines represent individual chains.</w:t>
      </w:r>
    </w:p>
    <w:p w14:paraId="733FBA18" w14:textId="1980C08E" w:rsidR="009E1546" w:rsidRDefault="009E1546" w:rsidP="009701A4">
      <w:pPr>
        <w:pStyle w:val="NormalWeb"/>
        <w:spacing w:line="276" w:lineRule="auto"/>
        <w:jc w:val="both"/>
        <w:rPr>
          <w:sz w:val="20"/>
          <w:szCs w:val="20"/>
        </w:rPr>
      </w:pPr>
    </w:p>
    <w:p w14:paraId="243C680A" w14:textId="77777777" w:rsidR="00284E15" w:rsidRDefault="00284E15" w:rsidP="002F1936">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332E82BC" w14:textId="77777777" w:rsidR="00284E15" w:rsidRDefault="00284E15" w:rsidP="002F1936">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13838E94" w14:textId="77777777" w:rsidR="00284E15" w:rsidRDefault="00284E15" w:rsidP="002F1936">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0B113720" w14:textId="77777777" w:rsidR="00284E15" w:rsidRDefault="00284E15" w:rsidP="002F1936">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7A64B218" w14:textId="77777777" w:rsidR="00284E15" w:rsidRDefault="00284E15" w:rsidP="002F1936">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6B978E84" w14:textId="2E7C8770" w:rsidR="002F1936" w:rsidRPr="00756C05" w:rsidRDefault="002F1936" w:rsidP="002F1936">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756C05">
        <w:rPr>
          <w:rFonts w:ascii="Times New Roman" w:eastAsia="Times New Roman" w:hAnsi="Times New Roman" w:cs="Times New Roman"/>
          <w:color w:val="000000" w:themeColor="text1"/>
          <w:kern w:val="0"/>
          <w:sz w:val="20"/>
          <w:szCs w:val="20"/>
          <w14:ligatures w14:val="none"/>
        </w:rPr>
        <w:lastRenderedPageBreak/>
        <w:t xml:space="preserve">Table </w:t>
      </w:r>
      <w:r>
        <w:rPr>
          <w:rFonts w:ascii="Times New Roman" w:eastAsia="Times New Roman" w:hAnsi="Times New Roman" w:cs="Times New Roman"/>
          <w:color w:val="000000" w:themeColor="text1"/>
          <w:kern w:val="0"/>
          <w:sz w:val="20"/>
          <w:szCs w:val="20"/>
          <w14:ligatures w14:val="none"/>
        </w:rPr>
        <w:t>2</w:t>
      </w:r>
      <w:r w:rsidRPr="00756C05">
        <w:rPr>
          <w:rFonts w:ascii="Times New Roman" w:eastAsia="Times New Roman" w:hAnsi="Times New Roman" w:cs="Times New Roman"/>
          <w:color w:val="000000" w:themeColor="text1"/>
          <w:kern w:val="0"/>
          <w:sz w:val="20"/>
          <w:szCs w:val="20"/>
          <w14:ligatures w14:val="none"/>
        </w:rPr>
        <w:t>: Fitted parameters</w:t>
      </w:r>
      <w:r>
        <w:rPr>
          <w:rFonts w:ascii="Times New Roman" w:eastAsia="Times New Roman" w:hAnsi="Times New Roman" w:cs="Times New Roman"/>
          <w:color w:val="000000" w:themeColor="text1"/>
          <w:kern w:val="0"/>
          <w:sz w:val="20"/>
          <w:szCs w:val="20"/>
          <w14:ligatures w14:val="none"/>
        </w:rPr>
        <w:t>: notation, definitions, prior distributions, and posterior estimates</w:t>
      </w:r>
      <w:r w:rsidRPr="00756C05">
        <w:rPr>
          <w:rFonts w:ascii="Times New Roman" w:eastAsia="Times New Roman" w:hAnsi="Times New Roman" w:cs="Times New Roman"/>
          <w:color w:val="000000" w:themeColor="text1"/>
          <w:kern w:val="0"/>
          <w:sz w:val="20"/>
          <w:szCs w:val="20"/>
          <w14:ligatures w14:val="none"/>
        </w:rPr>
        <w:t xml:space="preserve">. </w:t>
      </w:r>
      <w:r w:rsidRPr="00756C05">
        <w:rPr>
          <w:rFonts w:ascii="Times New Roman" w:hAnsi="Times New Roman"/>
          <w:sz w:val="20"/>
          <w:szCs w:val="20"/>
        </w:rPr>
        <w:t>Transition rate parameters (</w:t>
      </w:r>
      <m:oMath>
        <m:r>
          <w:rPr>
            <w:rFonts w:ascii="Cambria Math" w:hAnsi="Cambria Math"/>
            <w:sz w:val="20"/>
            <w:szCs w:val="20"/>
          </w:rPr>
          <m:t>θ∈</m:t>
        </m:r>
        <m:r>
          <m:rPr>
            <m:lit/>
          </m:rPr>
          <w:rPr>
            <w:rFonts w:ascii="Cambria Math" w:hAnsi="Cambria Math"/>
            <w:sz w:val="20"/>
            <w:szCs w:val="20"/>
          </w:rPr>
          <m:t>{</m:t>
        </m:r>
        <m:r>
          <w:rPr>
            <w:rFonts w:ascii="Cambria Math" w:hAnsi="Cambria Math"/>
            <w:sz w:val="20"/>
            <w:szCs w:val="20"/>
          </w:rPr>
          <m:t>σ,μ,ρ,</m:t>
        </m:r>
        <m:r>
          <w:rPr>
            <w:rFonts w:ascii="Cambria Math" w:eastAsia="Times New Roman" w:hAnsi="Cambria Math" w:cs="Times New Roman"/>
            <w:color w:val="000000" w:themeColor="text1"/>
            <w:kern w:val="0"/>
            <w:sz w:val="20"/>
            <w:szCs w:val="20"/>
            <w14:ligatures w14:val="none"/>
          </w:rPr>
          <m:t>ν</m:t>
        </m:r>
        <m:r>
          <m:rPr>
            <m:lit/>
          </m:rPr>
          <w:rPr>
            <w:rFonts w:ascii="Cambria Math" w:hAnsi="Cambria Math"/>
            <w:sz w:val="20"/>
            <w:szCs w:val="20"/>
          </w:rPr>
          <m:t>}</m:t>
        </m:r>
      </m:oMath>
      <w:r w:rsidRPr="00756C05">
        <w:rPr>
          <w:rFonts w:ascii="Times New Roman" w:hAnsi="Times New Roman"/>
          <w:sz w:val="20"/>
          <w:szCs w:val="20"/>
        </w:rPr>
        <w:t xml:space="preserve">) are presented in an annual basis, giving a mean time to transition of </w:t>
      </w:r>
      <m:oMath>
        <m:r>
          <w:rPr>
            <w:rFonts w:ascii="Cambria Math" w:hAnsi="Cambria Math"/>
            <w:sz w:val="20"/>
            <w:szCs w:val="20"/>
          </w:rPr>
          <m:t>365/θ</m:t>
        </m:r>
      </m:oMath>
      <w:r w:rsidRPr="00756C05">
        <w:rPr>
          <w:rFonts w:ascii="Times New Roman" w:hAnsi="Times New Roman"/>
          <w:sz w:val="20"/>
          <w:szCs w:val="20"/>
        </w:rPr>
        <w:t xml:space="preserve"> days.</w:t>
      </w:r>
      <w:r>
        <w:rPr>
          <w:rFonts w:ascii="Times New Roman" w:hAnsi="Times New Roman"/>
          <w:sz w:val="20"/>
          <w:szCs w:val="20"/>
        </w:rPr>
        <w:t xml:space="preserve"> Posterior estimates are taken as the median, with 95% credible interval presented in </w:t>
      </w:r>
      <w:r w:rsidR="00AD0C45">
        <w:rPr>
          <w:rFonts w:ascii="Times New Roman" w:hAnsi="Times New Roman"/>
          <w:sz w:val="20"/>
          <w:szCs w:val="20"/>
        </w:rPr>
        <w:t>parentheses</w:t>
      </w:r>
      <w:r>
        <w:rPr>
          <w:rFonts w:ascii="Times New Roman" w:hAnsi="Times New Roman"/>
          <w:sz w:val="20"/>
          <w:szCs w:val="20"/>
        </w:rPr>
        <w:t>.</w:t>
      </w:r>
    </w:p>
    <w:tbl>
      <w:tblPr>
        <w:tblStyle w:val="TableGrid"/>
        <w:tblW w:w="0" w:type="auto"/>
        <w:tblLook w:val="04A0" w:firstRow="1" w:lastRow="0" w:firstColumn="1" w:lastColumn="0" w:noHBand="0" w:noVBand="1"/>
      </w:tblPr>
      <w:tblGrid>
        <w:gridCol w:w="771"/>
        <w:gridCol w:w="4269"/>
        <w:gridCol w:w="3150"/>
        <w:gridCol w:w="1320"/>
        <w:gridCol w:w="3611"/>
        <w:gridCol w:w="837"/>
      </w:tblGrid>
      <w:tr w:rsidR="002F1936" w14:paraId="0F87F18E" w14:textId="77777777" w:rsidTr="00D803EF">
        <w:tc>
          <w:tcPr>
            <w:tcW w:w="771" w:type="dxa"/>
            <w:tcBorders>
              <w:top w:val="single" w:sz="4" w:space="0" w:color="auto"/>
              <w:bottom w:val="single" w:sz="4" w:space="0" w:color="auto"/>
            </w:tcBorders>
          </w:tcPr>
          <w:p w14:paraId="30434222"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4269" w:type="dxa"/>
            <w:tcBorders>
              <w:top w:val="single" w:sz="4" w:space="0" w:color="auto"/>
              <w:bottom w:val="single" w:sz="4" w:space="0" w:color="auto"/>
            </w:tcBorders>
          </w:tcPr>
          <w:p w14:paraId="1F4CE6A6"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3150" w:type="dxa"/>
            <w:tcBorders>
              <w:top w:val="single" w:sz="4" w:space="0" w:color="auto"/>
              <w:bottom w:val="single" w:sz="4" w:space="0" w:color="auto"/>
            </w:tcBorders>
          </w:tcPr>
          <w:p w14:paraId="64392F0A" w14:textId="3861CAAD"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Prior distribution</w:t>
            </w:r>
          </w:p>
        </w:tc>
        <w:tc>
          <w:tcPr>
            <w:tcW w:w="1320" w:type="dxa"/>
            <w:tcBorders>
              <w:top w:val="single" w:sz="4" w:space="0" w:color="auto"/>
              <w:bottom w:val="single" w:sz="4" w:space="0" w:color="auto"/>
            </w:tcBorders>
          </w:tcPr>
          <w:p w14:paraId="0367FFB3" w14:textId="56266C41"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Parameter bound</w:t>
            </w:r>
          </w:p>
        </w:tc>
        <w:tc>
          <w:tcPr>
            <w:tcW w:w="3611" w:type="dxa"/>
            <w:tcBorders>
              <w:top w:val="single" w:sz="4" w:space="0" w:color="auto"/>
              <w:bottom w:val="single" w:sz="4" w:space="0" w:color="auto"/>
            </w:tcBorders>
          </w:tcPr>
          <w:p w14:paraId="761A3B2D" w14:textId="0D481E73"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Posterior estimate</w:t>
            </w:r>
          </w:p>
        </w:tc>
        <w:tc>
          <w:tcPr>
            <w:tcW w:w="837" w:type="dxa"/>
            <w:tcBorders>
              <w:top w:val="single" w:sz="4" w:space="0" w:color="auto"/>
              <w:bottom w:val="single" w:sz="4" w:space="0" w:color="auto"/>
            </w:tcBorders>
          </w:tcPr>
          <w:p w14:paraId="00CE9071" w14:textId="79519482"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r w:rsidR="006C157E">
              <w:rPr>
                <w:rStyle w:val="FootnoteReference"/>
                <w:rFonts w:eastAsia="Times New Roman" w:cs="Times New Roman"/>
                <w:color w:val="000000" w:themeColor="text1"/>
                <w:kern w:val="0"/>
                <w:szCs w:val="20"/>
                <w14:ligatures w14:val="none"/>
              </w:rPr>
              <w:footnoteReference w:id="5"/>
            </w:r>
          </w:p>
        </w:tc>
      </w:tr>
      <w:tr w:rsidR="002F1936" w14:paraId="77488645" w14:textId="77777777" w:rsidTr="00D803EF">
        <w:tc>
          <w:tcPr>
            <w:tcW w:w="771" w:type="dxa"/>
            <w:tcBorders>
              <w:top w:val="single" w:sz="4" w:space="0" w:color="auto"/>
            </w:tcBorders>
          </w:tcPr>
          <w:p w14:paraId="6D4A9865" w14:textId="77777777" w:rsidR="002F1936" w:rsidRPr="00D32E21" w:rsidRDefault="002F1936"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β</m:t>
                </m:r>
              </m:oMath>
            </m:oMathPara>
          </w:p>
        </w:tc>
        <w:tc>
          <w:tcPr>
            <w:tcW w:w="4269" w:type="dxa"/>
            <w:tcBorders>
              <w:top w:val="single" w:sz="4" w:space="0" w:color="auto"/>
            </w:tcBorders>
          </w:tcPr>
          <w:p w14:paraId="61C54ECB"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transmission per-partnership</w:t>
            </w:r>
          </w:p>
        </w:tc>
        <w:tc>
          <w:tcPr>
            <w:tcW w:w="3150" w:type="dxa"/>
            <w:tcBorders>
              <w:top w:val="single" w:sz="4" w:space="0" w:color="auto"/>
            </w:tcBorders>
          </w:tcPr>
          <w:p w14:paraId="696C99C9"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1320" w:type="dxa"/>
            <w:tcBorders>
              <w:top w:val="single" w:sz="4" w:space="0" w:color="auto"/>
            </w:tcBorders>
          </w:tcPr>
          <w:p w14:paraId="0B4A0B8A" w14:textId="76908778" w:rsidR="002F1936" w:rsidRDefault="00D803EF" w:rsidP="00995F30">
            <w:pPr>
              <w:spacing w:before="100" w:beforeAutospacing="1" w:after="100" w:afterAutospacing="1" w:line="276" w:lineRule="auto"/>
              <w:rPr>
                <w:szCs w:val="20"/>
              </w:rPr>
            </w:pPr>
            <w:r>
              <w:rPr>
                <w:szCs w:val="20"/>
              </w:rPr>
              <w:t>[0, 1]</w:t>
            </w:r>
          </w:p>
        </w:tc>
        <w:tc>
          <w:tcPr>
            <w:tcW w:w="3611" w:type="dxa"/>
            <w:tcBorders>
              <w:top w:val="single" w:sz="4" w:space="0" w:color="auto"/>
            </w:tcBorders>
          </w:tcPr>
          <w:p w14:paraId="7AD4C0F9" w14:textId="77777777" w:rsidR="002F1936" w:rsidRDefault="002F1936" w:rsidP="00995F30">
            <w:pPr>
              <w:spacing w:before="100" w:beforeAutospacing="1" w:after="100" w:afterAutospacing="1" w:line="276" w:lineRule="auto"/>
              <w:rPr>
                <w:szCs w:val="20"/>
              </w:rPr>
            </w:pPr>
          </w:p>
        </w:tc>
        <w:tc>
          <w:tcPr>
            <w:tcW w:w="837" w:type="dxa"/>
            <w:tcBorders>
              <w:top w:val="single" w:sz="4" w:space="0" w:color="auto"/>
            </w:tcBorders>
          </w:tcPr>
          <w:p w14:paraId="06549E46" w14:textId="4B25DD84"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{"citationID":"jWnqThrZ","properties":{"formattedCitation":"[16]","plainCitation":"[16]","noteIndex":0},"citationItems":[{"id":297,"uris":["http://zotero.org/users/9663344/items/KC9H5ARD"],"itemData":{"id":297,"type":"article-journal","abstract":"Gonorrhea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4B64048E" w14:textId="77777777" w:rsidTr="00D803EF">
        <w:tc>
          <w:tcPr>
            <w:tcW w:w="771" w:type="dxa"/>
          </w:tcPr>
          <w:p w14:paraId="3453F0AA" w14:textId="77777777" w:rsidR="002F1936" w:rsidRPr="00D32E21" w:rsidRDefault="00000000"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β</m:t>
                    </m:r>
                  </m:sub>
                </m:sSub>
              </m:oMath>
            </m:oMathPara>
          </w:p>
        </w:tc>
        <w:tc>
          <w:tcPr>
            <w:tcW w:w="4269" w:type="dxa"/>
          </w:tcPr>
          <w:p w14:paraId="13447D4E"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transmission risk behaviour</w:t>
            </w:r>
          </w:p>
        </w:tc>
        <w:tc>
          <w:tcPr>
            <w:tcW w:w="3150" w:type="dxa"/>
          </w:tcPr>
          <w:p w14:paraId="4587E11E"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1320" w:type="dxa"/>
          </w:tcPr>
          <w:p w14:paraId="26DAD31F" w14:textId="76F09D0D" w:rsidR="002F1936" w:rsidRDefault="00D803EF" w:rsidP="00995F30">
            <w:pPr>
              <w:spacing w:before="100" w:beforeAutospacing="1" w:after="100" w:afterAutospacing="1" w:line="276" w:lineRule="auto"/>
              <w:rPr>
                <w:szCs w:val="20"/>
              </w:rPr>
            </w:pPr>
            <w:r>
              <w:rPr>
                <w:szCs w:val="20"/>
              </w:rPr>
              <w:t>[0, 0.5]</w:t>
            </w:r>
          </w:p>
        </w:tc>
        <w:tc>
          <w:tcPr>
            <w:tcW w:w="3611" w:type="dxa"/>
          </w:tcPr>
          <w:p w14:paraId="3435364E" w14:textId="77777777" w:rsidR="002F1936" w:rsidRDefault="002F1936" w:rsidP="00995F30">
            <w:pPr>
              <w:spacing w:before="100" w:beforeAutospacing="1" w:after="100" w:afterAutospacing="1" w:line="276" w:lineRule="auto"/>
              <w:rPr>
                <w:szCs w:val="20"/>
              </w:rPr>
            </w:pPr>
          </w:p>
        </w:tc>
        <w:tc>
          <w:tcPr>
            <w:tcW w:w="837" w:type="dxa"/>
          </w:tcPr>
          <w:p w14:paraId="08D41631" w14:textId="36C1FADF"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{"citationID":"09jqa9HJ","properties":{"formattedCitation":"[16]","plainCitation":"[16]","noteIndex":0},"citationItems":[{"id":297,"uris":["http://zotero.org/users/9663344/items/KC9H5ARD"],"itemData":{"id":297,"type":"article-journal","abstract":"Gonorrhea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23E038A2" w14:textId="77777777" w:rsidTr="00D803EF">
        <w:tc>
          <w:tcPr>
            <w:tcW w:w="771" w:type="dxa"/>
          </w:tcPr>
          <w:p w14:paraId="570FA29C" w14:textId="77777777" w:rsidR="002F1936" w:rsidRPr="00D32E21" w:rsidRDefault="002F1936"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ϵ</m:t>
                </m:r>
              </m:oMath>
            </m:oMathPara>
          </w:p>
        </w:tc>
        <w:tc>
          <w:tcPr>
            <w:tcW w:w="4269" w:type="dxa"/>
          </w:tcPr>
          <w:p w14:paraId="0DDE3183"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Level of </w:t>
            </w:r>
            <w:proofErr w:type="spellStart"/>
            <w:r>
              <w:rPr>
                <w:rFonts w:eastAsia="Times New Roman" w:cs="Times New Roman"/>
                <w:color w:val="000000" w:themeColor="text1"/>
                <w:kern w:val="0"/>
                <w:szCs w:val="20"/>
                <w14:ligatures w14:val="none"/>
              </w:rPr>
              <w:t>assotativity</w:t>
            </w:r>
            <w:proofErr w:type="spellEnd"/>
            <w:r>
              <w:rPr>
                <w:rFonts w:eastAsia="Times New Roman" w:cs="Times New Roman"/>
                <w:color w:val="000000" w:themeColor="text1"/>
                <w:kern w:val="0"/>
                <w:szCs w:val="20"/>
                <w14:ligatures w14:val="none"/>
              </w:rPr>
              <w:t xml:space="preserve"> in sexual mixing</w:t>
            </w:r>
          </w:p>
        </w:tc>
        <w:tc>
          <w:tcPr>
            <w:tcW w:w="3150" w:type="dxa"/>
          </w:tcPr>
          <w:p w14:paraId="201E2537"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1320" w:type="dxa"/>
          </w:tcPr>
          <w:p w14:paraId="03C01D6F" w14:textId="385109D5" w:rsidR="002F1936" w:rsidRDefault="00D803EF" w:rsidP="00995F30">
            <w:pPr>
              <w:spacing w:before="100" w:beforeAutospacing="1" w:after="100" w:afterAutospacing="1" w:line="276" w:lineRule="auto"/>
              <w:rPr>
                <w:szCs w:val="20"/>
              </w:rPr>
            </w:pPr>
            <w:r>
              <w:rPr>
                <w:szCs w:val="20"/>
              </w:rPr>
              <w:t>[0, 1]</w:t>
            </w:r>
          </w:p>
        </w:tc>
        <w:tc>
          <w:tcPr>
            <w:tcW w:w="3611" w:type="dxa"/>
          </w:tcPr>
          <w:p w14:paraId="25CC12CB" w14:textId="77777777" w:rsidR="002F1936" w:rsidRDefault="002F1936" w:rsidP="00995F30">
            <w:pPr>
              <w:spacing w:before="100" w:beforeAutospacing="1" w:after="100" w:afterAutospacing="1" w:line="276" w:lineRule="auto"/>
              <w:rPr>
                <w:szCs w:val="20"/>
              </w:rPr>
            </w:pPr>
          </w:p>
        </w:tc>
        <w:tc>
          <w:tcPr>
            <w:tcW w:w="837" w:type="dxa"/>
          </w:tcPr>
          <w:p w14:paraId="3F86726B" w14:textId="1B6DA9F3"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{"citationID":"qZtQyyFj","properties":{"formattedCitation":"[16]","plainCitation":"[16]","noteIndex":0},"citationItems":[{"id":297,"uris":["http://zotero.org/users/9663344/items/KC9H5ARD"],"itemData":{"id":297,"type":"article-journal","abstract":"Gonorrhea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4947E055" w14:textId="77777777" w:rsidTr="00D803EF">
        <w:tc>
          <w:tcPr>
            <w:tcW w:w="771" w:type="dxa"/>
          </w:tcPr>
          <w:p w14:paraId="6BE95672" w14:textId="77777777" w:rsidR="002F1936" w:rsidRPr="00D32E21" w:rsidRDefault="002F1936"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σ</m:t>
                </m:r>
              </m:oMath>
            </m:oMathPara>
          </w:p>
        </w:tc>
        <w:tc>
          <w:tcPr>
            <w:tcW w:w="4269" w:type="dxa"/>
          </w:tcPr>
          <w:p w14:paraId="71A64B12"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leaving incubation period</w:t>
            </w:r>
          </w:p>
        </w:tc>
        <w:tc>
          <w:tcPr>
            <w:tcW w:w="3150" w:type="dxa"/>
          </w:tcPr>
          <w:p w14:paraId="139AF4E4"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 </w:t>
            </w:r>
            <w:proofErr w:type="spellStart"/>
            <w:r>
              <w:rPr>
                <w:rFonts w:eastAsia="Times New Roman" w:cs="Times New Roman"/>
                <w:color w:val="000000" w:themeColor="text1"/>
                <w:kern w:val="0"/>
                <w:szCs w:val="20"/>
                <w14:ligatures w14:val="none"/>
              </w:rPr>
              <w:t>logN</w:t>
            </w:r>
            <w:proofErr w:type="spellEnd"/>
            <w:r>
              <w:rPr>
                <w:rFonts w:eastAsia="Times New Roman" w:cs="Times New Roman"/>
                <w:color w:val="000000" w:themeColor="text1"/>
                <w:kern w:val="0"/>
                <w:szCs w:val="20"/>
                <w14:ligatures w14:val="none"/>
              </w:rPr>
              <w:t>[4.60, 0.29]</w:t>
            </w:r>
          </w:p>
        </w:tc>
        <w:tc>
          <w:tcPr>
            <w:tcW w:w="1320" w:type="dxa"/>
          </w:tcPr>
          <w:p w14:paraId="3ABF63FD" w14:textId="2B831168" w:rsidR="002F1936" w:rsidRDefault="00D803EF" w:rsidP="00995F30">
            <w:pPr>
              <w:spacing w:before="100" w:beforeAutospacing="1" w:after="100" w:afterAutospacing="1" w:line="276" w:lineRule="auto"/>
              <w:rPr>
                <w:szCs w:val="20"/>
              </w:rPr>
            </w:pPr>
            <w:r>
              <w:rPr>
                <w:szCs w:val="20"/>
              </w:rPr>
              <w:t>[0, 1000]</w:t>
            </w:r>
          </w:p>
        </w:tc>
        <w:tc>
          <w:tcPr>
            <w:tcW w:w="3611" w:type="dxa"/>
          </w:tcPr>
          <w:p w14:paraId="262B3261" w14:textId="77777777" w:rsidR="002F1936" w:rsidRDefault="002F1936" w:rsidP="00995F30">
            <w:pPr>
              <w:spacing w:before="100" w:beforeAutospacing="1" w:after="100" w:afterAutospacing="1" w:line="276" w:lineRule="auto"/>
              <w:rPr>
                <w:szCs w:val="20"/>
              </w:rPr>
            </w:pPr>
          </w:p>
        </w:tc>
        <w:tc>
          <w:tcPr>
            <w:tcW w:w="837" w:type="dxa"/>
          </w:tcPr>
          <w:p w14:paraId="3AB19257" w14:textId="353777AF"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{"citationID":"TIJSJcID","properties":{"formattedCitation":"[16]","plainCitation":"[16]","noteIndex":0},"citationItems":[{"id":297,"uris":["http://zotero.org/users/9663344/items/KC9H5ARD"],"itemData":{"id":297,"type":"article-journal","abstract":"Gonorrhea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5EE9A2C9" w14:textId="77777777" w:rsidTr="00D803EF">
        <w:tc>
          <w:tcPr>
            <w:tcW w:w="771" w:type="dxa"/>
          </w:tcPr>
          <w:p w14:paraId="6575F6B7" w14:textId="77777777" w:rsidR="002F1936" w:rsidRPr="00D32E21" w:rsidRDefault="002F1936"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ψ</m:t>
                </m:r>
              </m:oMath>
            </m:oMathPara>
          </w:p>
        </w:tc>
        <w:tc>
          <w:tcPr>
            <w:tcW w:w="4269" w:type="dxa"/>
          </w:tcPr>
          <w:p w14:paraId="7986C283"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that incident infection is symptomatic</w:t>
            </w:r>
          </w:p>
        </w:tc>
        <w:tc>
          <w:tcPr>
            <w:tcW w:w="3150" w:type="dxa"/>
          </w:tcPr>
          <w:p w14:paraId="41E11B58"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1320" w:type="dxa"/>
          </w:tcPr>
          <w:p w14:paraId="4E4730AA" w14:textId="78096A23" w:rsidR="002F1936" w:rsidRDefault="00D803EF" w:rsidP="00995F30">
            <w:pPr>
              <w:spacing w:before="100" w:beforeAutospacing="1" w:after="100" w:afterAutospacing="1" w:line="276" w:lineRule="auto"/>
              <w:rPr>
                <w:szCs w:val="20"/>
              </w:rPr>
            </w:pPr>
            <w:r>
              <w:rPr>
                <w:szCs w:val="20"/>
              </w:rPr>
              <w:t>[0, 1]</w:t>
            </w:r>
          </w:p>
        </w:tc>
        <w:tc>
          <w:tcPr>
            <w:tcW w:w="3611" w:type="dxa"/>
          </w:tcPr>
          <w:p w14:paraId="2BD1693C" w14:textId="77777777" w:rsidR="002F1936" w:rsidRDefault="002F1936" w:rsidP="00995F30">
            <w:pPr>
              <w:spacing w:before="100" w:beforeAutospacing="1" w:after="100" w:afterAutospacing="1" w:line="276" w:lineRule="auto"/>
              <w:rPr>
                <w:szCs w:val="20"/>
              </w:rPr>
            </w:pPr>
          </w:p>
        </w:tc>
        <w:tc>
          <w:tcPr>
            <w:tcW w:w="837" w:type="dxa"/>
          </w:tcPr>
          <w:p w14:paraId="73E2CD44" w14:textId="6AC8E5DD"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{"citationID":"eZSERn4C","properties":{"formattedCitation":"[16]","plainCitation":"[16]","noteIndex":0},"citationItems":[{"id":297,"uris":["http://zotero.org/users/9663344/items/KC9H5ARD"],"itemData":{"id":297,"type":"article-journal","abstract":"Gonorrhea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5A31CCAC" w14:textId="77777777" w:rsidTr="00D803EF">
        <w:tc>
          <w:tcPr>
            <w:tcW w:w="771" w:type="dxa"/>
          </w:tcPr>
          <w:p w14:paraId="4416E73D" w14:textId="77777777" w:rsidR="002F1936" w:rsidRPr="00D32E21" w:rsidRDefault="002F1936"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μ</m:t>
                </m:r>
              </m:oMath>
            </m:oMathPara>
          </w:p>
        </w:tc>
        <w:tc>
          <w:tcPr>
            <w:tcW w:w="4269" w:type="dxa"/>
          </w:tcPr>
          <w:p w14:paraId="3DB1F06B"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seeking treatment due to symptom</w:t>
            </w:r>
          </w:p>
        </w:tc>
        <w:tc>
          <w:tcPr>
            <w:tcW w:w="3150" w:type="dxa"/>
          </w:tcPr>
          <w:p w14:paraId="6E6109DE"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 </w:t>
            </w:r>
            <w:proofErr w:type="spellStart"/>
            <w:r>
              <w:rPr>
                <w:rFonts w:eastAsia="Times New Roman" w:cs="Times New Roman"/>
                <w:color w:val="000000" w:themeColor="text1"/>
                <w:kern w:val="0"/>
                <w:szCs w:val="20"/>
                <w14:ligatures w14:val="none"/>
              </w:rPr>
              <w:t>logN</w:t>
            </w:r>
            <w:proofErr w:type="spellEnd"/>
            <w:r>
              <w:rPr>
                <w:rFonts w:eastAsia="Times New Roman" w:cs="Times New Roman"/>
                <w:color w:val="000000" w:themeColor="text1"/>
                <w:kern w:val="0"/>
                <w:szCs w:val="20"/>
                <w14:ligatures w14:val="none"/>
              </w:rPr>
              <w:t>[5.38, 0.44]</w:t>
            </w:r>
          </w:p>
        </w:tc>
        <w:tc>
          <w:tcPr>
            <w:tcW w:w="1320" w:type="dxa"/>
          </w:tcPr>
          <w:p w14:paraId="7CBC55FE" w14:textId="0E45A9F3" w:rsidR="002F1936" w:rsidRDefault="00D803EF" w:rsidP="00995F30">
            <w:pPr>
              <w:spacing w:before="100" w:beforeAutospacing="1" w:after="100" w:afterAutospacing="1" w:line="276" w:lineRule="auto"/>
              <w:rPr>
                <w:szCs w:val="20"/>
              </w:rPr>
            </w:pPr>
            <w:r>
              <w:rPr>
                <w:szCs w:val="20"/>
              </w:rPr>
              <w:t>[0, 2000]</w:t>
            </w:r>
          </w:p>
        </w:tc>
        <w:tc>
          <w:tcPr>
            <w:tcW w:w="3611" w:type="dxa"/>
          </w:tcPr>
          <w:p w14:paraId="08D7CBED" w14:textId="77777777" w:rsidR="002F1936" w:rsidRDefault="002F1936" w:rsidP="00995F30">
            <w:pPr>
              <w:spacing w:before="100" w:beforeAutospacing="1" w:after="100" w:afterAutospacing="1" w:line="276" w:lineRule="auto"/>
              <w:rPr>
                <w:szCs w:val="20"/>
              </w:rPr>
            </w:pPr>
          </w:p>
        </w:tc>
        <w:tc>
          <w:tcPr>
            <w:tcW w:w="837" w:type="dxa"/>
          </w:tcPr>
          <w:p w14:paraId="1BC4710D" w14:textId="3EF0ACA1"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{"citationID":"ugcbcWQ3","properties":{"formattedCitation":"[16]","plainCitation":"[16]","noteIndex":0},"citationItems":[{"id":297,"uris":["http://zotero.org/users/9663344/items/KC9H5ARD"],"itemData":{"id":297,"type":"article-journal","abstract":"Gonorrhea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44732B69" w14:textId="77777777" w:rsidTr="00D803EF">
        <w:tc>
          <w:tcPr>
            <w:tcW w:w="771" w:type="dxa"/>
          </w:tcPr>
          <w:p w14:paraId="4385D13A" w14:textId="77777777" w:rsidR="002F1936" w:rsidRPr="00D32E21" w:rsidRDefault="00000000"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η</m:t>
                    </m:r>
                  </m:e>
                  <m:sub>
                    <m:r>
                      <w:rPr>
                        <w:rFonts w:ascii="Cambria Math" w:eastAsia="Times New Roman" w:hAnsi="Cambria Math" w:cs="Times New Roman"/>
                        <w:color w:val="000000" w:themeColor="text1"/>
                        <w:kern w:val="0"/>
                        <w:szCs w:val="20"/>
                        <w14:ligatures w14:val="none"/>
                      </w:rPr>
                      <m:t>H</m:t>
                    </m:r>
                  </m:sub>
                </m:sSub>
                <m:d>
                  <m:dPr>
                    <m:ctrlPr>
                      <w:rPr>
                        <w:rFonts w:ascii="Cambria Math" w:eastAsia="Times New Roman" w:hAnsi="Cambria Math" w:cs="Times New Roman"/>
                        <w:i/>
                        <w:iCs/>
                        <w:color w:val="000000" w:themeColor="text1"/>
                        <w:kern w:val="0"/>
                        <w:szCs w:val="20"/>
                        <w14:ligatures w14:val="none"/>
                      </w:rPr>
                    </m:ctrlPr>
                  </m:dPr>
                  <m:e>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269" w:type="dxa"/>
          </w:tcPr>
          <w:p w14:paraId="7FB889BD"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Initial rate of asymptomatic screening in group </w:t>
            </w:r>
            <m:oMath>
              <m:r>
                <w:rPr>
                  <w:rFonts w:ascii="Cambria Math" w:eastAsia="Times New Roman" w:hAnsi="Cambria Math" w:cs="Times New Roman"/>
                  <w:color w:val="000000" w:themeColor="text1"/>
                  <w:kern w:val="0"/>
                  <w:szCs w:val="20"/>
                  <w14:ligatures w14:val="none"/>
                </w:rPr>
                <m:t>H</m:t>
              </m:r>
            </m:oMath>
          </w:p>
        </w:tc>
        <w:tc>
          <w:tcPr>
            <w:tcW w:w="3150" w:type="dxa"/>
          </w:tcPr>
          <w:p w14:paraId="65891889"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4]</w:t>
            </w:r>
          </w:p>
        </w:tc>
        <w:tc>
          <w:tcPr>
            <w:tcW w:w="1320" w:type="dxa"/>
          </w:tcPr>
          <w:p w14:paraId="755E3611" w14:textId="2C193358" w:rsidR="002F1936" w:rsidRDefault="00D803EF" w:rsidP="00995F30">
            <w:pPr>
              <w:spacing w:before="100" w:beforeAutospacing="1" w:after="100" w:afterAutospacing="1" w:line="276" w:lineRule="auto"/>
              <w:rPr>
                <w:szCs w:val="20"/>
              </w:rPr>
            </w:pPr>
            <w:r>
              <w:rPr>
                <w:szCs w:val="20"/>
              </w:rPr>
              <w:t>[0, 2]</w:t>
            </w:r>
          </w:p>
        </w:tc>
        <w:tc>
          <w:tcPr>
            <w:tcW w:w="3611" w:type="dxa"/>
          </w:tcPr>
          <w:p w14:paraId="5A3E0129" w14:textId="77777777" w:rsidR="002F1936" w:rsidRDefault="002F1936" w:rsidP="00995F30">
            <w:pPr>
              <w:spacing w:before="100" w:beforeAutospacing="1" w:after="100" w:afterAutospacing="1" w:line="276" w:lineRule="auto"/>
              <w:rPr>
                <w:szCs w:val="20"/>
              </w:rPr>
            </w:pPr>
          </w:p>
        </w:tc>
        <w:tc>
          <w:tcPr>
            <w:tcW w:w="837" w:type="dxa"/>
          </w:tcPr>
          <w:p w14:paraId="577F29CB" w14:textId="75ACDD7B"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{"citationID":"nDqqyIAO","properties":{"formattedCitation":"[16]","plainCitation":"[16]","noteIndex":0},"citationItems":[{"id":297,"uris":["http://zotero.org/users/9663344/items/KC9H5ARD"],"itemData":{"id":297,"type":"article-journal","abstract":"Gonorrhea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739969D7" w14:textId="77777777" w:rsidTr="00D803EF">
        <w:tc>
          <w:tcPr>
            <w:tcW w:w="771" w:type="dxa"/>
          </w:tcPr>
          <w:p w14:paraId="11552CBF" w14:textId="77777777" w:rsidR="002F1936" w:rsidRPr="00D32E21" w:rsidRDefault="002F1936"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ω</m:t>
                </m:r>
              </m:oMath>
            </m:oMathPara>
          </w:p>
        </w:tc>
        <w:tc>
          <w:tcPr>
            <w:tcW w:w="4269" w:type="dxa"/>
          </w:tcPr>
          <w:p w14:paraId="0BA24773"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Ratio of screening rate in group </w:t>
            </w:r>
            <m:oMath>
              <m:r>
                <w:rPr>
                  <w:rFonts w:ascii="Cambria Math" w:eastAsia="Times New Roman" w:hAnsi="Cambria Math" w:cs="Times New Roman"/>
                  <w:color w:val="000000" w:themeColor="text1"/>
                  <w:kern w:val="0"/>
                  <w:szCs w:val="20"/>
                  <w14:ligatures w14:val="none"/>
                </w:rPr>
                <m:t>L</m:t>
              </m:r>
            </m:oMath>
            <w:r>
              <w:rPr>
                <w:rFonts w:eastAsia="Times New Roman" w:cs="Times New Roman"/>
                <w:color w:val="000000" w:themeColor="text1"/>
                <w:kern w:val="0"/>
                <w:szCs w:val="20"/>
                <w14:ligatures w14:val="none"/>
              </w:rPr>
              <w:t xml:space="preserve"> vs </w:t>
            </w:r>
            <m:oMath>
              <m:r>
                <w:rPr>
                  <w:rFonts w:ascii="Cambria Math" w:eastAsia="Times New Roman" w:hAnsi="Cambria Math" w:cs="Times New Roman"/>
                  <w:color w:val="000000" w:themeColor="text1"/>
                  <w:kern w:val="0"/>
                  <w:szCs w:val="20"/>
                  <w14:ligatures w14:val="none"/>
                </w:rPr>
                <m:t>H</m:t>
              </m:r>
            </m:oMath>
          </w:p>
        </w:tc>
        <w:tc>
          <w:tcPr>
            <w:tcW w:w="3150" w:type="dxa"/>
          </w:tcPr>
          <w:p w14:paraId="6B9BB2C2"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roofErr w:type="spellStart"/>
            <w:proofErr w:type="gramStart"/>
            <w:r w:rsidRPr="002D7CDC">
              <w:rPr>
                <w:szCs w:val="20"/>
                <w:lang w:val="en-US"/>
              </w:rPr>
              <w:t>logN</w:t>
            </w:r>
            <w:proofErr w:type="spellEnd"/>
            <w:r w:rsidRPr="002D7CDC">
              <w:rPr>
                <w:szCs w:val="20"/>
                <w:lang w:val="en-US"/>
              </w:rPr>
              <w:t>[</w:t>
            </w:r>
            <w:proofErr w:type="gramEnd"/>
            <w:r w:rsidRPr="002D7CDC">
              <w:rPr>
                <w:szCs w:val="20"/>
                <w:lang w:val="en-US"/>
              </w:rPr>
              <w:t>-0.87, 0.39]</w:t>
            </w:r>
          </w:p>
        </w:tc>
        <w:tc>
          <w:tcPr>
            <w:tcW w:w="1320" w:type="dxa"/>
          </w:tcPr>
          <w:p w14:paraId="3B40555A" w14:textId="42ACFDBE" w:rsidR="002F1936" w:rsidRDefault="00D803EF" w:rsidP="00995F30">
            <w:pPr>
              <w:spacing w:before="100" w:beforeAutospacing="1" w:after="100" w:afterAutospacing="1" w:line="276" w:lineRule="auto"/>
              <w:rPr>
                <w:szCs w:val="20"/>
              </w:rPr>
            </w:pPr>
            <w:r>
              <w:rPr>
                <w:szCs w:val="20"/>
              </w:rPr>
              <w:t>[0.1, 1]</w:t>
            </w:r>
          </w:p>
        </w:tc>
        <w:tc>
          <w:tcPr>
            <w:tcW w:w="3611" w:type="dxa"/>
          </w:tcPr>
          <w:p w14:paraId="254B74A8" w14:textId="77777777" w:rsidR="002F1936" w:rsidRDefault="002F1936" w:rsidP="00995F30">
            <w:pPr>
              <w:spacing w:before="100" w:beforeAutospacing="1" w:after="100" w:afterAutospacing="1" w:line="276" w:lineRule="auto"/>
              <w:rPr>
                <w:szCs w:val="20"/>
              </w:rPr>
            </w:pPr>
          </w:p>
        </w:tc>
        <w:tc>
          <w:tcPr>
            <w:tcW w:w="837" w:type="dxa"/>
          </w:tcPr>
          <w:p w14:paraId="4F25AE38" w14:textId="1722E34E" w:rsidR="002F1936" w:rsidRPr="002D7CDC" w:rsidRDefault="002F1936" w:rsidP="00995F30">
            <w:pPr>
              <w:spacing w:before="100" w:beforeAutospacing="1" w:after="100" w:afterAutospacing="1" w:line="276" w:lineRule="auto"/>
              <w:rPr>
                <w:szCs w:val="20"/>
                <w:lang w:val="en-US"/>
              </w:rPr>
            </w:pPr>
            <w:r>
              <w:rPr>
                <w:szCs w:val="20"/>
              </w:rPr>
              <w:fldChar w:fldCharType="begin"/>
            </w:r>
            <w:r w:rsidR="00756FF7">
              <w:rPr>
                <w:szCs w:val="20"/>
              </w:rPr>
              <w:instrText xml:space="preserve"> ADDIN ZOTERO_ITEM CSL_CITATION {"citationID":"87w9wO7R","properties":{"formattedCitation":"[16]","plainCitation":"[16]","noteIndex":0},"citationItems":[{"id":297,"uris":["http://zotero.org/users/9663344/items/KC9H5ARD"],"itemData":{"id":297,"type":"article-journal","abstract":"Gonorrhea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7390F76D" w14:textId="77777777" w:rsidTr="00D803EF">
        <w:tc>
          <w:tcPr>
            <w:tcW w:w="771" w:type="dxa"/>
          </w:tcPr>
          <w:p w14:paraId="5F7E5297" w14:textId="77777777" w:rsidR="002F1936" w:rsidRPr="00D32E21" w:rsidRDefault="00000000"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η</m:t>
                    </m:r>
                  </m:sub>
                </m:sSub>
              </m:oMath>
            </m:oMathPara>
          </w:p>
        </w:tc>
        <w:tc>
          <w:tcPr>
            <w:tcW w:w="4269" w:type="dxa"/>
          </w:tcPr>
          <w:p w14:paraId="0C3363DE"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screening rate</w:t>
            </w:r>
          </w:p>
        </w:tc>
        <w:tc>
          <w:tcPr>
            <w:tcW w:w="3150" w:type="dxa"/>
          </w:tcPr>
          <w:p w14:paraId="2A8AFC8A"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c>
          <w:tcPr>
            <w:tcW w:w="1320" w:type="dxa"/>
          </w:tcPr>
          <w:p w14:paraId="4D66A12C" w14:textId="0156C99B" w:rsidR="002F1936" w:rsidRDefault="00D803EF" w:rsidP="00995F30">
            <w:pPr>
              <w:spacing w:before="100" w:beforeAutospacing="1" w:after="100" w:afterAutospacing="1" w:line="276" w:lineRule="auto"/>
              <w:rPr>
                <w:szCs w:val="20"/>
              </w:rPr>
            </w:pPr>
            <w:r>
              <w:rPr>
                <w:szCs w:val="20"/>
              </w:rPr>
              <w:t>[0, 0.3]</w:t>
            </w:r>
          </w:p>
        </w:tc>
        <w:tc>
          <w:tcPr>
            <w:tcW w:w="3611" w:type="dxa"/>
          </w:tcPr>
          <w:p w14:paraId="2493CC65" w14:textId="77777777" w:rsidR="002F1936" w:rsidRDefault="002F1936" w:rsidP="00995F30">
            <w:pPr>
              <w:spacing w:before="100" w:beforeAutospacing="1" w:after="100" w:afterAutospacing="1" w:line="276" w:lineRule="auto"/>
              <w:rPr>
                <w:szCs w:val="20"/>
              </w:rPr>
            </w:pPr>
          </w:p>
        </w:tc>
        <w:tc>
          <w:tcPr>
            <w:tcW w:w="837" w:type="dxa"/>
          </w:tcPr>
          <w:p w14:paraId="3106F926" w14:textId="23EE559E"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{"citationID":"sl4pPGPK","properties":{"formattedCitation":"[16]","plainCitation":"[16]","noteIndex":0},"citationItems":[{"id":297,"uris":["http://zotero.org/users/9663344/items/KC9H5ARD"],"itemData":{"id":297,"type":"article-journal","abstract":"Gonorrhea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6662E478" w14:textId="77777777" w:rsidTr="00D803EF">
        <w:tc>
          <w:tcPr>
            <w:tcW w:w="771" w:type="dxa"/>
          </w:tcPr>
          <w:p w14:paraId="1B70FB86" w14:textId="77777777" w:rsidR="002F1936" w:rsidRPr="00D32E21" w:rsidRDefault="002F1936"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ρ</m:t>
                </m:r>
              </m:oMath>
            </m:oMathPara>
          </w:p>
        </w:tc>
        <w:tc>
          <w:tcPr>
            <w:tcW w:w="4269" w:type="dxa"/>
          </w:tcPr>
          <w:p w14:paraId="586DFEF2"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recovery after treatment</w:t>
            </w:r>
          </w:p>
        </w:tc>
        <w:tc>
          <w:tcPr>
            <w:tcW w:w="3150" w:type="dxa"/>
          </w:tcPr>
          <w:p w14:paraId="0EDA7DC2"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logN</m:t>
              </m:r>
            </m:oMath>
            <w:r>
              <w:rPr>
                <w:rFonts w:eastAsia="Times New Roman" w:cs="Times New Roman"/>
                <w:color w:val="000000" w:themeColor="text1"/>
                <w:kern w:val="0"/>
                <w:szCs w:val="20"/>
                <w14:ligatures w14:val="none"/>
              </w:rPr>
              <w:t>[3.99, 0.11]</w:t>
            </w:r>
          </w:p>
        </w:tc>
        <w:tc>
          <w:tcPr>
            <w:tcW w:w="1320" w:type="dxa"/>
          </w:tcPr>
          <w:p w14:paraId="7D5A077C" w14:textId="4209360C" w:rsidR="002F1936" w:rsidRDefault="00D803EF" w:rsidP="00995F30">
            <w:pPr>
              <w:spacing w:before="100" w:beforeAutospacing="1" w:after="100" w:afterAutospacing="1" w:line="276" w:lineRule="auto"/>
              <w:rPr>
                <w:szCs w:val="20"/>
              </w:rPr>
            </w:pPr>
            <w:r>
              <w:rPr>
                <w:szCs w:val="20"/>
              </w:rPr>
              <w:t>[0, 200]</w:t>
            </w:r>
          </w:p>
        </w:tc>
        <w:tc>
          <w:tcPr>
            <w:tcW w:w="3611" w:type="dxa"/>
          </w:tcPr>
          <w:p w14:paraId="21C31477" w14:textId="77777777" w:rsidR="002F1936" w:rsidRDefault="002F1936" w:rsidP="00995F30">
            <w:pPr>
              <w:spacing w:before="100" w:beforeAutospacing="1" w:after="100" w:afterAutospacing="1" w:line="276" w:lineRule="auto"/>
              <w:rPr>
                <w:szCs w:val="20"/>
              </w:rPr>
            </w:pPr>
          </w:p>
        </w:tc>
        <w:tc>
          <w:tcPr>
            <w:tcW w:w="837" w:type="dxa"/>
          </w:tcPr>
          <w:p w14:paraId="6F1727E8" w14:textId="39664C99"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{"citationID":"J5ExjMLp","properties":{"formattedCitation":"[16]","plainCitation":"[16]","noteIndex":0},"citationItems":[{"id":297,"uris":["http://zotero.org/users/9663344/items/KC9H5ARD"],"itemData":{"id":297,"type":"article-journal","abstract":"Gonorrhea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7E624F8D" w14:textId="77777777" w:rsidTr="00D803EF">
        <w:tc>
          <w:tcPr>
            <w:tcW w:w="771" w:type="dxa"/>
          </w:tcPr>
          <w:p w14:paraId="7AE3ACBA" w14:textId="77777777" w:rsidR="002F1936" w:rsidRPr="00D32E21" w:rsidRDefault="002F1936" w:rsidP="00995F30">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ν</m:t>
                </m:r>
              </m:oMath>
            </m:oMathPara>
          </w:p>
        </w:tc>
        <w:tc>
          <w:tcPr>
            <w:tcW w:w="4269" w:type="dxa"/>
          </w:tcPr>
          <w:p w14:paraId="0B66534F"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natural recovery</w:t>
            </w:r>
          </w:p>
        </w:tc>
        <w:tc>
          <w:tcPr>
            <w:tcW w:w="3150" w:type="dxa"/>
          </w:tcPr>
          <w:p w14:paraId="6F96BB36"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roofErr w:type="spellStart"/>
            <w:r>
              <w:rPr>
                <w:rFonts w:eastAsia="Times New Roman" w:cs="Times New Roman"/>
                <w:color w:val="000000" w:themeColor="text1"/>
                <w:kern w:val="0"/>
                <w:szCs w:val="20"/>
                <w14:ligatures w14:val="none"/>
              </w:rPr>
              <w:t>logN</w:t>
            </w:r>
            <w:proofErr w:type="spellEnd"/>
            <w:r>
              <w:rPr>
                <w:rFonts w:eastAsia="Times New Roman" w:cs="Times New Roman"/>
                <w:color w:val="000000" w:themeColor="text1"/>
                <w:kern w:val="0"/>
                <w:szCs w:val="20"/>
                <w14:ligatures w14:val="none"/>
              </w:rPr>
              <w:t>[1.13, 0.34]</w:t>
            </w:r>
          </w:p>
        </w:tc>
        <w:tc>
          <w:tcPr>
            <w:tcW w:w="1320" w:type="dxa"/>
          </w:tcPr>
          <w:p w14:paraId="4148CBD8" w14:textId="3059676C" w:rsidR="002F1936" w:rsidRDefault="00D803EF" w:rsidP="00995F30">
            <w:pPr>
              <w:spacing w:before="100" w:beforeAutospacing="1" w:after="100" w:afterAutospacing="1" w:line="276" w:lineRule="auto"/>
              <w:rPr>
                <w:szCs w:val="20"/>
              </w:rPr>
            </w:pPr>
            <w:r>
              <w:rPr>
                <w:szCs w:val="20"/>
              </w:rPr>
              <w:t>[0, 50]</w:t>
            </w:r>
          </w:p>
        </w:tc>
        <w:tc>
          <w:tcPr>
            <w:tcW w:w="3611" w:type="dxa"/>
          </w:tcPr>
          <w:p w14:paraId="7374B55E" w14:textId="77777777" w:rsidR="002F1936" w:rsidRDefault="002F1936" w:rsidP="00995F30">
            <w:pPr>
              <w:spacing w:before="100" w:beforeAutospacing="1" w:after="100" w:afterAutospacing="1" w:line="276" w:lineRule="auto"/>
              <w:rPr>
                <w:szCs w:val="20"/>
              </w:rPr>
            </w:pPr>
          </w:p>
        </w:tc>
        <w:tc>
          <w:tcPr>
            <w:tcW w:w="837" w:type="dxa"/>
          </w:tcPr>
          <w:p w14:paraId="04990BB2" w14:textId="59E011FA"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szCs w:val="20"/>
              </w:rPr>
              <w:fldChar w:fldCharType="begin"/>
            </w:r>
            <w:r w:rsidR="00756FF7">
              <w:rPr>
                <w:szCs w:val="20"/>
              </w:rPr>
              <w:instrText xml:space="preserve"> ADDIN ZOTERO_ITEM CSL_CITATION {"citationID":"AGPC9Qni","properties":{"formattedCitation":"[16]","plainCitation":"[16]","noteIndex":0},"citationItems":[{"id":297,"uris":["http://zotero.org/users/9663344/items/KC9H5ARD"],"itemData":{"id":297,"type":"article-journal","abstract":"Gonorrhea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756FF7">
              <w:rPr>
                <w:rFonts w:hint="eastAsia"/>
                <w:szCs w:val="20"/>
              </w:rPr>
              <w:instrText>≥</w:instrText>
            </w:r>
            <w:r w:rsidR="00756FF7">
              <w:rPr>
                <w:szCs w:val="20"/>
              </w:rPr>
              <w:instrText xml:space="preserve"> 52% protection for </w:instrText>
            </w:r>
            <w:r w:rsidR="00756FF7">
              <w:rPr>
                <w:rFonts w:hint="eastAsia"/>
                <w:szCs w:val="20"/>
              </w:rPr>
              <w:instrText>≥</w:instrText>
            </w:r>
            <w:r w:rsidR="00756FF7">
              <w:rPr>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Pr>
                <w:szCs w:val="20"/>
              </w:rPr>
              <w:fldChar w:fldCharType="separate"/>
            </w:r>
            <w:r w:rsidR="00756FF7">
              <w:rPr>
                <w:noProof/>
                <w:szCs w:val="20"/>
              </w:rPr>
              <w:t>[16]</w:t>
            </w:r>
            <w:r>
              <w:rPr>
                <w:szCs w:val="20"/>
              </w:rPr>
              <w:fldChar w:fldCharType="end"/>
            </w:r>
          </w:p>
        </w:tc>
      </w:tr>
      <w:tr w:rsidR="002F1936" w14:paraId="17AE1CCC" w14:textId="77777777" w:rsidTr="00D803EF">
        <w:tc>
          <w:tcPr>
            <w:tcW w:w="771" w:type="dxa"/>
          </w:tcPr>
          <w:p w14:paraId="1C92D4A7" w14:textId="77777777" w:rsidR="002F1936" w:rsidRDefault="002F1936" w:rsidP="00995F30">
            <w:pPr>
              <w:spacing w:before="100" w:beforeAutospacing="1" w:after="100" w:afterAutospacing="1" w:line="276" w:lineRule="auto"/>
              <w:rPr>
                <w:rFonts w:ascii="Aptos" w:eastAsia="DengXian" w:hAnsi="Aptos" w:cs="Times New Roman"/>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ϕ</m:t>
                </m:r>
              </m:oMath>
            </m:oMathPara>
          </w:p>
        </w:tc>
        <w:tc>
          <w:tcPr>
            <w:tcW w:w="4269" w:type="dxa"/>
          </w:tcPr>
          <w:p w14:paraId="47F4CAE2"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Treatment failure rate for ceftriaxone-resistant infections treated with ceftriaxone</w:t>
            </w:r>
          </w:p>
        </w:tc>
        <w:tc>
          <w:tcPr>
            <w:tcW w:w="3150" w:type="dxa"/>
          </w:tcPr>
          <w:p w14:paraId="15180D21"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[0.001, 1000]</w:t>
            </w:r>
          </w:p>
        </w:tc>
        <w:tc>
          <w:tcPr>
            <w:tcW w:w="1320" w:type="dxa"/>
          </w:tcPr>
          <w:p w14:paraId="232D7949" w14:textId="043B18A0" w:rsidR="002F1936" w:rsidRDefault="00D803EF"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 0.2]</w:t>
            </w:r>
          </w:p>
        </w:tc>
        <w:tc>
          <w:tcPr>
            <w:tcW w:w="3611" w:type="dxa"/>
          </w:tcPr>
          <w:p w14:paraId="5483E8ED"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837" w:type="dxa"/>
          </w:tcPr>
          <w:p w14:paraId="56BC7A56" w14:textId="5F28CB21"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6FF7">
              <w:rPr>
                <w:rFonts w:eastAsia="Times New Roman" w:cs="Times New Roman"/>
                <w:color w:val="000000" w:themeColor="text1"/>
                <w:kern w:val="0"/>
                <w:szCs w:val="20"/>
                <w14:ligatures w14:val="none"/>
              </w:rPr>
              <w:instrText xml:space="preserve"> ADDIN ZOTERO_ITEM CSL_CITATION {"citationID":"byXQfm3S","properties":{"formattedCitation":"[7]","plainCitation":"[7]","noteIndex":0},"citationItems":[{"id":420,"uris":["http://zotero.org/users/9663344/items/ZQGG9PCA"],"itemData":{"id":420,"type":"webpage","container-title":"UK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6FF7">
              <w:rPr>
                <w:rFonts w:eastAsia="Times New Roman" w:cs="Times New Roman"/>
                <w:noProof/>
                <w:color w:val="000000" w:themeColor="text1"/>
                <w:kern w:val="0"/>
                <w:szCs w:val="20"/>
                <w14:ligatures w14:val="none"/>
              </w:rPr>
              <w:t>[7]</w:t>
            </w:r>
            <w:r>
              <w:rPr>
                <w:rFonts w:eastAsia="Times New Roman" w:cs="Times New Roman"/>
                <w:color w:val="000000" w:themeColor="text1"/>
                <w:kern w:val="0"/>
                <w:szCs w:val="20"/>
                <w14:ligatures w14:val="none"/>
              </w:rPr>
              <w:fldChar w:fldCharType="end"/>
            </w:r>
          </w:p>
        </w:tc>
      </w:tr>
      <w:tr w:rsidR="002F1936" w14:paraId="72F60B31" w14:textId="77777777" w:rsidTr="00D803EF">
        <w:tc>
          <w:tcPr>
            <w:tcW w:w="771" w:type="dxa"/>
          </w:tcPr>
          <w:p w14:paraId="0D9372A3" w14:textId="77777777" w:rsidR="002F1936" w:rsidRDefault="00000000" w:rsidP="00995F30">
            <w:pPr>
              <w:spacing w:before="100" w:beforeAutospacing="1" w:after="100" w:afterAutospacing="1" w:line="276" w:lineRule="auto"/>
              <w:rPr>
                <w:rFonts w:ascii="Aptos" w:eastAsia="DengXian" w:hAnsi="Aptos" w:cs="Times New Roman"/>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oMath>
            </m:oMathPara>
          </w:p>
        </w:tc>
        <w:tc>
          <w:tcPr>
            <w:tcW w:w="4269" w:type="dxa"/>
          </w:tcPr>
          <w:p w14:paraId="6CA1975A"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ceftriaxone-resistant bacteria, compared with susceptible</w:t>
            </w:r>
          </w:p>
        </w:tc>
        <w:tc>
          <w:tcPr>
            <w:tcW w:w="3150" w:type="dxa"/>
          </w:tcPr>
          <w:p w14:paraId="0E38441F"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roofErr w:type="spellStart"/>
            <w:r>
              <w:rPr>
                <w:rFonts w:eastAsia="Times New Roman" w:cs="Times New Roman"/>
                <w:color w:val="000000" w:themeColor="text1"/>
                <w:kern w:val="0"/>
                <w:szCs w:val="20"/>
                <w14:ligatures w14:val="none"/>
              </w:rPr>
              <w:t>logN</w:t>
            </w:r>
            <w:proofErr w:type="spellEnd"/>
            <w:r>
              <w:rPr>
                <w:rFonts w:eastAsia="Times New Roman" w:cs="Times New Roman"/>
                <w:color w:val="000000" w:themeColor="text1"/>
                <w:kern w:val="0"/>
                <w:szCs w:val="20"/>
                <w14:ligatures w14:val="none"/>
              </w:rPr>
              <w:t>[-0.0204, 0.02]</w:t>
            </w:r>
          </w:p>
        </w:tc>
        <w:tc>
          <w:tcPr>
            <w:tcW w:w="1320" w:type="dxa"/>
          </w:tcPr>
          <w:p w14:paraId="6F76E41D" w14:textId="77DAE338" w:rsidR="002F1936" w:rsidRDefault="00D803EF"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[0.7, 1.1]</w:t>
            </w:r>
          </w:p>
        </w:tc>
        <w:tc>
          <w:tcPr>
            <w:tcW w:w="3611" w:type="dxa"/>
          </w:tcPr>
          <w:p w14:paraId="7DEB6B0E"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837" w:type="dxa"/>
          </w:tcPr>
          <w:p w14:paraId="1F9A0672" w14:textId="4FE216B8"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6FF7">
              <w:rPr>
                <w:rFonts w:eastAsia="Times New Roman" w:cs="Times New Roman"/>
                <w:color w:val="000000" w:themeColor="text1"/>
                <w:kern w:val="0"/>
                <w:szCs w:val="20"/>
                <w14:ligatures w14:val="none"/>
              </w:rPr>
              <w:instrText xml:space="preserve"> ADDIN ZOTERO_ITEM CSL_CITATION {"citationID":"4PPeZTZN","properties":{"formattedCitation":"[15]","plainCitation":"[15]","noteIndex":0},"citationItems":[{"id":187,"uris":["http://zotero.org/users/9663344/items/HYSVKZR9"],"itemData":{"id":187,"type":"article-journal","abstract":"Background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6FF7">
              <w:rPr>
                <w:rFonts w:eastAsia="Times New Roman" w:cs="Times New Roman"/>
                <w:noProof/>
                <w:color w:val="000000" w:themeColor="text1"/>
                <w:kern w:val="0"/>
                <w:szCs w:val="20"/>
                <w14:ligatures w14:val="none"/>
              </w:rPr>
              <w:t>[15]</w:t>
            </w:r>
            <w:r>
              <w:rPr>
                <w:rFonts w:eastAsia="Times New Roman" w:cs="Times New Roman"/>
                <w:color w:val="000000" w:themeColor="text1"/>
                <w:kern w:val="0"/>
                <w:szCs w:val="20"/>
                <w14:ligatures w14:val="none"/>
              </w:rPr>
              <w:fldChar w:fldCharType="end"/>
            </w:r>
          </w:p>
        </w:tc>
      </w:tr>
      <w:tr w:rsidR="002F1936" w14:paraId="46E619EE" w14:textId="77777777" w:rsidTr="00D803EF">
        <w:tc>
          <w:tcPr>
            <w:tcW w:w="771" w:type="dxa"/>
          </w:tcPr>
          <w:p w14:paraId="64185773" w14:textId="77777777" w:rsidR="002F1936" w:rsidRDefault="00000000" w:rsidP="00995F30">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t</m:t>
                    </m:r>
                  </m:sub>
                </m:sSub>
              </m:oMath>
            </m:oMathPara>
          </w:p>
        </w:tc>
        <w:tc>
          <w:tcPr>
            <w:tcW w:w="4269" w:type="dxa"/>
          </w:tcPr>
          <w:p w14:paraId="14DFD256"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tetracycline-resistant bacteria, compared with susceptible</w:t>
            </w:r>
          </w:p>
        </w:tc>
        <w:tc>
          <w:tcPr>
            <w:tcW w:w="3150" w:type="dxa"/>
          </w:tcPr>
          <w:p w14:paraId="6994F4DF"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roofErr w:type="spellStart"/>
            <w:r>
              <w:rPr>
                <w:rFonts w:eastAsia="Times New Roman" w:cs="Times New Roman"/>
                <w:color w:val="000000" w:themeColor="text1"/>
                <w:kern w:val="0"/>
                <w:szCs w:val="20"/>
                <w14:ligatures w14:val="none"/>
              </w:rPr>
              <w:t>logN</w:t>
            </w:r>
            <w:proofErr w:type="spellEnd"/>
            <w:r>
              <w:rPr>
                <w:rFonts w:eastAsia="Times New Roman" w:cs="Times New Roman"/>
                <w:color w:val="000000" w:themeColor="text1"/>
                <w:kern w:val="0"/>
                <w:szCs w:val="20"/>
                <w14:ligatures w14:val="none"/>
              </w:rPr>
              <w:t>[-0.0204, 0.02]</w:t>
            </w:r>
          </w:p>
        </w:tc>
        <w:tc>
          <w:tcPr>
            <w:tcW w:w="1320" w:type="dxa"/>
          </w:tcPr>
          <w:p w14:paraId="67BABCDB" w14:textId="677A18C6" w:rsidR="002F1936" w:rsidRDefault="00D803EF"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[0.7, 1.1]</w:t>
            </w:r>
          </w:p>
        </w:tc>
        <w:tc>
          <w:tcPr>
            <w:tcW w:w="3611" w:type="dxa"/>
          </w:tcPr>
          <w:p w14:paraId="2FB54E52"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837" w:type="dxa"/>
          </w:tcPr>
          <w:p w14:paraId="128301BB" w14:textId="1058D361"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6FF7">
              <w:rPr>
                <w:rFonts w:eastAsia="Times New Roman" w:cs="Times New Roman"/>
                <w:color w:val="000000" w:themeColor="text1"/>
                <w:kern w:val="0"/>
                <w:szCs w:val="20"/>
                <w14:ligatures w14:val="none"/>
              </w:rPr>
              <w:instrText xml:space="preserve"> ADDIN ZOTERO_ITEM CSL_CITATION {"citationID":"w3hdUG4f","properties":{"formattedCitation":"[15]","plainCitation":"[15]","noteIndex":0},"citationItems":[{"id":187,"uris":["http://zotero.org/users/9663344/items/HYSVKZR9"],"itemData":{"id":187,"type":"article-journal","abstract":"Background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6FF7">
              <w:rPr>
                <w:rFonts w:eastAsia="Times New Roman" w:cs="Times New Roman"/>
                <w:noProof/>
                <w:color w:val="000000" w:themeColor="text1"/>
                <w:kern w:val="0"/>
                <w:szCs w:val="20"/>
                <w14:ligatures w14:val="none"/>
              </w:rPr>
              <w:t>[15]</w:t>
            </w:r>
            <w:r>
              <w:rPr>
                <w:rFonts w:eastAsia="Times New Roman" w:cs="Times New Roman"/>
                <w:color w:val="000000" w:themeColor="text1"/>
                <w:kern w:val="0"/>
                <w:szCs w:val="20"/>
                <w14:ligatures w14:val="none"/>
              </w:rPr>
              <w:fldChar w:fldCharType="end"/>
            </w:r>
          </w:p>
        </w:tc>
      </w:tr>
      <w:tr w:rsidR="002F1936" w14:paraId="27F818D1" w14:textId="77777777" w:rsidTr="00D803EF">
        <w:tc>
          <w:tcPr>
            <w:tcW w:w="771" w:type="dxa"/>
          </w:tcPr>
          <w:p w14:paraId="047DA5BE" w14:textId="77777777" w:rsidR="002F1936" w:rsidRDefault="00000000" w:rsidP="00995F30">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d2</m:t>
                    </m:r>
                  </m:sub>
                </m:sSub>
              </m:oMath>
            </m:oMathPara>
          </w:p>
        </w:tc>
        <w:tc>
          <w:tcPr>
            <w:tcW w:w="4269" w:type="dxa"/>
          </w:tcPr>
          <w:p w14:paraId="634C1B2D"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dual resistant bacteria, compared with susceptible</w:t>
            </w:r>
          </w:p>
        </w:tc>
        <w:tc>
          <w:tcPr>
            <w:tcW w:w="3150" w:type="dxa"/>
          </w:tcPr>
          <w:p w14:paraId="79BB6D2E"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roofErr w:type="spellStart"/>
            <w:r>
              <w:rPr>
                <w:rFonts w:eastAsia="Times New Roman" w:cs="Times New Roman"/>
                <w:color w:val="000000" w:themeColor="text1"/>
                <w:kern w:val="0"/>
                <w:szCs w:val="20"/>
                <w14:ligatures w14:val="none"/>
              </w:rPr>
              <w:t>logN</w:t>
            </w:r>
            <w:proofErr w:type="spellEnd"/>
            <w:r>
              <w:rPr>
                <w:rFonts w:eastAsia="Times New Roman" w:cs="Times New Roman"/>
                <w:color w:val="000000" w:themeColor="text1"/>
                <w:kern w:val="0"/>
                <w:szCs w:val="20"/>
                <w14:ligatures w14:val="none"/>
              </w:rPr>
              <w:t>[-0.0408, 0.02]</w:t>
            </w:r>
          </w:p>
        </w:tc>
        <w:tc>
          <w:tcPr>
            <w:tcW w:w="1320" w:type="dxa"/>
          </w:tcPr>
          <w:p w14:paraId="591C4093" w14:textId="6A19B0F4" w:rsidR="002F1936" w:rsidRDefault="00D803EF"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[0.5, 1]</w:t>
            </w:r>
          </w:p>
        </w:tc>
        <w:tc>
          <w:tcPr>
            <w:tcW w:w="3611" w:type="dxa"/>
          </w:tcPr>
          <w:p w14:paraId="2F8011A3"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837" w:type="dxa"/>
          </w:tcPr>
          <w:p w14:paraId="265863C4" w14:textId="5AB2720F"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6FF7">
              <w:rPr>
                <w:rFonts w:eastAsia="Times New Roman" w:cs="Times New Roman"/>
                <w:color w:val="000000" w:themeColor="text1"/>
                <w:kern w:val="0"/>
                <w:szCs w:val="20"/>
                <w14:ligatures w14:val="none"/>
              </w:rPr>
              <w:instrText xml:space="preserve"> ADDIN ZOTERO_ITEM CSL_CITATION {"citationID":"wPKQhZXB","properties":{"formattedCitation":"[15]","plainCitation":"[15]","noteIndex":0},"citationItems":[{"id":187,"uris":["http://zotero.org/users/9663344/items/HYSVKZR9"],"itemData":{"id":187,"type":"article-journal","abstract":"Background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6FF7">
              <w:rPr>
                <w:rFonts w:eastAsia="Times New Roman" w:cs="Times New Roman"/>
                <w:noProof/>
                <w:color w:val="000000" w:themeColor="text1"/>
                <w:kern w:val="0"/>
                <w:szCs w:val="20"/>
                <w14:ligatures w14:val="none"/>
              </w:rPr>
              <w:t>[15]</w:t>
            </w:r>
            <w:r>
              <w:rPr>
                <w:rFonts w:eastAsia="Times New Roman" w:cs="Times New Roman"/>
                <w:color w:val="000000" w:themeColor="text1"/>
                <w:kern w:val="0"/>
                <w:szCs w:val="20"/>
                <w14:ligatures w14:val="none"/>
              </w:rPr>
              <w:fldChar w:fldCharType="end"/>
            </w:r>
          </w:p>
        </w:tc>
      </w:tr>
      <w:tr w:rsidR="002F1936" w14:paraId="5656C7F4" w14:textId="77777777" w:rsidTr="00D803EF">
        <w:tc>
          <w:tcPr>
            <w:tcW w:w="771" w:type="dxa"/>
          </w:tcPr>
          <w:p w14:paraId="73DCCFC2" w14:textId="77777777" w:rsidR="002F1936" w:rsidRDefault="00000000" w:rsidP="00995F30">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c</m:t>
                    </m:r>
                  </m:sub>
                </m:sSub>
              </m:oMath>
            </m:oMathPara>
          </w:p>
        </w:tc>
        <w:tc>
          <w:tcPr>
            <w:tcW w:w="4269" w:type="dxa"/>
          </w:tcPr>
          <w:p w14:paraId="791B2A67"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ceftriaxone resistance upon treatment with ceftriaxone</w:t>
            </w:r>
          </w:p>
        </w:tc>
        <w:tc>
          <w:tcPr>
            <w:tcW w:w="3150" w:type="dxa"/>
          </w:tcPr>
          <w:p w14:paraId="2236A509"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roofErr w:type="spellStart"/>
            <w:r>
              <w:rPr>
                <w:rFonts w:eastAsia="Times New Roman" w:cs="Times New Roman"/>
                <w:color w:val="000000" w:themeColor="text1"/>
                <w:kern w:val="0"/>
                <w:szCs w:val="20"/>
                <w14:ligatures w14:val="none"/>
              </w:rPr>
              <w:t>logN</w:t>
            </w:r>
            <w:proofErr w:type="spellEnd"/>
            <w:r>
              <w:rPr>
                <w:rFonts w:eastAsia="Times New Roman" w:cs="Times New Roman"/>
                <w:color w:val="000000" w:themeColor="text1"/>
                <w:kern w:val="0"/>
                <w:szCs w:val="20"/>
                <w14:ligatures w14:val="none"/>
              </w:rPr>
              <w:t>[log10</w:t>
            </w:r>
            <w:r>
              <w:rPr>
                <w:rFonts w:eastAsia="Times New Roman" w:cs="Times New Roman"/>
                <w:color w:val="000000" w:themeColor="text1"/>
                <w:kern w:val="0"/>
                <w:szCs w:val="20"/>
                <w:vertAlign w:val="superscript"/>
                <w14:ligatures w14:val="none"/>
              </w:rPr>
              <w:t>-8</w:t>
            </w:r>
            <w:r>
              <w:rPr>
                <w:rFonts w:eastAsia="Times New Roman" w:cs="Times New Roman"/>
                <w:color w:val="000000" w:themeColor="text1"/>
                <w:kern w:val="0"/>
                <w:szCs w:val="20"/>
                <w14:ligatures w14:val="none"/>
              </w:rPr>
              <w:t>, 0.01]</w:t>
            </w:r>
          </w:p>
        </w:tc>
        <w:tc>
          <w:tcPr>
            <w:tcW w:w="1320" w:type="dxa"/>
          </w:tcPr>
          <w:p w14:paraId="35A79AEF" w14:textId="2505B0B8" w:rsidR="002F1936" w:rsidRPr="00D803EF" w:rsidRDefault="00D803EF"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[10</w:t>
            </w:r>
            <w:r>
              <w:rPr>
                <w:rFonts w:eastAsia="Times New Roman" w:cs="Times New Roman"/>
                <w:color w:val="000000" w:themeColor="text1"/>
                <w:kern w:val="0"/>
                <w:szCs w:val="20"/>
                <w:vertAlign w:val="superscript"/>
                <w14:ligatures w14:val="none"/>
              </w:rPr>
              <w:t>-10</w:t>
            </w:r>
            <w:r>
              <w:rPr>
                <w:rFonts w:eastAsia="Times New Roman" w:cs="Times New Roman"/>
                <w:color w:val="000000" w:themeColor="text1"/>
                <w:kern w:val="0"/>
                <w:szCs w:val="20"/>
                <w14:ligatures w14:val="none"/>
              </w:rPr>
              <w:t>, 10</w:t>
            </w:r>
            <w:r>
              <w:rPr>
                <w:rFonts w:eastAsia="Times New Roman" w:cs="Times New Roman"/>
                <w:color w:val="000000" w:themeColor="text1"/>
                <w:kern w:val="0"/>
                <w:szCs w:val="20"/>
                <w:vertAlign w:val="superscript"/>
                <w14:ligatures w14:val="none"/>
              </w:rPr>
              <w:t>-5</w:t>
            </w:r>
            <w:r>
              <w:rPr>
                <w:rFonts w:eastAsia="Times New Roman" w:cs="Times New Roman"/>
                <w:color w:val="000000" w:themeColor="text1"/>
                <w:kern w:val="0"/>
                <w:szCs w:val="20"/>
                <w14:ligatures w14:val="none"/>
              </w:rPr>
              <w:t>]</w:t>
            </w:r>
          </w:p>
        </w:tc>
        <w:tc>
          <w:tcPr>
            <w:tcW w:w="3611" w:type="dxa"/>
          </w:tcPr>
          <w:p w14:paraId="05750353"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837" w:type="dxa"/>
          </w:tcPr>
          <w:p w14:paraId="2566083D" w14:textId="56A88C4E"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6FF7">
              <w:rPr>
                <w:rFonts w:eastAsia="Times New Roman" w:cs="Times New Roman"/>
                <w:color w:val="000000" w:themeColor="text1"/>
                <w:kern w:val="0"/>
                <w:szCs w:val="20"/>
                <w14:ligatures w14:val="none"/>
              </w:rPr>
              <w:instrText xml:space="preserve"> ADDIN ZOTERO_ITEM CSL_CITATION {"citationID":"spVCCqJ8","properties":{"formattedCitation":"[15]","plainCitation":"[15]","noteIndex":0},"citationItems":[{"id":187,"uris":["http://zotero.org/users/9663344/items/HYSVKZR9"],"itemData":{"id":187,"type":"article-journal","abstract":"Background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6FF7">
              <w:rPr>
                <w:rFonts w:eastAsia="Times New Roman" w:cs="Times New Roman"/>
                <w:noProof/>
                <w:color w:val="000000" w:themeColor="text1"/>
                <w:kern w:val="0"/>
                <w:szCs w:val="20"/>
                <w14:ligatures w14:val="none"/>
              </w:rPr>
              <w:t>[15]</w:t>
            </w:r>
            <w:r>
              <w:rPr>
                <w:rFonts w:eastAsia="Times New Roman" w:cs="Times New Roman"/>
                <w:color w:val="000000" w:themeColor="text1"/>
                <w:kern w:val="0"/>
                <w:szCs w:val="20"/>
                <w14:ligatures w14:val="none"/>
              </w:rPr>
              <w:fldChar w:fldCharType="end"/>
            </w:r>
          </w:p>
        </w:tc>
      </w:tr>
      <w:tr w:rsidR="002F1936" w14:paraId="08881587" w14:textId="77777777" w:rsidTr="00D803EF">
        <w:tc>
          <w:tcPr>
            <w:tcW w:w="771" w:type="dxa"/>
          </w:tcPr>
          <w:p w14:paraId="5A41B388" w14:textId="77777777" w:rsidR="002F1936" w:rsidRDefault="00000000" w:rsidP="00995F30">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t</m:t>
                    </m:r>
                  </m:sub>
                </m:sSub>
              </m:oMath>
            </m:oMathPara>
          </w:p>
        </w:tc>
        <w:tc>
          <w:tcPr>
            <w:tcW w:w="4269" w:type="dxa"/>
          </w:tcPr>
          <w:p w14:paraId="259144B8"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tetracycline resistance upon taking doxy-PEP for syphilis after gonorrhoea infection</w:t>
            </w:r>
          </w:p>
        </w:tc>
        <w:tc>
          <w:tcPr>
            <w:tcW w:w="3150" w:type="dxa"/>
          </w:tcPr>
          <w:p w14:paraId="5106184A"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[0.001, 1000]</w:t>
            </w:r>
          </w:p>
        </w:tc>
        <w:tc>
          <w:tcPr>
            <w:tcW w:w="1320" w:type="dxa"/>
          </w:tcPr>
          <w:p w14:paraId="76714D69" w14:textId="65754BDE" w:rsidR="002F1936" w:rsidRPr="00D803EF" w:rsidRDefault="00D803EF"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[10</w:t>
            </w:r>
            <w:r>
              <w:rPr>
                <w:rFonts w:eastAsia="Times New Roman" w:cs="Times New Roman"/>
                <w:color w:val="000000" w:themeColor="text1"/>
                <w:kern w:val="0"/>
                <w:szCs w:val="20"/>
                <w:vertAlign w:val="superscript"/>
                <w14:ligatures w14:val="none"/>
              </w:rPr>
              <w:t>-6</w:t>
            </w:r>
            <w:r>
              <w:rPr>
                <w:rFonts w:eastAsia="Times New Roman" w:cs="Times New Roman"/>
                <w:color w:val="000000" w:themeColor="text1"/>
                <w:kern w:val="0"/>
                <w:szCs w:val="20"/>
                <w14:ligatures w14:val="none"/>
              </w:rPr>
              <w:t>, 10</w:t>
            </w:r>
            <w:r>
              <w:rPr>
                <w:rFonts w:eastAsia="Times New Roman" w:cs="Times New Roman"/>
                <w:color w:val="000000" w:themeColor="text1"/>
                <w:kern w:val="0"/>
                <w:szCs w:val="20"/>
                <w:vertAlign w:val="superscript"/>
                <w14:ligatures w14:val="none"/>
              </w:rPr>
              <w:t>-2</w:t>
            </w:r>
            <w:r>
              <w:rPr>
                <w:rFonts w:eastAsia="Times New Roman" w:cs="Times New Roman"/>
                <w:color w:val="000000" w:themeColor="text1"/>
                <w:kern w:val="0"/>
                <w:szCs w:val="20"/>
                <w14:ligatures w14:val="none"/>
              </w:rPr>
              <w:t>]</w:t>
            </w:r>
          </w:p>
        </w:tc>
        <w:tc>
          <w:tcPr>
            <w:tcW w:w="3611" w:type="dxa"/>
          </w:tcPr>
          <w:p w14:paraId="17F39FA3"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837" w:type="dxa"/>
          </w:tcPr>
          <w:p w14:paraId="71DEB9BA" w14:textId="3B4B9CF3"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6FF7">
              <w:rPr>
                <w:rFonts w:eastAsia="Times New Roman" w:cs="Times New Roman"/>
                <w:color w:val="000000" w:themeColor="text1"/>
                <w:kern w:val="0"/>
                <w:szCs w:val="20"/>
                <w14:ligatures w14:val="none"/>
              </w:rPr>
              <w:instrText xml:space="preserve"> ADDIN ZOTERO_ITEM CSL_CITATION {"citationID":"ZT9FOlgN","properties":{"formattedCitation":"[15]","plainCitation":"[15]","noteIndex":0},"citationItems":[{"id":187,"uris":["http://zotero.org/users/9663344/items/HYSVKZR9"],"itemData":{"id":187,"type":"article-journal","abstract":"Background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Microbe","DOI":"10.1016/s2666-5247(24)00168-x","ISSN":"2666-5247","issue":"11","language":"en","license":"https://www.elsevier.com/tdm/userlicense/1.0/","page":"100926","publisher":"Elsevier BV","source":"Crossref","title":"Effects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6FF7">
              <w:rPr>
                <w:rFonts w:eastAsia="Times New Roman" w:cs="Times New Roman"/>
                <w:noProof/>
                <w:color w:val="000000" w:themeColor="text1"/>
                <w:kern w:val="0"/>
                <w:szCs w:val="20"/>
                <w14:ligatures w14:val="none"/>
              </w:rPr>
              <w:t>[15]</w:t>
            </w:r>
            <w:r>
              <w:rPr>
                <w:rFonts w:eastAsia="Times New Roman" w:cs="Times New Roman"/>
                <w:color w:val="000000" w:themeColor="text1"/>
                <w:kern w:val="0"/>
                <w:szCs w:val="20"/>
                <w14:ligatures w14:val="none"/>
              </w:rPr>
              <w:fldChar w:fldCharType="end"/>
            </w:r>
          </w:p>
        </w:tc>
      </w:tr>
      <w:tr w:rsidR="002F1936" w14:paraId="71CC0CBD" w14:textId="77777777" w:rsidTr="00D803EF">
        <w:tc>
          <w:tcPr>
            <w:tcW w:w="771" w:type="dxa"/>
          </w:tcPr>
          <w:p w14:paraId="67AE8062" w14:textId="77777777" w:rsidR="002F1936" w:rsidRPr="003C154F" w:rsidRDefault="00000000" w:rsidP="00995F30">
            <w:pPr>
              <w:spacing w:before="100" w:beforeAutospacing="1" w:after="100" w:afterAutospacing="1" w:line="276" w:lineRule="auto"/>
              <w:rPr>
                <w:rFonts w:ascii="Aptos" w:eastAsia="DengXian" w:hAnsi="Aptos" w:cs="Times New Roman"/>
                <w:i/>
                <w:color w:val="000000" w:themeColor="text1"/>
                <w:kern w:val="0"/>
                <w:szCs w:val="20"/>
                <w14:ligatures w14:val="none"/>
              </w:rPr>
            </w:pPr>
            <m:oMathPara>
              <m:oMath>
                <m:sSub>
                  <m:sSubPr>
                    <m:ctrlPr>
                      <w:rPr>
                        <w:rFonts w:ascii="Cambria Math" w:hAnsi="Cambria Math" w:cs="Times New Roman"/>
                        <w:i/>
                        <w:color w:val="0D0D0D"/>
                        <w:szCs w:val="20"/>
                        <w:shd w:val="clear" w:color="auto" w:fill="FFFFFF"/>
                        <w:lang w:val="en-US"/>
                      </w:rPr>
                    </m:ctrlPr>
                  </m:sSubPr>
                  <m:e>
                    <m:r>
                      <w:rPr>
                        <w:rFonts w:ascii="Cambria Math" w:hAnsi="Cambria Math" w:cs="Times New Roman"/>
                        <w:color w:val="0D0D0D"/>
                        <w:szCs w:val="20"/>
                        <w:shd w:val="clear" w:color="auto" w:fill="FFFFFF"/>
                        <w:lang w:val="en-US"/>
                      </w:rPr>
                      <m:t>κ</m:t>
                    </m:r>
                  </m:e>
                  <m:sub>
                    <m:r>
                      <w:rPr>
                        <w:rFonts w:ascii="Cambria Math" w:hAnsi="Cambria Math" w:cs="Times New Roman"/>
                        <w:color w:val="0D0D0D"/>
                        <w:szCs w:val="20"/>
                        <w:shd w:val="clear" w:color="auto" w:fill="FFFFFF"/>
                        <w:lang w:val="en-US"/>
                      </w:rPr>
                      <m:t>T</m:t>
                    </m:r>
                  </m:sub>
                </m:sSub>
              </m:oMath>
            </m:oMathPara>
          </w:p>
        </w:tc>
        <w:tc>
          <w:tcPr>
            <w:tcW w:w="4269" w:type="dxa"/>
          </w:tcPr>
          <w:p w14:paraId="2C800D1D"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Shape parameter of GUMCAD dataset </w:t>
            </w:r>
          </w:p>
        </w:tc>
        <w:tc>
          <w:tcPr>
            <w:tcW w:w="3150" w:type="dxa"/>
          </w:tcPr>
          <w:p w14:paraId="4783DF63"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U[0,1]</w:t>
            </w:r>
          </w:p>
        </w:tc>
        <w:tc>
          <w:tcPr>
            <w:tcW w:w="1320" w:type="dxa"/>
          </w:tcPr>
          <w:p w14:paraId="51B0D886" w14:textId="357B9F3B" w:rsidR="002F1936" w:rsidRDefault="00D803EF"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[0.05, 1]</w:t>
            </w:r>
          </w:p>
        </w:tc>
        <w:tc>
          <w:tcPr>
            <w:tcW w:w="3611" w:type="dxa"/>
          </w:tcPr>
          <w:p w14:paraId="4761FFB6"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837" w:type="dxa"/>
          </w:tcPr>
          <w:p w14:paraId="291DA83E" w14:textId="783FEC8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2F1936" w14:paraId="13990896" w14:textId="77777777" w:rsidTr="00D803EF">
        <w:tc>
          <w:tcPr>
            <w:tcW w:w="771" w:type="dxa"/>
          </w:tcPr>
          <w:p w14:paraId="3C11B408" w14:textId="77777777" w:rsidR="002F1936" w:rsidRPr="003C154F" w:rsidRDefault="00000000" w:rsidP="00995F30">
            <w:pPr>
              <w:spacing w:before="100" w:beforeAutospacing="1" w:after="100" w:afterAutospacing="1" w:line="276" w:lineRule="auto"/>
              <w:rPr>
                <w:rFonts w:ascii="Aptos" w:eastAsia="DengXian" w:hAnsi="Aptos" w:cs="Times New Roman"/>
                <w:i/>
                <w:color w:val="0D0D0D"/>
                <w:szCs w:val="20"/>
                <w:shd w:val="clear" w:color="auto" w:fill="FFFFFF"/>
                <w:lang w:val="en-US"/>
              </w:rPr>
            </w:pPr>
            <m:oMathPara>
              <m:oMath>
                <m:sSub>
                  <m:sSubPr>
                    <m:ctrlPr>
                      <w:rPr>
                        <w:rFonts w:ascii="Cambria Math" w:hAnsi="Cambria Math" w:cs="Times New Roman"/>
                        <w:i/>
                        <w:color w:val="0D0D0D"/>
                        <w:szCs w:val="20"/>
                        <w:shd w:val="clear" w:color="auto" w:fill="FFFFFF"/>
                        <w:lang w:val="en-US"/>
                      </w:rPr>
                    </m:ctrlPr>
                  </m:sSubPr>
                  <m:e>
                    <m:r>
                      <w:rPr>
                        <w:rFonts w:ascii="Cambria Math" w:hAnsi="Cambria Math" w:cs="Times New Roman"/>
                        <w:color w:val="0D0D0D"/>
                        <w:szCs w:val="20"/>
                        <w:shd w:val="clear" w:color="auto" w:fill="FFFFFF"/>
                        <w:lang w:val="en-US"/>
                      </w:rPr>
                      <m:t>κ</m:t>
                    </m:r>
                  </m:e>
                  <m:sub>
                    <m:r>
                      <w:rPr>
                        <w:rFonts w:ascii="Cambria Math" w:hAnsi="Cambria Math" w:cs="Times New Roman"/>
                        <w:color w:val="0D0D0D"/>
                        <w:szCs w:val="20"/>
                        <w:shd w:val="clear" w:color="auto" w:fill="FFFFFF"/>
                        <w:lang w:val="en-US"/>
                      </w:rPr>
                      <m:t>S</m:t>
                    </m:r>
                  </m:sub>
                </m:sSub>
              </m:oMath>
            </m:oMathPara>
          </w:p>
        </w:tc>
        <w:tc>
          <w:tcPr>
            <w:tcW w:w="4269" w:type="dxa"/>
          </w:tcPr>
          <w:p w14:paraId="0E347D09" w14:textId="77777777" w:rsidR="002F1936" w:rsidRDefault="002F1936" w:rsidP="00995F30">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Shape parameter of GRASP dataset</w:t>
            </w:r>
          </w:p>
        </w:tc>
        <w:tc>
          <w:tcPr>
            <w:tcW w:w="3150" w:type="dxa"/>
          </w:tcPr>
          <w:p w14:paraId="0EAD8BDA"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U[0,1]</w:t>
            </w:r>
          </w:p>
        </w:tc>
        <w:tc>
          <w:tcPr>
            <w:tcW w:w="1320" w:type="dxa"/>
          </w:tcPr>
          <w:p w14:paraId="3729B20E" w14:textId="148558B4" w:rsidR="002F1936" w:rsidRDefault="00D803EF"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[0.05, 1]</w:t>
            </w:r>
          </w:p>
        </w:tc>
        <w:tc>
          <w:tcPr>
            <w:tcW w:w="3611" w:type="dxa"/>
          </w:tcPr>
          <w:p w14:paraId="155EEDFD" w14:textId="77777777"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p>
        </w:tc>
        <w:tc>
          <w:tcPr>
            <w:tcW w:w="837" w:type="dxa"/>
          </w:tcPr>
          <w:p w14:paraId="32DAEBE9" w14:textId="159BCEF3" w:rsidR="002F1936" w:rsidRDefault="002F1936" w:rsidP="00995F30">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bl>
    <w:p w14:paraId="3058A82B" w14:textId="78BF278A" w:rsidR="002F1936" w:rsidRDefault="002F1936" w:rsidP="009701A4">
      <w:pPr>
        <w:pStyle w:val="NormalWeb"/>
        <w:spacing w:line="276" w:lineRule="auto"/>
        <w:jc w:val="both"/>
        <w:rPr>
          <w:sz w:val="20"/>
          <w:szCs w:val="20"/>
        </w:rPr>
        <w:sectPr w:rsidR="002F1936" w:rsidSect="00263500">
          <w:pgSz w:w="16838" w:h="11906" w:orient="landscape"/>
          <w:pgMar w:top="1440" w:right="1440" w:bottom="1440" w:left="1440" w:header="708" w:footer="708" w:gutter="0"/>
          <w:cols w:space="708"/>
          <w:docGrid w:linePitch="360"/>
        </w:sectPr>
      </w:pPr>
    </w:p>
    <w:p w14:paraId="2499838E" w14:textId="77777777" w:rsidR="007864C5" w:rsidRDefault="007864C5" w:rsidP="009701A4">
      <w:pPr>
        <w:pStyle w:val="NormalWeb"/>
        <w:spacing w:line="276" w:lineRule="auto"/>
        <w:jc w:val="both"/>
        <w:rPr>
          <w:sz w:val="20"/>
          <w:szCs w:val="20"/>
        </w:rPr>
      </w:pPr>
    </w:p>
    <w:p w14:paraId="7C5425F1" w14:textId="43ACF5E0" w:rsidR="00276DCE" w:rsidRPr="00276DCE" w:rsidRDefault="00316933" w:rsidP="00276DCE">
      <w:pPr>
        <w:pStyle w:val="NormalWeb"/>
        <w:spacing w:line="276" w:lineRule="auto"/>
        <w:jc w:val="both"/>
        <w:rPr>
          <w:sz w:val="20"/>
          <w:szCs w:val="20"/>
        </w:rPr>
      </w:pPr>
      <w:r>
        <w:rPr>
          <w:noProof/>
          <w:sz w:val="20"/>
          <w:szCs w:val="20"/>
          <w14:ligatures w14:val="standardContextual"/>
        </w:rPr>
        <w:drawing>
          <wp:inline distT="0" distB="0" distL="0" distR="0" wp14:anchorId="5D6162EC" wp14:editId="23E256CB">
            <wp:extent cx="8863330" cy="3553460"/>
            <wp:effectExtent l="0" t="0" r="1270" b="0"/>
            <wp:docPr id="23093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799" name="Picture 23093799"/>
                    <pic:cNvPicPr/>
                  </pic:nvPicPr>
                  <pic:blipFill>
                    <a:blip r:embed="rId12"/>
                    <a:stretch>
                      <a:fillRect/>
                    </a:stretch>
                  </pic:blipFill>
                  <pic:spPr>
                    <a:xfrm>
                      <a:off x="0" y="0"/>
                      <a:ext cx="8863330" cy="3553460"/>
                    </a:xfrm>
                    <a:prstGeom prst="rect">
                      <a:avLst/>
                    </a:prstGeom>
                  </pic:spPr>
                </pic:pic>
              </a:graphicData>
            </a:graphic>
          </wp:inline>
        </w:drawing>
      </w:r>
    </w:p>
    <w:p w14:paraId="1FFF3A91" w14:textId="64B60D8A" w:rsidR="00276DCE" w:rsidRDefault="00276DCE" w:rsidP="00276DCE">
      <w:pPr>
        <w:spacing w:before="100" w:beforeAutospacing="1" w:after="100" w:afterAutospacing="1" w:line="276" w:lineRule="auto"/>
        <w:jc w:val="both"/>
        <w:rPr>
          <w:rFonts w:ascii="Times New Roman" w:hAnsi="Times New Roman" w:cs="Times New Roman"/>
          <w:color w:val="000000" w:themeColor="text1"/>
          <w:sz w:val="20"/>
          <w:szCs w:val="20"/>
        </w:rPr>
      </w:pPr>
      <w:r w:rsidRPr="00276DCE">
        <w:rPr>
          <w:rFonts w:ascii="Times New Roman" w:hAnsi="Times New Roman" w:cs="Times New Roman"/>
          <w:color w:val="000000" w:themeColor="text1"/>
          <w:sz w:val="20"/>
          <w:szCs w:val="20"/>
        </w:rPr>
        <w:t xml:space="preserve">Fig. </w:t>
      </w:r>
      <w:r w:rsidR="009701A4">
        <w:rPr>
          <w:rFonts w:ascii="Times New Roman" w:hAnsi="Times New Roman" w:cs="Times New Roman"/>
          <w:color w:val="000000" w:themeColor="text1"/>
          <w:sz w:val="20"/>
          <w:szCs w:val="20"/>
        </w:rPr>
        <w:t>2</w:t>
      </w:r>
      <w:r w:rsidRPr="00276DCE">
        <w:rPr>
          <w:rFonts w:ascii="Times New Roman" w:hAnsi="Times New Roman" w:cs="Times New Roman"/>
          <w:color w:val="000000" w:themeColor="text1"/>
          <w:sz w:val="20"/>
          <w:szCs w:val="20"/>
        </w:rPr>
        <w:t xml:space="preserve">: Model architecture of gonorrhoea AMR emergence under doxy-PEP for syphilis and 4CMenB for gonorrhoea. The model stratifies MSM population into low-activity (orange) and high-activity (red) groups, which share the same compartmental structure but differ in transition rates. For clarity, only transitions in and out of the high-activity group (upper layer) are shown. The model further divides MSM population into four strata </w:t>
      </w:r>
      <m:oMath>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based on their uptake status of doxy-PEP and 4CMenB, </w:t>
      </w:r>
      <w:r w:rsidRPr="00276DCE">
        <w:rPr>
          <w:rFonts w:ascii="Times New Roman" w:hAnsi="Times New Roman" w:cs="Times New Roman"/>
          <w:sz w:val="20"/>
          <w:szCs w:val="20"/>
        </w:rPr>
        <w:t>representing individuals who take neither intervention, doxy-PEP only, 4CMenB only, or both, respectively</w:t>
      </w:r>
      <w:r w:rsidRPr="00276DCE">
        <w:rPr>
          <w:rFonts w:ascii="Times New Roman" w:hAnsi="Times New Roman" w:cs="Times New Roman"/>
          <w:color w:val="000000" w:themeColor="text1"/>
          <w:sz w:val="20"/>
          <w:szCs w:val="20"/>
        </w:rPr>
        <w:t>. Individuals enter the sexually active population as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in stratum </w:t>
      </w:r>
      <m:oMath>
        <m:r>
          <w:rPr>
            <w:rFonts w:ascii="Cambria Math" w:hAnsi="Cambria Math" w:cs="Times New Roman"/>
            <w:color w:val="000000" w:themeColor="text1"/>
            <w:sz w:val="20"/>
            <w:szCs w:val="20"/>
            <w:lang w:val="en-US"/>
          </w:rPr>
          <m:t>N</m:t>
        </m:r>
      </m:oMath>
      <w:r w:rsidRPr="00276DCE">
        <w:rPr>
          <w:rFonts w:ascii="Times New Roman" w:hAnsi="Times New Roman" w:cs="Times New Roman"/>
          <w:color w:val="000000" w:themeColor="text1"/>
          <w:sz w:val="20"/>
          <w:szCs w:val="20"/>
          <w:lang w:val="en-US"/>
        </w:rPr>
        <w:t xml:space="preserve"> and </w:t>
      </w:r>
      <w:r w:rsidRPr="00276DCE">
        <w:rPr>
          <w:rFonts w:ascii="Times New Roman" w:hAnsi="Times New Roman" w:cs="Times New Roman"/>
          <w:color w:val="000000" w:themeColor="text1"/>
          <w:sz w:val="20"/>
          <w:szCs w:val="20"/>
        </w:rPr>
        <w:t>may exit the sexually active population due to aging at any stage</w:t>
      </w:r>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Infections progress from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to exposed (</w:t>
      </w:r>
      <m:oMath>
        <m:r>
          <w:rPr>
            <w:rFonts w:ascii="Cambria Math" w:hAnsi="Cambria Math" w:cs="Times New Roman"/>
            <w:color w:val="000000" w:themeColor="text1"/>
            <w:sz w:val="20"/>
            <w:szCs w:val="20"/>
          </w:rPr>
          <m:t>E</m:t>
        </m:r>
      </m:oMath>
      <w:r w:rsidRPr="00276DCE">
        <w:rPr>
          <w:rFonts w:ascii="Times New Roman" w:hAnsi="Times New Roman" w:cs="Times New Roman"/>
          <w:color w:val="000000" w:themeColor="text1"/>
          <w:sz w:val="20"/>
          <w:szCs w:val="20"/>
        </w:rPr>
        <w:t>), then to asymptomatic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or symptomatic (</w:t>
      </w:r>
      <m:oMath>
        <m:r>
          <w:rPr>
            <w:rFonts w:ascii="Cambria Math" w:hAnsi="Cambria Math" w:cs="Times New Roman"/>
            <w:color w:val="000000" w:themeColor="text1"/>
            <w:sz w:val="20"/>
            <w:szCs w:val="20"/>
          </w:rPr>
          <m:t>S</m:t>
        </m:r>
      </m:oMath>
      <w:r w:rsidRPr="00276DCE">
        <w:rPr>
          <w:rFonts w:ascii="Times New Roman" w:hAnsi="Times New Roman" w:cs="Times New Roman"/>
          <w:color w:val="000000" w:themeColor="text1"/>
          <w:sz w:val="20"/>
          <w:szCs w:val="20"/>
        </w:rPr>
        <w:t>), following with treatment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and possible natural recovery from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xml:space="preserve"> to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w:t>
      </w:r>
      <w:r w:rsidRPr="00276DCE">
        <w:rPr>
          <w:rFonts w:ascii="Times New Roman" w:hAnsi="Times New Roman" w:cs="Times New Roman"/>
          <w:color w:val="000000" w:themeColor="text1"/>
          <w:sz w:val="20"/>
          <w:szCs w:val="20"/>
          <w:lang w:val="en-US"/>
        </w:rPr>
        <w:t xml:space="preserve">For each stratum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infections are further stratified by resistance profiles. Within each stratum (refer to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four gonorrhoea strains are considered (denoted by superscript): </w:t>
      </w:r>
      <m:oMath>
        <m:r>
          <w:rPr>
            <w:rFonts w:ascii="Cambria Math" w:hAnsi="Cambria Math" w:cs="Times New Roman"/>
            <w:color w:val="000000" w:themeColor="text1"/>
            <w:sz w:val="20"/>
            <w:szCs w:val="20"/>
          </w:rPr>
          <m:t>0=</m:t>
        </m:r>
      </m:oMath>
      <w:r w:rsidRPr="00276DCE">
        <w:rPr>
          <w:rFonts w:ascii="Times New Roman" w:hAnsi="Times New Roman" w:cs="Times New Roman"/>
          <w:color w:val="000000" w:themeColor="text1"/>
          <w:sz w:val="20"/>
          <w:szCs w:val="20"/>
        </w:rPr>
        <w:t xml:space="preserve"> susceptible, </w:t>
      </w:r>
      <m:oMath>
        <m:r>
          <w:rPr>
            <w:rFonts w:ascii="Cambria Math" w:hAnsi="Cambria Math" w:cs="Times New Roman"/>
            <w:color w:val="000000" w:themeColor="text1"/>
            <w:sz w:val="20"/>
            <w:szCs w:val="20"/>
          </w:rPr>
          <m:t>c=</m:t>
        </m:r>
      </m:oMath>
      <w:r w:rsidRPr="00276DCE">
        <w:rPr>
          <w:rFonts w:ascii="Times New Roman" w:hAnsi="Times New Roman" w:cs="Times New Roman"/>
          <w:color w:val="000000" w:themeColor="text1"/>
          <w:sz w:val="20"/>
          <w:szCs w:val="20"/>
        </w:rPr>
        <w:t xml:space="preserve"> ceftriaxone resistant,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tetracycline resistant, and </w:t>
      </w:r>
      <m:oMath>
        <m:r>
          <w:rPr>
            <w:rFonts w:ascii="Cambria Math" w:hAnsi="Cambria Math" w:cs="Times New Roman"/>
            <w:color w:val="000000" w:themeColor="text1"/>
            <w:sz w:val="20"/>
            <w:szCs w:val="20"/>
          </w:rPr>
          <m:t>d2=</m:t>
        </m:r>
      </m:oMath>
      <w:r w:rsidRPr="00276DCE">
        <w:rPr>
          <w:rFonts w:ascii="Times New Roman" w:hAnsi="Times New Roman" w:cs="Times New Roman"/>
          <w:color w:val="000000" w:themeColor="text1"/>
          <w:sz w:val="20"/>
          <w:szCs w:val="20"/>
        </w:rPr>
        <w:t xml:space="preserve"> dual resistant. Ceftriaxone is assumed to be the sole first-line therapy, with probabilities of resistance emergence upon treatment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Doxy-PEP and 4CMenB together reduce the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(yellow arrows in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4CMenB alone reduces the effective force of infection for</w:t>
      </w:r>
      <w:r w:rsidRPr="00276DCE">
        <w:rPr>
          <w:rFonts w:ascii="Times New Roman" w:hAnsi="Times New Roman" w:cs="Times New Roman"/>
          <w:i/>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(blue arrows in strata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Doxy-PEP alone reduces the effective force of infection for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(green arrows in stratum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Without doxy-PEP, or with doxy-PEP only, the absolute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remains unchanged (black arrows in strata </w:t>
      </w:r>
      <m:oMath>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Additionally, doxy-PEP introduces a nonzero probability of </w:t>
      </w:r>
      <w:r w:rsidRPr="00276DCE">
        <w:rPr>
          <w:rFonts w:ascii="Times New Roman" w:hAnsi="Times New Roman" w:cs="Times New Roman"/>
          <w:i/>
          <w:iCs/>
          <w:color w:val="000000" w:themeColor="text1"/>
          <w:sz w:val="20"/>
          <w:szCs w:val="20"/>
        </w:rPr>
        <w:t>de novo</w:t>
      </w:r>
      <w:r w:rsidRPr="00276DCE">
        <w:rPr>
          <w:rFonts w:ascii="Times New Roman" w:hAnsi="Times New Roman" w:cs="Times New Roman"/>
          <w:color w:val="000000" w:themeColor="text1"/>
          <w:sz w:val="20"/>
          <w:szCs w:val="20"/>
        </w:rPr>
        <w:t xml:space="preserve"> resistance emergence (dotted red arrows in strata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Based on the uptake status of doxy-PEP and 4CMenB, between-stratum transitions occur as follows: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doxy-PEP (pink arrows);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4CMenB (dark green arrows);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upon discontinuation of doxy-PEP (dark blue arrows); and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upon waning of 4CMenB (dark orange arrows). For simplicity, uptake of doxy-PEP and 4CMenB occur only at the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state.</w:t>
      </w:r>
    </w:p>
    <w:p w14:paraId="6AF8F1F8" w14:textId="77777777" w:rsidR="004F3D14"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pPr>
    </w:p>
    <w:p w14:paraId="34173FC7" w14:textId="77777777" w:rsidR="004F3D14" w:rsidRPr="00276DCE"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sectPr w:rsidR="004F3D14" w:rsidRPr="00276DCE" w:rsidSect="00276DCE">
          <w:pgSz w:w="16838" w:h="11906" w:orient="landscape"/>
          <w:pgMar w:top="1440" w:right="1440" w:bottom="1440" w:left="1440" w:header="708" w:footer="708" w:gutter="0"/>
          <w:cols w:space="708"/>
          <w:docGrid w:linePitch="360"/>
        </w:sectPr>
      </w:pPr>
    </w:p>
    <w:p w14:paraId="1CC09B59" w14:textId="1655666E" w:rsidR="004F3D14"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lastRenderedPageBreak/>
        <w:t xml:space="preserve">Table 2: </w:t>
      </w:r>
      <w:r w:rsidR="008576F9">
        <w:rPr>
          <w:rFonts w:ascii="Times New Roman" w:eastAsia="Times New Roman" w:hAnsi="Times New Roman" w:cs="Times New Roman"/>
          <w:color w:val="000000" w:themeColor="text1"/>
          <w:kern w:val="0"/>
          <w:sz w:val="20"/>
          <w:szCs w:val="20"/>
          <w14:ligatures w14:val="none"/>
        </w:rPr>
        <w:t>Model parameters.</w:t>
      </w:r>
    </w:p>
    <w:tbl>
      <w:tblPr>
        <w:tblStyle w:val="TableGrid"/>
        <w:tblW w:w="0" w:type="auto"/>
        <w:tblLayout w:type="fixed"/>
        <w:tblLook w:val="04A0" w:firstRow="1" w:lastRow="0" w:firstColumn="1" w:lastColumn="0" w:noHBand="0" w:noVBand="1"/>
      </w:tblPr>
      <w:tblGrid>
        <w:gridCol w:w="360"/>
        <w:gridCol w:w="6300"/>
        <w:gridCol w:w="1350"/>
        <w:gridCol w:w="1016"/>
      </w:tblGrid>
      <w:tr w:rsidR="00804703" w14:paraId="54AB8378" w14:textId="61E0946F" w:rsidTr="00FB7950">
        <w:tc>
          <w:tcPr>
            <w:tcW w:w="360" w:type="dxa"/>
            <w:tcBorders>
              <w:top w:val="single" w:sz="4" w:space="0" w:color="auto"/>
              <w:bottom w:val="single" w:sz="4" w:space="0" w:color="auto"/>
            </w:tcBorders>
          </w:tcPr>
          <w:p w14:paraId="7BDE15F9" w14:textId="31174748" w:rsidR="0090359A" w:rsidRDefault="0090359A"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300" w:type="dxa"/>
            <w:tcBorders>
              <w:top w:val="single" w:sz="4" w:space="0" w:color="auto"/>
              <w:bottom w:val="single" w:sz="4" w:space="0" w:color="auto"/>
            </w:tcBorders>
          </w:tcPr>
          <w:p w14:paraId="11FDE79F" w14:textId="77777777" w:rsidR="0090359A" w:rsidRDefault="0090359A" w:rsidP="00166618">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1350" w:type="dxa"/>
            <w:tcBorders>
              <w:top w:val="single" w:sz="4" w:space="0" w:color="auto"/>
              <w:bottom w:val="single" w:sz="4" w:space="0" w:color="auto"/>
            </w:tcBorders>
          </w:tcPr>
          <w:p w14:paraId="52B5383E" w14:textId="0267F846" w:rsidR="0090359A" w:rsidRDefault="0090359A"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1016" w:type="dxa"/>
            <w:tcBorders>
              <w:top w:val="single" w:sz="4" w:space="0" w:color="auto"/>
              <w:bottom w:val="single" w:sz="4" w:space="0" w:color="auto"/>
            </w:tcBorders>
          </w:tcPr>
          <w:p w14:paraId="7FAB5165" w14:textId="66703C65" w:rsidR="0090359A" w:rsidRDefault="0090359A" w:rsidP="00166618">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804703" w14:paraId="49F709FF" w14:textId="3D415617" w:rsidTr="00FB7950">
        <w:tc>
          <w:tcPr>
            <w:tcW w:w="360" w:type="dxa"/>
          </w:tcPr>
          <w:p w14:paraId="5F2F52CC" w14:textId="3CFA2D9E"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d</m:t>
                    </m:r>
                  </m:sub>
                </m:sSub>
              </m:oMath>
            </m:oMathPara>
          </w:p>
        </w:tc>
        <w:tc>
          <w:tcPr>
            <w:tcW w:w="6300" w:type="dxa"/>
          </w:tcPr>
          <w:p w14:paraId="35885379" w14:textId="7181D9B1"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Doxy-PEP efficacy against gonorrhoea infection</w:t>
            </w:r>
          </w:p>
        </w:tc>
        <w:tc>
          <w:tcPr>
            <w:tcW w:w="1350" w:type="dxa"/>
          </w:tcPr>
          <w:p w14:paraId="22B150B8" w14:textId="013CE13B"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22%</w:t>
            </w:r>
          </w:p>
        </w:tc>
        <w:tc>
          <w:tcPr>
            <w:tcW w:w="1016" w:type="dxa"/>
          </w:tcPr>
          <w:p w14:paraId="0E908268" w14:textId="4F27D0B7"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770A">
              <w:rPr>
                <w:rFonts w:eastAsia="Times New Roman" w:cs="Times New Roman"/>
                <w:color w:val="000000" w:themeColor="text1"/>
                <w:kern w:val="0"/>
                <w:szCs w:val="20"/>
                <w14:ligatures w14:val="none"/>
              </w:rPr>
              <w:instrText xml:space="preserve"> ADDIN ZOTERO_ITEM CSL_CITATION {"citationID":"704TjXv2","properties":{"formattedCitation":"[25]","plainCitation":"[25]","noteIndex":0},"citationItems":[{"id":57,"uris":["http://zotero.org/users/9663344/items/ZTD6HKJR"],"itemData":{"id":57,"type":"article-journal","abstract":"Background Increased rates of sexually transmitted infections (STIs) are reported among men who have sex with men (MSM) and new interventions are needed. We aimed to assess whether post-exposure prophylaxis (PEP) with doxycycline could reduce the incidence of chlamydia or syphilis (or both) and whether the meningococcal group B vaccine (4CMenB) could reduce the incidence of gonorrhoea in this population.","container-title":"The Lancet Infectious Diseases","DOI":"10.1016/S1473-3099(24)00236-6","ISSN":"14733099","issue":"10","journalAbbreviation":"The Lancet Infectious Diseases","language":"en","page":"1093-1104","source":"DOI.org (Crossref)","title":"Doxycycline prophylaxis and meningococcal group B vaccine to prevent bacterial sexually transmitted infections in France (ANRS 174 DOXYVAC): a multicentre, open-label, randomised trial with a 2 × 2 factorial design","title-short":"Doxycycline prophylaxis and meningococcal group B vaccine to prevent bacterial sexually transmitted infections in France (ANRS 174 DOXYVAC)","volume":"24","author":[{"family":"Molina","given":"Jean-Michel"},{"family":"Bercot","given":"Beatrice"},{"family":"Assoumou","given":"Lambert"},{"family":"Rubenstein","given":"Emma"},{"family":"Algarte-Genin","given":"Michele"},{"family":"Pialoux","given":"Gilles"},{"family":"Katlama","given":"Christine"},{"family":"Surgers","given":"Laure"},{"family":"Bébéar","given":"Cécile"},{"family":"Dupin","given":"Nicolas"},{"family":"Ouattara","given":"Moussa"},{"family":"Slama","given":"Laurence"},{"family":"Pavie","given":"Juliette"},{"family":"Duvivier","given":"Claudine"},{"family":"Loze","given":"Benedicte"},{"family":"Goldwirt","given":"Lauriane"},{"family":"Gibowski","given":"Severine"},{"family":"Ollivier","given":"Manon"},{"family":"Ghosn","given":"Jade"},{"family":"Costagliola","given":"Dominique"},{"family":"Aslan","given":"Alexandre"},{"family":"Pintado","given":"Claire"},{"family":"Delaugerre","given":"Constance"},{"family":"Ponscarme","given":"Diane"},{"family":"Dalle","given":"Eve"},{"family":"Chas","given":"Julie"},{"family":"Siguier","given":"Martin"},{"family":"Palich","given":"Romain"},{"family":"Valentin","given":"Marc-Antoine"},{"family":"Yazdanpanah","given":"Yazdan"},{"family":"Lacombe","given":"Karine"},{"family":"Viard","given":"Jean-Paul"},{"family":"Lourenco","given":"Jeremy"},{"family":"Rachline","given":"Anne"},{"family":"Detruchis","given":"Pierre"},{"family":"Diemer","given":"Myriam"},{"family":"Azemar","given":"Laurene"},{"family":"Landowski","given":"Stephanie"},{"family":"Ometsguine","given":"Philippe"},{"family":"Buisson","given":"Martin"},{"family":"Feliho","given":"Philip"},{"family":"Bachelard","given":"Antoine"},{"family":"Phung","given":"Bao"},{"family":"Rioux","given":"Christophe"},{"family":"Proux","given":"Caroline"},{"family":"Le Gac","given":"Sylvie"},{"family":"Schneider","given":"Luminita"},{"family":"Charmak","given":"Aziza"},{"family":"Ktorza","given":"Nadine"},{"family":"Seang","given":"Sophie"},{"family":"Orriere","given":"Thibaut"},{"family":"Sellem","given":"Baptiste"},{"family":"Palacios","given":"Christia"},{"family":"Mebarki","given":"Soraya"}],"issued":{"date-parts":[["2024",10]]}}}],"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770A">
              <w:rPr>
                <w:rFonts w:eastAsia="Times New Roman" w:cs="Times New Roman"/>
                <w:noProof/>
                <w:color w:val="000000" w:themeColor="text1"/>
                <w:kern w:val="0"/>
                <w:szCs w:val="20"/>
                <w14:ligatures w14:val="none"/>
              </w:rPr>
              <w:t>[25]</w:t>
            </w:r>
            <w:r>
              <w:rPr>
                <w:rFonts w:eastAsia="Times New Roman" w:cs="Times New Roman"/>
                <w:color w:val="000000" w:themeColor="text1"/>
                <w:kern w:val="0"/>
                <w:szCs w:val="20"/>
                <w14:ligatures w14:val="none"/>
              </w:rPr>
              <w:fldChar w:fldCharType="end"/>
            </w:r>
          </w:p>
        </w:tc>
      </w:tr>
      <w:tr w:rsidR="00804703" w14:paraId="46C6533E" w14:textId="58E77F49" w:rsidTr="00FB7950">
        <w:tc>
          <w:tcPr>
            <w:tcW w:w="360" w:type="dxa"/>
          </w:tcPr>
          <w:p w14:paraId="16E99D95" w14:textId="4BCC7CB3"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v</m:t>
                    </m:r>
                  </m:sub>
                </m:sSub>
              </m:oMath>
            </m:oMathPara>
          </w:p>
        </w:tc>
        <w:tc>
          <w:tcPr>
            <w:tcW w:w="6300" w:type="dxa"/>
          </w:tcPr>
          <w:p w14:paraId="1B4F2836" w14:textId="357A9B27"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1" w:name="_Hlk212667815"/>
            <w:r>
              <w:rPr>
                <w:rFonts w:eastAsia="Times New Roman" w:cs="Times New Roman"/>
                <w:color w:val="000000" w:themeColor="text1"/>
                <w:kern w:val="0"/>
                <w:szCs w:val="20"/>
                <w14:ligatures w14:val="none"/>
              </w:rPr>
              <w:t>4CMenB efficacy against gonorrhoea infection</w:t>
            </w:r>
            <w:bookmarkEnd w:id="1"/>
          </w:p>
        </w:tc>
        <w:tc>
          <w:tcPr>
            <w:tcW w:w="1350" w:type="dxa"/>
          </w:tcPr>
          <w:p w14:paraId="4857FA1B" w14:textId="28DD64D4"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40%</w:t>
            </w:r>
          </w:p>
        </w:tc>
        <w:tc>
          <w:tcPr>
            <w:tcW w:w="1016" w:type="dxa"/>
          </w:tcPr>
          <w:p w14:paraId="440AF381" w14:textId="29B91C23" w:rsidR="0090359A" w:rsidRDefault="008576F9"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6FF7">
              <w:rPr>
                <w:rFonts w:eastAsia="Times New Roman" w:cs="Times New Roman"/>
                <w:color w:val="000000" w:themeColor="text1"/>
                <w:kern w:val="0"/>
                <w:szCs w:val="20"/>
                <w14:ligatures w14:val="none"/>
              </w:rPr>
              <w:instrText xml:space="preserve"> ADDIN ZOTERO_ITEM CSL_CITATION {"citationID":"5t9v32uY","properties":{"formattedCitation":"[12]","plainCitation":"[12]","noteIndex":0},"citationItems":[{"id":409,"uris":["http://zotero.org/users/9663344/items/S8TLUVMP"],"itemData":{"id":409,"type":"article-journal","container-title":"The Lancet Infectious Diseases","DOI":"10.1016/S1473-3099(24)00031-8","ISSN":"1473-3099, 1474-4457","issue":"9","journalAbbreviation":"The Lancet Infectious Diseases","language":"English","page":"e576-e583","PMID":"38521080","publisher":"Elsevier","source":"www.thelancet.com","title":"Use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6FF7">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BA2AB7" w14:paraId="4BCA9D03" w14:textId="77777777" w:rsidTr="00FB7950">
        <w:tc>
          <w:tcPr>
            <w:tcW w:w="360" w:type="dxa"/>
          </w:tcPr>
          <w:p w14:paraId="505376B2" w14:textId="406A08A4" w:rsidR="00BA2AB7" w:rsidRPr="00D32E21" w:rsidRDefault="00000000" w:rsidP="00C052D4">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DengXian" w:hAnsi="Cambria Math" w:cs="Times New Roman"/>
                        <w:i/>
                        <w:iCs/>
                        <w:color w:val="000000" w:themeColor="text1"/>
                        <w:kern w:val="0"/>
                        <w:szCs w:val="20"/>
                        <w14:ligatures w14:val="none"/>
                      </w:rPr>
                    </m:ctrlPr>
                  </m:sSubPr>
                  <m:e>
                    <m:r>
                      <w:rPr>
                        <w:rFonts w:ascii="Cambria Math" w:eastAsia="DengXian" w:hAnsi="Cambria Math" w:cs="Times New Roman"/>
                        <w:color w:val="000000" w:themeColor="text1"/>
                        <w:kern w:val="0"/>
                        <w:szCs w:val="20"/>
                        <w14:ligatures w14:val="none"/>
                      </w:rPr>
                      <m:t>e</m:t>
                    </m:r>
                  </m:e>
                  <m:sub>
                    <m:r>
                      <w:rPr>
                        <w:rFonts w:ascii="Cambria Math" w:eastAsia="DengXian" w:hAnsi="Cambria Math" w:cs="Times New Roman"/>
                        <w:color w:val="000000" w:themeColor="text1"/>
                        <w:kern w:val="0"/>
                        <w:szCs w:val="20"/>
                        <w14:ligatures w14:val="none"/>
                      </w:rPr>
                      <m:t>vd</m:t>
                    </m:r>
                  </m:sub>
                </m:sSub>
              </m:oMath>
            </m:oMathPara>
          </w:p>
        </w:tc>
        <w:tc>
          <w:tcPr>
            <w:tcW w:w="6300" w:type="dxa"/>
          </w:tcPr>
          <w:p w14:paraId="2CFD7750" w14:textId="25040467" w:rsidR="00BA2AB7" w:rsidRDefault="00BA2AB7"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Combined efficacy of doxy-PEP and 4CMenB against gonorrhoea infection</w:t>
            </w:r>
          </w:p>
        </w:tc>
        <w:tc>
          <w:tcPr>
            <w:tcW w:w="1350" w:type="dxa"/>
          </w:tcPr>
          <w:p w14:paraId="12D6FA14" w14:textId="007C2C79" w:rsidR="00BA2AB7" w:rsidRDefault="00BA2AB7"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53.2%</w:t>
            </w:r>
            <w:r>
              <w:rPr>
                <w:rStyle w:val="FootnoteReference"/>
                <w:rFonts w:eastAsia="Times New Roman" w:cs="Times New Roman"/>
                <w:color w:val="000000" w:themeColor="text1"/>
                <w:kern w:val="0"/>
                <w:szCs w:val="20"/>
                <w14:ligatures w14:val="none"/>
              </w:rPr>
              <w:footnoteReference w:id="6"/>
            </w:r>
          </w:p>
        </w:tc>
        <w:tc>
          <w:tcPr>
            <w:tcW w:w="1016" w:type="dxa"/>
          </w:tcPr>
          <w:p w14:paraId="5C4485B7" w14:textId="29F877A9" w:rsidR="00BA2AB7" w:rsidRDefault="00BA2AB7"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7DACFBA3" w14:textId="732C697C" w:rsidTr="00FB7950">
        <w:tc>
          <w:tcPr>
            <w:tcW w:w="360" w:type="dxa"/>
          </w:tcPr>
          <w:p w14:paraId="355ED9D7" w14:textId="40DF9D48"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d</m:t>
                    </m:r>
                  </m:sub>
                </m:sSub>
              </m:oMath>
            </m:oMathPara>
          </w:p>
        </w:tc>
        <w:tc>
          <w:tcPr>
            <w:tcW w:w="6300" w:type="dxa"/>
          </w:tcPr>
          <w:p w14:paraId="12D7D903" w14:textId="5A394676"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doxy-PEP for syphilis</w:t>
            </w:r>
          </w:p>
        </w:tc>
        <w:tc>
          <w:tcPr>
            <w:tcW w:w="1350" w:type="dxa"/>
          </w:tcPr>
          <w:p w14:paraId="3BF16A30" w14:textId="6DBD8389"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1016" w:type="dxa"/>
          </w:tcPr>
          <w:p w14:paraId="09D7C125" w14:textId="7FE3FA5C"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2B2479D5" w14:textId="35196F1A" w:rsidTr="00FB7950">
        <w:tc>
          <w:tcPr>
            <w:tcW w:w="360" w:type="dxa"/>
          </w:tcPr>
          <w:p w14:paraId="55A89678" w14:textId="52D15972"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v</m:t>
                    </m:r>
                  </m:sub>
                </m:sSub>
              </m:oMath>
            </m:oMathPara>
          </w:p>
        </w:tc>
        <w:tc>
          <w:tcPr>
            <w:tcW w:w="6300" w:type="dxa"/>
          </w:tcPr>
          <w:p w14:paraId="3FA1541C" w14:textId="5B737D1E"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4CMenB for gonorrhoea</w:t>
            </w:r>
          </w:p>
        </w:tc>
        <w:tc>
          <w:tcPr>
            <w:tcW w:w="1350" w:type="dxa"/>
          </w:tcPr>
          <w:p w14:paraId="4D59A842" w14:textId="54CD4944"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1016" w:type="dxa"/>
          </w:tcPr>
          <w:p w14:paraId="2BC7F6F0" w14:textId="68088CA3"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03E90163" w14:textId="31591B66" w:rsidTr="00FB7950">
        <w:tc>
          <w:tcPr>
            <w:tcW w:w="360" w:type="dxa"/>
          </w:tcPr>
          <w:p w14:paraId="337ED82A" w14:textId="4C8E457A"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n</m:t>
                    </m:r>
                  </m:sub>
                </m:sSub>
              </m:oMath>
            </m:oMathPara>
          </w:p>
        </w:tc>
        <w:tc>
          <w:tcPr>
            <w:tcW w:w="6300" w:type="dxa"/>
          </w:tcPr>
          <w:p w14:paraId="243798AE" w14:textId="58A45403"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Discontinuation rate of doxy-PEP for syphilis</w:t>
            </w:r>
          </w:p>
        </w:tc>
        <w:tc>
          <w:tcPr>
            <w:tcW w:w="1350" w:type="dxa"/>
          </w:tcPr>
          <w:p w14:paraId="15F27FB9" w14:textId="1B903BE7"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0.362</w:t>
            </w:r>
          </w:p>
        </w:tc>
        <w:tc>
          <w:tcPr>
            <w:tcW w:w="1016" w:type="dxa"/>
          </w:tcPr>
          <w:p w14:paraId="427CD319" w14:textId="30D9F48D"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75770A">
              <w:rPr>
                <w:rFonts w:eastAsia="Times New Roman" w:cs="Times New Roman"/>
                <w:color w:val="000000" w:themeColor="text1"/>
                <w:kern w:val="0"/>
                <w:szCs w:val="20"/>
                <w14:ligatures w14:val="none"/>
              </w:rPr>
              <w:instrText xml:space="preserve"> ADDIN ZOTERO_ITEM CSL_CITATION {"citationID":"vZC2KeRk","properties":{"formattedCitation":"[26]","plainCitation":"[26]","noteIndex":0},"citationItems":[{"id":151,"uris":["http://zotero.org/users/9663344/items/MXEW8URU"],"itemData":{"id":151,"type":"article-journal","abstract":"Background Poor adherence to oral HIV pre-exposure prophylaxis (PrEP) diminishes its clinical and public health benefits. This study synthesises evidence regarding discontinuation, adherence, and reinitiation of PrEP among geographically diverse PrEP users.","container-title":"The Lancet HIV","DOI":"10.1016/S2352-3018(22)00030-3","ISSN":"23523018","issue":"4","journalAbbreviation":"The Lancet HIV","language":"en","page":"e254-e268","source":"DOI.org (Crossref)","title":"Discontinuation, suboptimal adherence, and reinitiation of oral HIV pre-exposure prophylaxis: a global systematic review and meta-analysis","title-short":"Discontinuation, suboptimal adherence, and reinitiation of oral HIV pre-exposure prophylaxis","volume":"9","author":[{"family":"Zhang","given":"Jing"},{"family":"Li","given":"Chunyan"},{"family":"Xu","given":"Junjie"},{"family":"Hu","given":"Zhili"},{"family":"Rutstein","given":"Sarah E"},{"family":"Tucker","given":"Joseph D"},{"family":"Ong","given":"Jason J"},{"family":"Jiang","given":"Yongjun"},{"family":"Geng","given":"Wenqing"},{"family":"Wright","given":"Sarah T"},{"family":"Cohen","given":"Myron S"},{"family":"Shang","given":"Hong"},{"family":"Tang","given":"Weiming"}],"issued":{"date-parts":[["2022",4]]}}}],"schema":"https://github.com/citation-style-language/schema/raw/master/csl-citation.json"} </w:instrText>
            </w:r>
            <w:r>
              <w:rPr>
                <w:rFonts w:eastAsia="Times New Roman" w:cs="Times New Roman"/>
                <w:color w:val="000000" w:themeColor="text1"/>
                <w:kern w:val="0"/>
                <w:szCs w:val="20"/>
                <w14:ligatures w14:val="none"/>
              </w:rPr>
              <w:fldChar w:fldCharType="separate"/>
            </w:r>
            <w:r w:rsidR="0075770A">
              <w:rPr>
                <w:rFonts w:eastAsia="Times New Roman" w:cs="Times New Roman"/>
                <w:noProof/>
                <w:color w:val="000000" w:themeColor="text1"/>
                <w:kern w:val="0"/>
                <w:szCs w:val="20"/>
                <w14:ligatures w14:val="none"/>
              </w:rPr>
              <w:t>[26]</w:t>
            </w:r>
            <w:r>
              <w:rPr>
                <w:rFonts w:eastAsia="Times New Roman" w:cs="Times New Roman"/>
                <w:color w:val="000000" w:themeColor="text1"/>
                <w:kern w:val="0"/>
                <w:szCs w:val="20"/>
                <w14:ligatures w14:val="none"/>
              </w:rPr>
              <w:fldChar w:fldCharType="end"/>
            </w:r>
          </w:p>
        </w:tc>
      </w:tr>
      <w:tr w:rsidR="00804703" w14:paraId="111A6694" w14:textId="49BB4504" w:rsidTr="00FB7950">
        <w:tc>
          <w:tcPr>
            <w:tcW w:w="360" w:type="dxa"/>
          </w:tcPr>
          <w:p w14:paraId="127EFC57" w14:textId="04F370D3"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d</m:t>
                    </m:r>
                  </m:sub>
                </m:sSub>
              </m:oMath>
            </m:oMathPara>
          </w:p>
        </w:tc>
        <w:tc>
          <w:tcPr>
            <w:tcW w:w="6300" w:type="dxa"/>
          </w:tcPr>
          <w:p w14:paraId="2CA355AC" w14:textId="0430F9C8" w:rsidR="0090359A" w:rsidRDefault="00FB7950"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2" w:name="_Hlk212668069"/>
            <w:r>
              <w:rPr>
                <w:rFonts w:eastAsia="Times New Roman" w:cs="Times New Roman"/>
                <w:color w:val="000000" w:themeColor="text1"/>
                <w:kern w:val="0"/>
                <w:szCs w:val="20"/>
                <w14:ligatures w14:val="none"/>
              </w:rPr>
              <w:t>Waning rate</w:t>
            </w:r>
            <w:r w:rsidR="0090359A">
              <w:rPr>
                <w:rFonts w:eastAsia="Times New Roman" w:cs="Times New Roman"/>
                <w:color w:val="000000" w:themeColor="text1"/>
                <w:kern w:val="0"/>
                <w:szCs w:val="20"/>
                <w14:ligatures w14:val="none"/>
              </w:rPr>
              <w:t xml:space="preserve"> of 4CMenB</w:t>
            </w:r>
            <w:bookmarkEnd w:id="2"/>
          </w:p>
        </w:tc>
        <w:tc>
          <w:tcPr>
            <w:tcW w:w="1350" w:type="dxa"/>
          </w:tcPr>
          <w:p w14:paraId="7E546F3E" w14:textId="3846F219" w:rsidR="0090359A" w:rsidRDefault="00FB7950"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0.33</w:t>
            </w:r>
            <w:r w:rsidR="00B1021E">
              <w:rPr>
                <w:rStyle w:val="FootnoteReference"/>
                <w:rFonts w:eastAsia="Times New Roman" w:cs="Times New Roman"/>
                <w:color w:val="000000" w:themeColor="text1"/>
                <w:kern w:val="0"/>
                <w:szCs w:val="20"/>
                <w14:ligatures w14:val="none"/>
              </w:rPr>
              <w:footnoteReference w:id="7"/>
            </w:r>
            <w:r w:rsidR="00B1021E">
              <w:rPr>
                <w:rFonts w:eastAsia="Times New Roman" w:cs="Times New Roman"/>
                <w:color w:val="000000" w:themeColor="text1"/>
                <w:kern w:val="0"/>
                <w:szCs w:val="20"/>
                <w14:ligatures w14:val="none"/>
              </w:rPr>
              <w:t xml:space="preserve"> or </w:t>
            </w:r>
            <w:r>
              <w:rPr>
                <w:rFonts w:eastAsia="Times New Roman" w:cs="Times New Roman"/>
                <w:color w:val="000000" w:themeColor="text1"/>
                <w:kern w:val="0"/>
                <w:szCs w:val="20"/>
                <w14:ligatures w14:val="none"/>
              </w:rPr>
              <w:t>0.20</w:t>
            </w:r>
            <w:r w:rsidR="00B1021E">
              <w:rPr>
                <w:rStyle w:val="FootnoteReference"/>
                <w:rFonts w:eastAsia="Times New Roman" w:cs="Times New Roman"/>
                <w:color w:val="000000" w:themeColor="text1"/>
                <w:kern w:val="0"/>
                <w:szCs w:val="20"/>
                <w14:ligatures w14:val="none"/>
              </w:rPr>
              <w:footnoteReference w:id="8"/>
            </w:r>
          </w:p>
        </w:tc>
        <w:tc>
          <w:tcPr>
            <w:tcW w:w="1016" w:type="dxa"/>
          </w:tcPr>
          <w:p w14:paraId="3053899D" w14:textId="14BD118D" w:rsidR="0090359A" w:rsidRDefault="00366B64"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{"citationID":"5iIbOeWb","properties":{"unsorted":false,"formattedCitation":"[27], [28]","plainCitation":"[27], [28]","noteIndex":0},"citationItems":[{"id":464,"uris":["http://zotero.org/users/9663344/items/89SSBCG8"],"itemData":{"id":464,"type":"article-journal","abstract":"OBJECTIVES: To evaluate persistence of vaccine effectiveness (VE) and vaccine impact (VI) on invasive meningococcal B (MenB) disease and gonorrhoea at three years after implementation of a state funded 4CMenB programme for infants, children, adolescents and young people in South Australia.\nMETHODS: VI was assessed using a Poisson or negative binomial regression model, and VE was estimated using screening and case-control methods. Chlamydia controls were used to estimate VE in the primary analysis to control potential confounding effects such as high-risk sexual behaviour associated with sexually transmitted infections.\nRESULTS: During the three-year programme, reductions of 63.1% (95%CI 29.0-80.9%) and 78.5% (95%CI 33.0-93.1%) in incidence of MenB disease were observed in infants and adolescents, respectively. There were no cases in infants who had received three doses of 4CMenB. Two-dose VE against MenB disease was 90.7% (95%CI 6.9-99.1%) for the childhood programme and 83.5% (95%CI 0-98.2%) for the adolescent programme. Two-dose VE against gonorrhoea in adolescents was 33.2% (95%CI 15.9-47.0%). Lower VE estimates were demonstrated after 36 months post-vaccination (23.2% (95%CI 0-47.5%)&gt; 36 months post-vaccination compared to 34.9% (95%CI 15.0-50.1%) within 6-36 months). Higher VE estimates were found after excluding patients with repeat gonorrhoea infections (37.3%, 95%CI 19.8-51.0%). For gonorrhoea cases co-infected with chlamydia VE was maintained (44.7% (95%CI 17.1-63.1%).\nCONCLUSION: The third-year evaluation results show persistent vaccine effectiveness of 4CMenB against MenB disease in infants and adolescents. As this is the first ongoing programme for adolescents, moderate vaccine protection against gonorrhoea with waning effectiveness three years post-vaccination was demonstrated in adolescents and young adults. The additional protection of 4CMenB vaccine against gonorrhoea, likely through cross-protection should be considered in cost-effectiveness analyses. A booster dose may need to be further evaluated and considered in adolescents due to waning protection against gonorrhoea demonstrated after 36 months post-vaccination.","container-title":"The Journal of Infection","DOI":"10.1016/j.jinf.2023.05.021","ISSN":"1532-2742","issue":"2","journalAbbreviation":"J Infect","language":"eng","page":"95-102","PMID":"37268223","source":"PubMed","title":"4CMenB sustained vaccine effectiveness against invasive meningococcal B disease and gonorrhoea at three years post programme implementation","volume":"87","author":[{"family":"Wang","given":"Bing"},{"family":"Giles","given":"Lynne"},{"family":"Andraweera","given":"Prabha"},{"family":"McMillan","given":"Mark"},{"family":"Almond","given":"Sara"},{"family":"Beazley","given":"Rebecca"},{"family":"Mitchell","given":"Janine"},{"family":"Ahoure","given":"Michele"},{"family":"Denehy","given":"Emma"},{"family":"Flood","given":"Louise"},{"family":"Marshall","given":"Helen"}],"issued":{"date-parts":[["2023",8]]}}},{"id":461,"uris":["http://zotero.org/users/9663344/items/JQEUC3BQ"],"itemData":{"id":461,"type":"article-journal","abstract":"BACKGROUND: A publicly funded 4CMenB program has been implemented in South Australia since 2018. We aimed to evaluate vaccine effectiveness (VE) and vaccine impact on invasive meningococcal B (MenB) disease and gonococcal infections 5 years after the program introduction.\nMETHODS: Vaccine impact was assessed using a Poisson or negative binomial regression model, and VE was estimated using both cohort screening and case-control methods. VE against the subsequent gonococcal infection was measured using a Cox regression model.\nRESULTS: Relative reductions of 72.7% (95% confidence interval [CI], 38.0%-88.0%) and 76.2% (41.6%-90.3%) in the incidence of MenB disease were observed in infants aged &lt;1 year and adolescents aged 15-18 years, respectively. VE against MenB disease for the 3-dose schedule was 98.5% (95% CI, 81.9%-99.9%) in children and 92.3% (34.3%-99.1%) for the 2-dose vaccination in adolescents. VE for 2-dose vaccination against gonococcal infections in adolescents was 39.1% (95% CI, 31.3%-46.0%). Lower VE estimates were demonstrated in those &gt;5 years compared to within 5 years since vaccination (-6.3% (95% CI, -44.5% to 21.8%) vs 41.8% (34.0%-48.7%). The VE against the subsequent gonococcal infection was 27.0% (adjusted hazard ratio, 0.730 [95% CI, .540-.988]), comparing fully vaccinated with unvaccinated case patients.\nCONCLUSIONS: 4CMenB demonstrates high protection against MenB disease in children and adolescents at 5 years. Moderate protection against the first and subsequent gonococcal infections in adolescents was observed up to 5 years after vaccination, with waning evident after 5 years.","container-title":"Clinical Infectious Diseases: An Official Publication of the Infectious Diseases Society of America","DOI":"10.1093/cid/ciaf372","ISSN":"1537-6591","issue":"4","journalAbbreviation":"Clin Infect Dis","language":"eng","page":"e202-e210","PMID":"40644358","PMCID":"PMC12596398","source":"PubMed","title":"Long-Term Protection Against Invasive Meningococcal B Disease and Gonococcal Infection 5 Years After Implementation of Funded Childhood and Adolescent 4CMenB Vaccination Program in South Australia: An Observational Cohort and Case-Control Study","title-short":"Long-Term Protection Against Invasive Meningococcal B Disease and Gonococcal Infection 5 Years After Implementation of Funded Childhood and Adolescent 4CMenB Vaccination Program in South Australia","volume":"81","author":[{"family":"Wang","given":"Bing"},{"family":"Giles","given":"Lynne"},{"family":"Andraweera","given":"Prabha"},{"family":"McMillan","given":"Mark"},{"family":"Beazley","given":"Rebecca"},{"family":"Almond","given":"Sara"},{"family":"Lally","given":"Noel"},{"family":"Bell","given":"Charlotte"},{"family":"Flood","given":"Louise"},{"family":"Ward","given":"James"},{"family":"Marshall","given":"Helen"}],"issued":{"date-parts":[["2025",11,6]]}}}],"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[27], [28]</w:t>
            </w:r>
            <w:r>
              <w:rPr>
                <w:rFonts w:eastAsia="Times New Roman" w:cs="Times New Roman"/>
                <w:color w:val="000000" w:themeColor="text1"/>
                <w:kern w:val="0"/>
                <w:szCs w:val="20"/>
                <w14:ligatures w14:val="none"/>
              </w:rPr>
              <w:fldChar w:fldCharType="end"/>
            </w:r>
          </w:p>
        </w:tc>
      </w:tr>
    </w:tbl>
    <w:p w14:paraId="222CBCA0" w14:textId="3871FFA1" w:rsidR="007C39C6" w:rsidRPr="0073291E" w:rsidRDefault="00DB3DC4" w:rsidP="00204018">
      <w:pPr>
        <w:spacing w:before="100" w:beforeAutospacing="1" w:after="100" w:afterAutospacing="1" w:line="276" w:lineRule="auto"/>
        <w:jc w:val="both"/>
        <w:rPr>
          <w:rFonts w:ascii="Times New Roman" w:hAnsi="Times New Roman" w:cs="Times New Roman"/>
          <w:color w:val="000000" w:themeColor="text1"/>
          <w:sz w:val="20"/>
          <w:szCs w:val="20"/>
          <w:lang w:val="en-US"/>
        </w:rPr>
      </w:pPr>
      <w:r w:rsidRPr="0073291E">
        <w:rPr>
          <w:rFonts w:ascii="Times New Roman" w:hAnsi="Times New Roman" w:cs="Times New Roman"/>
          <w:color w:val="000000" w:themeColor="text1"/>
          <w:kern w:val="0"/>
          <w:sz w:val="20"/>
          <w:szCs w:val="20"/>
          <w14:ligatures w14:val="none"/>
        </w:rPr>
        <w:t>Compartmental model equations</w:t>
      </w:r>
      <w:r w:rsidR="00D06293" w:rsidRPr="0073291E">
        <w:rPr>
          <w:rFonts w:ascii="Times New Roman" w:hAnsi="Times New Roman" w:cs="Times New Roman"/>
          <w:color w:val="000000" w:themeColor="text1"/>
          <w:kern w:val="0"/>
          <w:sz w:val="20"/>
          <w:szCs w:val="20"/>
          <w14:ligatures w14:val="none"/>
        </w:rPr>
        <w:t xml:space="preserve"> (</w:t>
      </w:r>
      <w:r w:rsidR="00D06293" w:rsidRPr="00EB61FB">
        <w:rPr>
          <w:rFonts w:ascii="Times New Roman" w:hAnsi="Times New Roman" w:cs="Times New Roman"/>
          <w:b/>
          <w:bCs/>
          <w:color w:val="000000" w:themeColor="text1"/>
          <w:kern w:val="0"/>
          <w:sz w:val="20"/>
          <w:szCs w:val="20"/>
          <w14:ligatures w14:val="none"/>
        </w:rPr>
        <w:t>subscript denotes strat</w:t>
      </w:r>
      <w:r w:rsidR="00914662" w:rsidRPr="00EB61FB">
        <w:rPr>
          <w:rFonts w:ascii="Times New Roman" w:hAnsi="Times New Roman" w:cs="Times New Roman"/>
          <w:b/>
          <w:bCs/>
          <w:color w:val="000000" w:themeColor="text1"/>
          <w:kern w:val="0"/>
          <w:sz w:val="20"/>
          <w:szCs w:val="20"/>
          <w14:ligatures w14:val="none"/>
        </w:rPr>
        <w:t>um</w:t>
      </w:r>
      <w:r w:rsidR="00D06293" w:rsidRPr="00EB61FB">
        <w:rPr>
          <w:rFonts w:ascii="Times New Roman" w:hAnsi="Times New Roman" w:cs="Times New Roman"/>
          <w:b/>
          <w:bCs/>
          <w:color w:val="000000" w:themeColor="text1"/>
          <w:kern w:val="0"/>
          <w:sz w:val="20"/>
          <w:szCs w:val="20"/>
          <w14:ligatures w14:val="none"/>
        </w:rPr>
        <w:t xml:space="preserve"> </w:t>
      </w:r>
      <m:oMath>
        <m:r>
          <m:rPr>
            <m:sty m:val="bi"/>
          </m:rPr>
          <w:rPr>
            <w:rFonts w:ascii="Cambria Math" w:hAnsi="Cambria Math" w:cs="Times New Roman"/>
            <w:color w:val="000000" w:themeColor="text1"/>
            <w:sz w:val="20"/>
            <w:szCs w:val="20"/>
            <w:lang w:val="en-US"/>
          </w:rPr>
          <m:t>i∈</m:t>
        </m:r>
        <m:d>
          <m:dPr>
            <m:begChr m:val="{"/>
            <m:endChr m:val="}"/>
            <m:ctrlPr>
              <w:rPr>
                <w:rFonts w:ascii="Cambria Math" w:hAnsi="Cambria Math" w:cs="Times New Roman"/>
                <w:b/>
                <w:bCs/>
                <w:i/>
                <w:color w:val="000000" w:themeColor="text1"/>
                <w:sz w:val="20"/>
                <w:szCs w:val="20"/>
                <w:lang w:val="en-US"/>
              </w:rPr>
            </m:ctrlPr>
          </m:dPr>
          <m:e>
            <m:r>
              <m:rPr>
                <m:sty m:val="bi"/>
              </m:rPr>
              <w:rPr>
                <w:rFonts w:ascii="Cambria Math" w:hAnsi="Cambria Math" w:cs="Times New Roman"/>
                <w:color w:val="000000" w:themeColor="text1"/>
                <w:sz w:val="20"/>
                <w:szCs w:val="20"/>
                <w:lang w:val="en-US"/>
              </w:rPr>
              <m:t>N,D,V,M</m:t>
            </m:r>
          </m:e>
        </m:d>
      </m:oMath>
      <w:r w:rsidR="00D06293" w:rsidRPr="00EB61FB">
        <w:rPr>
          <w:rFonts w:ascii="Times New Roman" w:hAnsi="Times New Roman" w:cs="Times New Roman"/>
          <w:b/>
          <w:bCs/>
          <w:color w:val="000000" w:themeColor="text1"/>
          <w:sz w:val="20"/>
          <w:szCs w:val="20"/>
          <w:lang w:val="en-US"/>
        </w:rPr>
        <w:t xml:space="preserve"> and risk group </w:t>
      </w:r>
      <m:oMath>
        <m:r>
          <m:rPr>
            <m:sty m:val="bi"/>
          </m:rPr>
          <w:rPr>
            <w:rFonts w:ascii="Cambria Math" w:hAnsi="Cambria Math" w:cs="Times New Roman"/>
            <w:color w:val="000000" w:themeColor="text1"/>
            <w:sz w:val="20"/>
            <w:szCs w:val="20"/>
            <w:lang w:val="en-US"/>
          </w:rPr>
          <m:t>j∈</m:t>
        </m:r>
        <m:d>
          <m:dPr>
            <m:begChr m:val="{"/>
            <m:endChr m:val="}"/>
            <m:ctrlPr>
              <w:rPr>
                <w:rFonts w:ascii="Cambria Math" w:hAnsi="Cambria Math" w:cs="Times New Roman"/>
                <w:b/>
                <w:bCs/>
                <w:i/>
                <w:color w:val="000000" w:themeColor="text1"/>
                <w:sz w:val="20"/>
                <w:szCs w:val="20"/>
                <w:lang w:val="en-US"/>
              </w:rPr>
            </m:ctrlPr>
          </m:dPr>
          <m:e>
            <m:r>
              <m:rPr>
                <m:sty m:val="bi"/>
              </m:rPr>
              <w:rPr>
                <w:rFonts w:ascii="Cambria Math" w:hAnsi="Cambria Math" w:cs="Times New Roman"/>
                <w:color w:val="000000" w:themeColor="text1"/>
                <w:sz w:val="20"/>
                <w:szCs w:val="20"/>
                <w:lang w:val="en-US"/>
              </w:rPr>
              <m:t>H,L</m:t>
            </m:r>
          </m:e>
        </m:d>
      </m:oMath>
      <w:r w:rsidR="00D06293" w:rsidRPr="00EB61FB">
        <w:rPr>
          <w:rFonts w:ascii="Times New Roman" w:hAnsi="Times New Roman" w:cs="Times New Roman"/>
          <w:b/>
          <w:bCs/>
          <w:color w:val="000000" w:themeColor="text1"/>
          <w:sz w:val="20"/>
          <w:szCs w:val="20"/>
          <w:lang w:val="en-US"/>
        </w:rPr>
        <w:t>,</w:t>
      </w:r>
      <w:r w:rsidR="00A21F6D" w:rsidRPr="00EB61FB">
        <w:rPr>
          <w:rFonts w:ascii="Times New Roman" w:hAnsi="Times New Roman" w:cs="Times New Roman"/>
          <w:b/>
          <w:bCs/>
          <w:color w:val="000000" w:themeColor="text1"/>
          <w:sz w:val="20"/>
          <w:szCs w:val="20"/>
          <w:lang w:val="en-US"/>
        </w:rPr>
        <w:t xml:space="preserve"> separated by comma, </w:t>
      </w:r>
      <w:r w:rsidR="00D06293" w:rsidRPr="00EB61FB">
        <w:rPr>
          <w:rFonts w:ascii="Times New Roman" w:hAnsi="Times New Roman" w:cs="Times New Roman"/>
          <w:b/>
          <w:bCs/>
          <w:color w:val="000000" w:themeColor="text1"/>
          <w:sz w:val="20"/>
          <w:szCs w:val="20"/>
          <w:lang w:val="en-US"/>
        </w:rPr>
        <w:t xml:space="preserve">superscript denotes strain </w:t>
      </w:r>
      <m:oMath>
        <m:r>
          <m:rPr>
            <m:sty m:val="bi"/>
          </m:rPr>
          <w:rPr>
            <w:rFonts w:ascii="Cambria Math" w:hAnsi="Cambria Math" w:cs="Times New Roman"/>
            <w:color w:val="000000" w:themeColor="text1"/>
            <w:sz w:val="20"/>
            <w:szCs w:val="20"/>
            <w:lang w:val="en-US"/>
          </w:rPr>
          <m:t>k∈</m:t>
        </m:r>
        <m:d>
          <m:dPr>
            <m:begChr m:val="{"/>
            <m:endChr m:val="}"/>
            <m:ctrlPr>
              <w:rPr>
                <w:rFonts w:ascii="Cambria Math" w:hAnsi="Cambria Math" w:cs="Times New Roman"/>
                <w:b/>
                <w:bCs/>
                <w:i/>
                <w:color w:val="000000" w:themeColor="text1"/>
                <w:sz w:val="20"/>
                <w:szCs w:val="20"/>
                <w:lang w:val="en-US"/>
              </w:rPr>
            </m:ctrlPr>
          </m:dPr>
          <m:e>
            <m:r>
              <m:rPr>
                <m:sty m:val="bi"/>
              </m:rPr>
              <w:rPr>
                <w:rFonts w:ascii="Cambria Math" w:hAnsi="Cambria Math" w:cs="Times New Roman"/>
                <w:color w:val="000000" w:themeColor="text1"/>
                <w:sz w:val="20"/>
                <w:szCs w:val="20"/>
                <w:lang w:val="en-US"/>
              </w:rPr>
              <m:t>0, c, t, d</m:t>
            </m:r>
            <m:r>
              <m:rPr>
                <m:sty m:val="bi"/>
              </m:rPr>
              <w:rPr>
                <w:rFonts w:ascii="Cambria Math" w:hAnsi="Cambria Math" w:cs="Times New Roman"/>
                <w:color w:val="000000" w:themeColor="text1"/>
                <w:sz w:val="20"/>
                <w:szCs w:val="20"/>
                <w:lang w:val="en-US"/>
              </w:rPr>
              <m:t>2</m:t>
            </m:r>
          </m:e>
        </m:d>
      </m:oMath>
      <w:r w:rsidR="00D06293" w:rsidRPr="004E5A57">
        <w:rPr>
          <w:rFonts w:ascii="Times New Roman" w:hAnsi="Times New Roman" w:cs="Times New Roman"/>
          <w:color w:val="000000" w:themeColor="text1"/>
          <w:sz w:val="20"/>
          <w:szCs w:val="20"/>
          <w:lang w:val="en-US"/>
        </w:rPr>
        <w:t>)</w:t>
      </w:r>
      <w:r w:rsidR="00204018" w:rsidRPr="0073291E">
        <w:rPr>
          <w:rFonts w:ascii="Times New Roman" w:hAnsi="Times New Roman" w:cs="Times New Roman"/>
          <w:color w:val="000000" w:themeColor="text1"/>
          <w:sz w:val="20"/>
          <w:szCs w:val="20"/>
          <w:lang w:val="en-US"/>
        </w:rPr>
        <w:t xml:space="preserve">. </w:t>
      </w:r>
      <w:r w:rsidR="007C39C6" w:rsidRPr="0073291E">
        <w:rPr>
          <w:rFonts w:ascii="Times New Roman" w:hAnsi="Times New Roman" w:cs="Times New Roman"/>
          <w:sz w:val="20"/>
          <w:szCs w:val="20"/>
        </w:rPr>
        <w:t xml:space="preserve">The force of infection, defined as the rate at which susceptible individuals </w:t>
      </w:r>
      <w:r w:rsidR="00223F73" w:rsidRPr="0073291E">
        <w:rPr>
          <w:rFonts w:ascii="Times New Roman" w:hAnsi="Times New Roman" w:cs="Times New Roman"/>
          <w:iCs/>
          <w:sz w:val="20"/>
          <w:szCs w:val="20"/>
          <w:lang w:val="en-US"/>
        </w:rPr>
        <w:t xml:space="preserve">with strain </w:t>
      </w:r>
      <m:oMath>
        <m:r>
          <w:rPr>
            <w:rFonts w:ascii="Cambria Math" w:hAnsi="Cambria Math" w:cs="Times New Roman"/>
            <w:sz w:val="20"/>
            <w:szCs w:val="20"/>
            <w:lang w:val="en-US"/>
          </w:rPr>
          <m:t>k</m:t>
        </m:r>
      </m:oMath>
      <w:r w:rsidR="00223F73" w:rsidRPr="0073291E">
        <w:rPr>
          <w:rFonts w:ascii="Times New Roman" w:hAnsi="Times New Roman" w:cs="Times New Roman"/>
          <w:iCs/>
          <w:sz w:val="20"/>
          <w:szCs w:val="20"/>
          <w:lang w:val="en-US"/>
        </w:rPr>
        <w:t xml:space="preserve"> </w:t>
      </w:r>
      <w:r w:rsidR="007C39C6" w:rsidRPr="0073291E">
        <w:rPr>
          <w:rFonts w:ascii="Times New Roman" w:hAnsi="Times New Roman" w:cs="Times New Roman"/>
          <w:sz w:val="20"/>
          <w:szCs w:val="20"/>
        </w:rPr>
        <w:t xml:space="preserve">in sexual activity group </w:t>
      </w:r>
      <m:oMath>
        <m:r>
          <w:rPr>
            <w:rFonts w:ascii="Cambria Math" w:hAnsi="Cambria Math" w:cs="Times New Roman"/>
            <w:sz w:val="20"/>
            <w:szCs w:val="20"/>
          </w:rPr>
          <m:t>j</m:t>
        </m:r>
      </m:oMath>
      <w:r w:rsidR="007C39C6" w:rsidRPr="0073291E">
        <w:rPr>
          <w:rFonts w:ascii="Times New Roman" w:hAnsi="Times New Roman" w:cs="Times New Roman"/>
          <w:sz w:val="20"/>
          <w:szCs w:val="20"/>
        </w:rPr>
        <w:t xml:space="preserve"> acquire infection,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λ</m:t>
            </m:r>
          </m:e>
          <m:sub>
            <m:r>
              <w:rPr>
                <w:rFonts w:ascii="Cambria Math" w:hAnsi="Cambria Math" w:cs="Times New Roman"/>
                <w:sz w:val="20"/>
                <w:szCs w:val="20"/>
                <w:lang w:val="en-US"/>
              </w:rPr>
              <m:t>j</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oMath>
      <w:r w:rsidR="007C39C6" w:rsidRPr="0073291E">
        <w:rPr>
          <w:rFonts w:ascii="Times New Roman" w:hAnsi="Times New Roman" w:cs="Times New Roman"/>
          <w:iCs/>
          <w:sz w:val="20"/>
          <w:szCs w:val="20"/>
          <w:lang w:val="en-US"/>
        </w:rPr>
        <w:t xml:space="preserve">, </w:t>
      </w:r>
      <w:r w:rsidR="007C39C6" w:rsidRPr="0073291E">
        <w:rPr>
          <w:rFonts w:ascii="Times New Roman" w:hAnsi="Times New Roman" w:cs="Times New Roman"/>
          <w:sz w:val="20"/>
          <w:szCs w:val="20"/>
        </w:rPr>
        <w:t>is determined by several factors: the annual rate of partner change within each group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c</m:t>
            </m:r>
          </m:e>
          <m:sub>
            <m:r>
              <w:rPr>
                <w:rFonts w:ascii="Cambria Math" w:hAnsi="Cambria Math" w:cs="Times New Roman"/>
                <w:sz w:val="20"/>
                <w:szCs w:val="20"/>
                <w:lang w:val="en-US"/>
              </w:rPr>
              <m:t>j</m:t>
            </m:r>
          </m:sub>
        </m:sSub>
      </m:oMath>
      <w:r w:rsidR="007C39C6" w:rsidRPr="0073291E">
        <w:rPr>
          <w:rFonts w:ascii="Times New Roman" w:hAnsi="Times New Roman" w:cs="Times New Roman"/>
          <w:sz w:val="20"/>
          <w:szCs w:val="20"/>
        </w:rPr>
        <w:t>); the level of assortativity in sexual mixing between groups (</w:t>
      </w:r>
      <m:oMath>
        <m:r>
          <w:rPr>
            <w:rFonts w:ascii="Cambria Math" w:hAnsi="Cambria Math" w:cs="Times New Roman"/>
            <w:sz w:val="20"/>
            <w:szCs w:val="20"/>
            <w:lang w:val="en-US"/>
          </w:rPr>
          <m:t>ϵ</m:t>
        </m:r>
      </m:oMath>
      <w:r w:rsidR="007C39C6" w:rsidRPr="0073291E">
        <w:rPr>
          <w:rFonts w:ascii="Times New Roman" w:hAnsi="Times New Roman" w:cs="Times New Roman"/>
          <w:sz w:val="20"/>
          <w:szCs w:val="20"/>
        </w:rPr>
        <w:t xml:space="preserve">, where </w:t>
      </w:r>
      <m:oMath>
        <m:r>
          <w:rPr>
            <w:rFonts w:ascii="Cambria Math" w:hAnsi="Cambria Math" w:cs="Times New Roman"/>
            <w:sz w:val="20"/>
            <w:szCs w:val="20"/>
            <w:lang w:val="en-US"/>
          </w:rPr>
          <m:t>ϵ</m:t>
        </m:r>
      </m:oMath>
      <w:r w:rsidR="007C39C6" w:rsidRPr="0073291E">
        <w:rPr>
          <w:rFonts w:ascii="Times New Roman" w:hAnsi="Times New Roman" w:cs="Times New Roman"/>
          <w:sz w:val="20"/>
          <w:szCs w:val="20"/>
        </w:rPr>
        <w:t xml:space="preserve"> = 0 represents proportionate mixing and </w:t>
      </w:r>
      <m:oMath>
        <m:r>
          <w:rPr>
            <w:rFonts w:ascii="Cambria Math" w:hAnsi="Cambria Math" w:cs="Times New Roman"/>
            <w:sz w:val="20"/>
            <w:szCs w:val="20"/>
            <w:lang w:val="en-US"/>
          </w:rPr>
          <m:t>ϵ</m:t>
        </m:r>
      </m:oMath>
      <w:r w:rsidR="007C39C6" w:rsidRPr="0073291E">
        <w:rPr>
          <w:rFonts w:ascii="Times New Roman" w:hAnsi="Times New Roman" w:cs="Times New Roman"/>
          <w:sz w:val="20"/>
          <w:szCs w:val="20"/>
        </w:rPr>
        <w:t xml:space="preserve"> = 1 represents fully assortative mixing); </w:t>
      </w:r>
      <w:r w:rsidR="007C39C6" w:rsidRPr="0073291E">
        <w:rPr>
          <w:rFonts w:ascii="Times New Roman" w:hAnsi="Times New Roman" w:cs="Times New Roman"/>
          <w:iCs/>
          <w:sz w:val="20"/>
          <w:szCs w:val="20"/>
          <w:lang w:val="en-US"/>
        </w:rPr>
        <w:t xml:space="preserve">the total number of contagious individuals </w:t>
      </w:r>
      <w:r w:rsidR="00091063" w:rsidRPr="0073291E">
        <w:rPr>
          <w:rFonts w:ascii="Times New Roman" w:hAnsi="Times New Roman" w:cs="Times New Roman"/>
          <w:iCs/>
          <w:sz w:val="20"/>
          <w:szCs w:val="20"/>
          <w:lang w:val="en-US"/>
        </w:rPr>
        <w:t xml:space="preserve">with strain </w:t>
      </w:r>
      <m:oMath>
        <m:r>
          <w:rPr>
            <w:rFonts w:ascii="Cambria Math" w:hAnsi="Cambria Math" w:cs="Times New Roman"/>
            <w:sz w:val="20"/>
            <w:szCs w:val="20"/>
            <w:lang w:val="en-US"/>
          </w:rPr>
          <m:t>k</m:t>
        </m:r>
      </m:oMath>
      <w:r w:rsidR="00091063" w:rsidRPr="0073291E">
        <w:rPr>
          <w:rFonts w:ascii="Times New Roman" w:hAnsi="Times New Roman" w:cs="Times New Roman"/>
          <w:iCs/>
          <w:sz w:val="20"/>
          <w:szCs w:val="20"/>
          <w:lang w:val="en-US"/>
        </w:rPr>
        <w:t xml:space="preserve"> </w:t>
      </w:r>
      <w:r w:rsidR="007C39C6" w:rsidRPr="0073291E">
        <w:rPr>
          <w:rFonts w:ascii="Times New Roman" w:hAnsi="Times New Roman" w:cs="Times New Roman"/>
          <w:iCs/>
          <w:sz w:val="20"/>
          <w:szCs w:val="20"/>
          <w:lang w:val="en-US"/>
        </w:rPr>
        <w:t xml:space="preserve">in group </w:t>
      </w:r>
      <m:oMath>
        <m:r>
          <w:rPr>
            <w:rFonts w:ascii="Cambria Math" w:hAnsi="Cambria Math" w:cs="Times New Roman"/>
            <w:sz w:val="20"/>
            <w:szCs w:val="20"/>
          </w:rPr>
          <m:t>j</m:t>
        </m:r>
      </m:oMath>
      <w:r w:rsidR="007C39C6" w:rsidRPr="0073291E">
        <w:rPr>
          <w:rFonts w:ascii="Times New Roman" w:hAnsi="Times New Roman" w:cs="Times New Roman"/>
          <w:sz w:val="20"/>
          <w:szCs w:val="20"/>
        </w:rPr>
        <w:t xml:space="preserve"> (</w:t>
      </w:r>
      <m:oMath>
        <m:sSup>
          <m:sSupPr>
            <m:ctrlPr>
              <w:rPr>
                <w:rFonts w:ascii="Cambria Math" w:hAnsi="Cambria Math" w:cs="Times New Roman"/>
                <w:i/>
                <w:iCs/>
                <w:sz w:val="20"/>
                <w:szCs w:val="20"/>
                <w:lang w:val="en-US"/>
              </w:rPr>
            </m:ctrlPr>
          </m:sSup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C</m:t>
                </m:r>
              </m:e>
              <m:sub>
                <m:r>
                  <w:rPr>
                    <w:rFonts w:ascii="Cambria Math" w:hAnsi="Cambria Math" w:cs="Times New Roman"/>
                    <w:sz w:val="20"/>
                    <w:szCs w:val="20"/>
                    <w:lang w:val="en-US"/>
                  </w:rPr>
                  <m:t>j</m:t>
                </m:r>
              </m:sub>
            </m:sSub>
          </m:e>
          <m:sup>
            <m:r>
              <w:rPr>
                <w:rFonts w:ascii="Cambria Math" w:hAnsi="Cambria Math" w:cs="Times New Roman"/>
                <w:sz w:val="20"/>
                <w:szCs w:val="20"/>
                <w:lang w:val="en-US"/>
              </w:rPr>
              <m:t>k</m:t>
            </m:r>
          </m:sup>
        </m:sSup>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oMath>
      <w:r w:rsidR="007C39C6" w:rsidRPr="0073291E">
        <w:rPr>
          <w:rFonts w:ascii="Times New Roman" w:hAnsi="Times New Roman" w:cs="Times New Roman"/>
          <w:iCs/>
          <w:sz w:val="20"/>
          <w:szCs w:val="20"/>
          <w:lang w:val="en-US"/>
        </w:rPr>
        <w:t xml:space="preserve">); the total population in group </w:t>
      </w:r>
      <m:oMath>
        <m:r>
          <w:rPr>
            <w:rFonts w:ascii="Cambria Math" w:hAnsi="Cambria Math" w:cs="Times New Roman"/>
            <w:sz w:val="20"/>
            <w:szCs w:val="20"/>
          </w:rPr>
          <m:t>j</m:t>
        </m:r>
      </m:oMath>
      <w:r w:rsidR="007C39C6" w:rsidRPr="0073291E">
        <w:rPr>
          <w:rFonts w:ascii="Times New Roman" w:hAnsi="Times New Roman" w:cs="Times New Roman"/>
          <w:sz w:val="20"/>
          <w:szCs w:val="20"/>
        </w:rPr>
        <w:t xml:space="preserve">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N</m:t>
            </m:r>
          </m:e>
          <m:sub>
            <m:r>
              <w:rPr>
                <w:rFonts w:ascii="Cambria Math" w:hAnsi="Cambria Math" w:cs="Times New Roman"/>
                <w:sz w:val="20"/>
                <w:szCs w:val="20"/>
                <w:lang w:val="en-US"/>
              </w:rPr>
              <m:t>j</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oMath>
      <w:r w:rsidR="007C39C6" w:rsidRPr="0073291E">
        <w:rPr>
          <w:rFonts w:ascii="Times New Roman" w:hAnsi="Times New Roman" w:cs="Times New Roman"/>
          <w:iCs/>
          <w:sz w:val="20"/>
          <w:szCs w:val="20"/>
          <w:lang w:val="en-US"/>
        </w:rPr>
        <w:t xml:space="preserve">; </w:t>
      </w:r>
      <w:r w:rsidR="007C39C6" w:rsidRPr="0073291E">
        <w:rPr>
          <w:rFonts w:ascii="Times New Roman" w:hAnsi="Times New Roman" w:cs="Times New Roman"/>
          <w:sz w:val="20"/>
          <w:szCs w:val="20"/>
        </w:rPr>
        <w:t xml:space="preserve">the prevalence of infectious individuals </w:t>
      </w:r>
      <w:r w:rsidR="00727618" w:rsidRPr="0073291E">
        <w:rPr>
          <w:rFonts w:ascii="Times New Roman" w:hAnsi="Times New Roman" w:cs="Times New Roman"/>
          <w:iCs/>
          <w:sz w:val="20"/>
          <w:szCs w:val="20"/>
          <w:lang w:val="en-US"/>
        </w:rPr>
        <w:t xml:space="preserve">with strain </w:t>
      </w:r>
      <m:oMath>
        <m:r>
          <w:rPr>
            <w:rFonts w:ascii="Cambria Math" w:hAnsi="Cambria Math" w:cs="Times New Roman"/>
            <w:sz w:val="20"/>
            <w:szCs w:val="20"/>
            <w:lang w:val="en-US"/>
          </w:rPr>
          <m:t>k</m:t>
        </m:r>
      </m:oMath>
      <w:r w:rsidR="00727618" w:rsidRPr="0073291E">
        <w:rPr>
          <w:rFonts w:ascii="Times New Roman" w:hAnsi="Times New Roman" w:cs="Times New Roman"/>
          <w:iCs/>
          <w:sz w:val="20"/>
          <w:szCs w:val="20"/>
          <w:lang w:val="en-US"/>
        </w:rPr>
        <w:t xml:space="preserve"> </w:t>
      </w:r>
      <w:r w:rsidR="007C39C6" w:rsidRPr="0073291E">
        <w:rPr>
          <w:rFonts w:ascii="Times New Roman" w:hAnsi="Times New Roman" w:cs="Times New Roman"/>
          <w:sz w:val="20"/>
          <w:szCs w:val="20"/>
        </w:rPr>
        <w:t>in each group (</w:t>
      </w:r>
      <m:oMath>
        <m:f>
          <m:fPr>
            <m:ctrlPr>
              <w:rPr>
                <w:rFonts w:ascii="Cambria Math" w:hAnsi="Cambria Math" w:cs="Times New Roman"/>
                <w:i/>
                <w:iCs/>
                <w:sz w:val="20"/>
                <w:szCs w:val="20"/>
                <w:lang w:val="en-US"/>
              </w:rPr>
            </m:ctrlPr>
          </m:fPr>
          <m:num>
            <m:sSup>
              <m:sSupPr>
                <m:ctrlPr>
                  <w:rPr>
                    <w:rFonts w:ascii="Cambria Math" w:hAnsi="Cambria Math" w:cs="Times New Roman"/>
                    <w:i/>
                    <w:iCs/>
                    <w:sz w:val="20"/>
                    <w:szCs w:val="20"/>
                    <w:lang w:val="en-US"/>
                  </w:rPr>
                </m:ctrlPr>
              </m:sSup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C</m:t>
                    </m:r>
                  </m:e>
                  <m:sub>
                    <m:r>
                      <w:rPr>
                        <w:rFonts w:ascii="Cambria Math" w:hAnsi="Cambria Math" w:cs="Times New Roman"/>
                        <w:sz w:val="20"/>
                        <w:szCs w:val="20"/>
                        <w:lang w:val="en-US"/>
                      </w:rPr>
                      <m:t>j</m:t>
                    </m:r>
                  </m:sub>
                </m:sSub>
              </m:e>
              <m:sup>
                <m:r>
                  <w:rPr>
                    <w:rFonts w:ascii="Cambria Math" w:hAnsi="Cambria Math" w:cs="Times New Roman"/>
                    <w:sz w:val="20"/>
                    <w:szCs w:val="20"/>
                    <w:lang w:val="en-US"/>
                  </w:rPr>
                  <m:t>k</m:t>
                </m:r>
              </m:sup>
            </m:sSup>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num>
          <m:den>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N</m:t>
                </m:r>
              </m:e>
              <m:sub>
                <m:r>
                  <w:rPr>
                    <w:rFonts w:ascii="Cambria Math" w:hAnsi="Cambria Math" w:cs="Times New Roman"/>
                    <w:sz w:val="20"/>
                    <w:szCs w:val="20"/>
                    <w:lang w:val="en-US"/>
                  </w:rPr>
                  <m:t>j</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den>
        </m:f>
      </m:oMath>
      <w:r w:rsidR="007C39C6" w:rsidRPr="0073291E">
        <w:rPr>
          <w:rFonts w:ascii="Times New Roman" w:hAnsi="Times New Roman" w:cs="Times New Roman"/>
          <w:sz w:val="20"/>
          <w:szCs w:val="20"/>
        </w:rPr>
        <w:t xml:space="preserve">); the proportion of all partnerships in the population that include an individual from group </w:t>
      </w:r>
      <m:oMath>
        <m:r>
          <w:rPr>
            <w:rFonts w:ascii="Cambria Math" w:hAnsi="Cambria Math" w:cs="Times New Roman"/>
            <w:sz w:val="20"/>
            <w:szCs w:val="20"/>
          </w:rPr>
          <m:t>j</m:t>
        </m:r>
      </m:oMath>
      <w:r w:rsidR="007C39C6" w:rsidRPr="0073291E">
        <w:rPr>
          <w:rFonts w:ascii="Times New Roman" w:hAnsi="Times New Roman" w:cs="Times New Roman"/>
          <w:sz w:val="20"/>
          <w:szCs w:val="20"/>
        </w:rPr>
        <w:t xml:space="preserve">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π</m:t>
            </m:r>
          </m:e>
          <m:sub>
            <m:r>
              <w:rPr>
                <w:rFonts w:ascii="Cambria Math" w:hAnsi="Cambria Math" w:cs="Times New Roman"/>
                <w:sz w:val="20"/>
                <w:szCs w:val="20"/>
                <w:lang w:val="en-US"/>
              </w:rPr>
              <m:t>j</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oMath>
      <w:r w:rsidR="007C39C6" w:rsidRPr="0073291E">
        <w:rPr>
          <w:rFonts w:ascii="Times New Roman" w:hAnsi="Times New Roman" w:cs="Times New Roman"/>
          <w:iCs/>
          <w:sz w:val="20"/>
          <w:szCs w:val="20"/>
          <w:lang w:val="en-US"/>
        </w:rPr>
        <w:t>)</w:t>
      </w:r>
      <w:r w:rsidR="007C39C6" w:rsidRPr="0073291E">
        <w:rPr>
          <w:rFonts w:ascii="Times New Roman" w:hAnsi="Times New Roman" w:cs="Times New Roman"/>
          <w:sz w:val="20"/>
          <w:szCs w:val="20"/>
        </w:rPr>
        <w:t>; and the transmission probability. The latter is modelled as time-varying, increasing linearly from the baseline transmission rate (</w:t>
      </w:r>
      <m:oMath>
        <m:r>
          <w:rPr>
            <w:rFonts w:ascii="Cambria Math" w:hAnsi="Cambria Math" w:cs="Times New Roman"/>
            <w:sz w:val="20"/>
            <w:szCs w:val="20"/>
            <w:lang w:val="en-US"/>
          </w:rPr>
          <m:t>β</m:t>
        </m:r>
      </m:oMath>
      <w:r w:rsidR="007C39C6" w:rsidRPr="0073291E">
        <w:rPr>
          <w:rFonts w:ascii="Times New Roman" w:hAnsi="Times New Roman" w:cs="Times New Roman"/>
          <w:sz w:val="20"/>
          <w:szCs w:val="20"/>
        </w:rPr>
        <w:t xml:space="preserve">) at </w:t>
      </w:r>
      <m:oMath>
        <m:sSub>
          <m:sSubPr>
            <m:ctrlPr>
              <w:rPr>
                <w:rFonts w:ascii="Cambria Math" w:hAnsi="Cambria Math" w:cs="Times New Roman"/>
                <w:i/>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oMath>
      <w:r w:rsidR="007C39C6" w:rsidRPr="0073291E">
        <w:rPr>
          <w:rFonts w:ascii="Times New Roman" w:hAnsi="Times New Roman" w:cs="Times New Roman"/>
          <w:sz w:val="20"/>
          <w:szCs w:val="20"/>
        </w:rPr>
        <w:t xml:space="preserve"> (</w:t>
      </w:r>
      <m:oMath>
        <m:sSub>
          <m:sSubPr>
            <m:ctrlPr>
              <w:rPr>
                <w:rFonts w:ascii="Cambria Math" w:hAnsi="Cambria Math" w:cs="Times New Roman"/>
                <w:i/>
                <w:sz w:val="20"/>
                <w:szCs w:val="20"/>
              </w:rPr>
            </m:ctrlPr>
          </m:sSubPr>
          <m:e>
            <m:r>
              <w:rPr>
                <w:rFonts w:ascii="Cambria Math" w:hAnsi="Cambria Math" w:cs="Times New Roman"/>
                <w:sz w:val="20"/>
                <w:szCs w:val="20"/>
              </w:rPr>
              <m:t>t</m:t>
            </m:r>
          </m:e>
          <m:sub>
            <m:r>
              <w:rPr>
                <w:rFonts w:ascii="Cambria Math" w:hAnsi="Cambria Math" w:cs="Times New Roman"/>
                <w:sz w:val="20"/>
                <w:szCs w:val="20"/>
              </w:rPr>
              <m:t>0</m:t>
            </m:r>
          </m:sub>
        </m:sSub>
        <m:r>
          <w:rPr>
            <w:rFonts w:ascii="Cambria Math" w:hAnsi="Cambria Math" w:cs="Times New Roman"/>
            <w:sz w:val="20"/>
            <w:szCs w:val="20"/>
          </w:rPr>
          <m:t>=2015</m:t>
        </m:r>
      </m:oMath>
      <w:r w:rsidR="007C39C6" w:rsidRPr="0073291E">
        <w:rPr>
          <w:rFonts w:ascii="Times New Roman" w:hAnsi="Times New Roman" w:cs="Times New Roman"/>
          <w:sz w:val="20"/>
          <w:szCs w:val="20"/>
        </w:rPr>
        <w:t xml:space="preserve"> for England), with an annual increment of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β</m:t>
            </m:r>
          </m:sub>
        </m:sSub>
      </m:oMath>
      <w:r w:rsidR="007C39C6" w:rsidRPr="0073291E">
        <w:rPr>
          <w:rFonts w:ascii="Times New Roman" w:hAnsi="Times New Roman" w:cs="Times New Roman"/>
          <w:sz w:val="20"/>
          <w:szCs w:val="20"/>
        </w:rPr>
        <w:t>. The resulting force of infection is expressed as:</w:t>
      </w:r>
    </w:p>
    <w:p w14:paraId="294D1A6C" w14:textId="7078FDEC" w:rsidR="007C39C6" w:rsidRPr="002D7CDC" w:rsidRDefault="00000000" w:rsidP="007C39C6">
      <w:pPr>
        <w:pStyle w:val="NormalWeb"/>
        <w:spacing w:line="276" w:lineRule="auto"/>
        <w:jc w:val="both"/>
        <w:rPr>
          <w:iCs/>
          <w:sz w:val="20"/>
          <w:szCs w:val="20"/>
          <w:lang w:val="en-US"/>
        </w:rPr>
      </w:pPr>
      <m:oMathPara>
        <m:oMath>
          <m:eqArr>
            <m:eqArrPr>
              <m:maxDist m:val="1"/>
              <m:ctrlPr>
                <w:rPr>
                  <w:rFonts w:ascii="Cambria Math" w:hAnsi="Cambria Math"/>
                  <w:i/>
                  <w:iCs/>
                  <w:sz w:val="20"/>
                  <w:szCs w:val="20"/>
                  <w:lang w:val="en-US"/>
                </w:rPr>
              </m:ctrlPr>
            </m:eqArrPr>
            <m:e>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r>
                <w:rPr>
                  <w:rFonts w:ascii="Cambria Math" w:hAnsi="Cambria Math"/>
                  <w:sz w:val="20"/>
                  <w:szCs w:val="20"/>
                  <w:lang w:val="en-US"/>
                </w:rPr>
                <m:t>β</m:t>
              </m:r>
              <m:d>
                <m:dPr>
                  <m:ctrlPr>
                    <w:rPr>
                      <w:rFonts w:ascii="Cambria Math" w:hAnsi="Cambria Math"/>
                      <w:i/>
                      <w:iCs/>
                      <w:sz w:val="20"/>
                      <w:szCs w:val="20"/>
                      <w:lang w:val="en-US"/>
                    </w:rPr>
                  </m:ctrlPr>
                </m:dPr>
                <m:e>
                  <m:r>
                    <w:rPr>
                      <w:rFonts w:ascii="Cambria Math" w:hAnsi="Cambria Math"/>
                      <w:sz w:val="20"/>
                      <w:szCs w:val="20"/>
                      <w:lang w:val="en-US"/>
                    </w:rPr>
                    <m:t>1+</m:t>
                  </m:r>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d>
                    <m:dPr>
                      <m:ctrlPr>
                        <w:rPr>
                          <w:rFonts w:ascii="Cambria Math" w:hAnsi="Cambria Math"/>
                          <w:i/>
                          <w:iCs/>
                          <w:sz w:val="20"/>
                          <w:szCs w:val="20"/>
                          <w:lang w:val="en-US"/>
                        </w:rPr>
                      </m:ctrlPr>
                    </m:dPr>
                    <m:e>
                      <m:r>
                        <w:rPr>
                          <w:rFonts w:ascii="Cambria Math" w:hAnsi="Cambria Math"/>
                          <w:sz w:val="20"/>
                          <w:szCs w:val="20"/>
                          <w:lang w:val="en-US"/>
                        </w:rPr>
                        <m:t>t-</m:t>
                      </m:r>
                      <m:sSub>
                        <m:sSubPr>
                          <m:ctrlPr>
                            <w:rPr>
                              <w:rFonts w:ascii="Cambria Math" w:hAnsi="Cambria Math"/>
                              <w:i/>
                              <w:iCs/>
                              <w:sz w:val="20"/>
                              <w:szCs w:val="20"/>
                              <w:lang w:val="en-US"/>
                            </w:rPr>
                          </m:ctrlPr>
                        </m:sSubPr>
                        <m:e>
                          <m:r>
                            <w:rPr>
                              <w:rFonts w:ascii="Cambria Math" w:hAnsi="Cambria Math"/>
                              <w:sz w:val="20"/>
                              <w:szCs w:val="20"/>
                              <w:lang w:val="en-US"/>
                            </w:rPr>
                            <m:t>t</m:t>
                          </m:r>
                        </m:e>
                        <m:sub>
                          <m:r>
                            <w:rPr>
                              <w:rFonts w:ascii="Cambria Math" w:hAnsi="Cambria Math"/>
                              <w:sz w:val="20"/>
                              <w:szCs w:val="20"/>
                              <w:lang w:val="en-US"/>
                            </w:rPr>
                            <m:t>0</m:t>
                          </m:r>
                        </m:sub>
                      </m:sSub>
                    </m:e>
                  </m:d>
                </m:e>
              </m:d>
              <m:d>
                <m:dPr>
                  <m:ctrlPr>
                    <w:rPr>
                      <w:rFonts w:ascii="Cambria Math" w:hAnsi="Cambria Math"/>
                      <w:i/>
                      <w:iCs/>
                      <w:sz w:val="20"/>
                      <w:szCs w:val="20"/>
                      <w:lang w:val="en-US"/>
                    </w:rPr>
                  </m:ctrlPr>
                </m:dPr>
                <m:e>
                  <m:r>
                    <w:rPr>
                      <w:rFonts w:ascii="Cambria Math" w:hAnsi="Cambria Math"/>
                      <w:sz w:val="20"/>
                      <w:szCs w:val="20"/>
                      <w:lang w:val="en-US"/>
                    </w:rPr>
                    <m:t>ϵ</m:t>
                  </m:r>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den>
                  </m:f>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1-ϵ</m:t>
                      </m:r>
                    </m:e>
                  </m:d>
                  <m:d>
                    <m:dPr>
                      <m:ctrlPr>
                        <w:rPr>
                          <w:rFonts w:ascii="Cambria Math" w:hAnsi="Cambria Math"/>
                          <w:i/>
                          <w:iCs/>
                          <w:sz w:val="20"/>
                          <w:szCs w:val="20"/>
                          <w:lang w:val="en-US"/>
                        </w:rPr>
                      </m:ctrlPr>
                    </m:dPr>
                    <m:e>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L,H</m:t>
                          </m:r>
                          <m:r>
                            <m:rPr>
                              <m:lit/>
                            </m:rPr>
                            <w:rPr>
                              <w:rFonts w:ascii="Cambria Math" w:hAnsi="Cambria Math"/>
                              <w:sz w:val="20"/>
                              <w:szCs w:val="20"/>
                              <w:lang w:val="en-US"/>
                            </w:rPr>
                            <m:t>}</m:t>
                          </m:r>
                        </m:sub>
                        <m:sup/>
                        <m:e>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den>
                          </m:f>
                        </m:e>
                      </m:nary>
                    </m:e>
                  </m:d>
                </m:e>
              </m:d>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1</m:t>
                  </m:r>
                </m:e>
              </m:d>
            </m:e>
          </m:eqArr>
          <m:r>
            <m:rPr>
              <m:sty m:val="p"/>
            </m:rPr>
            <w:rPr>
              <w:rFonts w:ascii="Cambria Math" w:hAnsi="Cambria Math"/>
              <w:sz w:val="20"/>
              <w:szCs w:val="20"/>
              <w:lang w:val="en-US"/>
            </w:rPr>
            <w:br/>
          </m:r>
        </m:oMath>
      </m:oMathPara>
      <w:proofErr w:type="gramStart"/>
      <w:r w:rsidR="007C39C6" w:rsidRPr="002D7CDC">
        <w:rPr>
          <w:iCs/>
          <w:sz w:val="20"/>
          <w:szCs w:val="20"/>
          <w:lang w:val="en-US"/>
        </w:rPr>
        <w:t>where</w:t>
      </w:r>
      <w:proofErr w:type="gramEnd"/>
    </w:p>
    <w:p w14:paraId="0DFB61FA" w14:textId="5CA29B44" w:rsidR="007C39C6" w:rsidRPr="00092D96" w:rsidRDefault="00000000" w:rsidP="007C39C6">
      <w:pPr>
        <w:pStyle w:val="NormalWeb"/>
        <w:spacing w:line="276" w:lineRule="auto"/>
        <w:jc w:val="both"/>
        <w:rPr>
          <w:iCs/>
          <w:sz w:val="20"/>
          <w:szCs w:val="20"/>
          <w:lang w:val="en-US"/>
        </w:rPr>
      </w:pPr>
      <m:oMathPara>
        <m:oMath>
          <m:eqArr>
            <m:eqArrPr>
              <m:maxDist m:val="1"/>
              <m:ctrlPr>
                <w:rPr>
                  <w:rFonts w:ascii="Cambria Math" w:hAnsi="Cambria Math"/>
                  <w:i/>
                  <w:iCs/>
                  <w:sz w:val="20"/>
                  <w:szCs w:val="20"/>
                  <w:lang w:val="en-US"/>
                </w:rPr>
              </m:ctrlPr>
            </m:eqArrPr>
            <m:e>
              <m:r>
                <w:rPr>
                  <w:rFonts w:ascii="Cambria Math" w:hAnsi="Cambria Math"/>
                  <w:sz w:val="20"/>
                  <w:szCs w:val="20"/>
                  <w:lang w:val="en-US"/>
                </w:rPr>
                <m:t xml:space="preserve"> </m:t>
              </m:r>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f>
                <m:fPr>
                  <m:ctrlPr>
                    <w:rPr>
                      <w:rFonts w:ascii="Cambria Math" w:hAnsi="Cambria Math"/>
                      <w:i/>
                      <w:iCs/>
                      <w:sz w:val="20"/>
                      <w:szCs w:val="20"/>
                      <w:lang w:val="en-US"/>
                    </w:rPr>
                  </m:ctrlPr>
                </m:fPr>
                <m:num>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num>
                <m:den>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L,H</m:t>
                      </m:r>
                      <m:r>
                        <m:rPr>
                          <m:lit/>
                        </m:rPr>
                        <w:rPr>
                          <w:rFonts w:ascii="Cambria Math" w:hAnsi="Cambria Math"/>
                          <w:sz w:val="20"/>
                          <w:szCs w:val="20"/>
                          <w:lang w:val="en-US"/>
                        </w:rPr>
                        <m:t>}</m:t>
                      </m:r>
                    </m:sub>
                    <m:sup/>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e>
                  </m:nary>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den>
              </m:f>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2</m:t>
                  </m:r>
                </m:e>
              </m:d>
            </m:e>
          </m:eqArr>
          <m:r>
            <m:rPr>
              <m:sty m:val="p"/>
            </m:rPr>
            <w:rPr>
              <w:rFonts w:ascii="Cambria Math" w:hAnsi="Cambria Math"/>
              <w:sz w:val="20"/>
              <w:szCs w:val="20"/>
              <w:lang w:val="en-US"/>
            </w:rPr>
            <w:br/>
          </m:r>
        </m:oMath>
        <m:oMath>
          <m:eqArr>
            <m:eqArrPr>
              <m:maxDist m:val="1"/>
              <m:ctrlPr>
                <w:rPr>
                  <w:rFonts w:ascii="Cambria Math" w:hAnsi="Cambria Math"/>
                  <w:i/>
                  <w:iCs/>
                  <w:sz w:val="20"/>
                  <w:szCs w:val="20"/>
                  <w:lang w:val="en-US"/>
                </w:rPr>
              </m:ctrlPr>
            </m:eqArrPr>
            <m:e>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N,D,V,M</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A</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S</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e>
                  </m:d>
                </m:e>
              </m:nary>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3</m:t>
                  </m:r>
                </m:e>
              </m:d>
            </m:e>
          </m:eqArr>
          <m:r>
            <m:rPr>
              <m:sty m:val="p"/>
            </m:rPr>
            <w:rPr>
              <w:rFonts w:ascii="Cambria Math" w:hAnsi="Cambria Math"/>
              <w:sz w:val="20"/>
              <w:szCs w:val="20"/>
              <w:lang w:val="en-US"/>
            </w:rPr>
            <w:br/>
          </m:r>
        </m:oMath>
        <m:oMath>
          <m:eqArr>
            <m:eqArrPr>
              <m:maxDist m:val="1"/>
              <m:ctrlPr>
                <w:rPr>
                  <w:rFonts w:ascii="Cambria Math" w:hAnsi="Cambria Math"/>
                  <w:i/>
                  <w:iCs/>
                  <w:sz w:val="20"/>
                  <w:szCs w:val="20"/>
                  <w:lang w:val="en-US"/>
                </w:rPr>
              </m:ctrlPr>
            </m:eqArrPr>
            <m:e>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N,D,V,M</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U</m:t>
                          </m:r>
                        </m:e>
                        <m:sub>
                          <m:r>
                            <w:rPr>
                              <w:rFonts w:ascii="Cambria Math" w:hAnsi="Cambria Math"/>
                              <w:sz w:val="20"/>
                              <w:szCs w:val="20"/>
                              <w:lang w:val="en-US"/>
                            </w:rPr>
                            <m:t>i,j</m:t>
                          </m:r>
                        </m:sub>
                        <m:sup>
                          <m:r>
                            <w:rPr>
                              <w:rFonts w:ascii="Cambria Math" w:hAnsi="Cambria Math"/>
                              <w:sz w:val="20"/>
                              <w:szCs w:val="20"/>
                              <w:lang w:val="en-US"/>
                            </w:rPr>
                            <m:t xml:space="preserve"> </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limLoc m:val="undOvr"/>
                          <m:supHide m:val="1"/>
                          <m:ctrlPr>
                            <w:rPr>
                              <w:rFonts w:ascii="Cambria Math" w:hAnsi="Cambria Math"/>
                              <w:i/>
                              <w:iCs/>
                              <w:sz w:val="20"/>
                              <w:szCs w:val="20"/>
                              <w:lang w:val="en-US"/>
                            </w:rPr>
                          </m:ctrlPr>
                        </m:naryPr>
                        <m:sub>
                          <m:r>
                            <w:rPr>
                              <w:rFonts w:ascii="Cambria Math" w:hAnsi="Cambria Math"/>
                              <w:sz w:val="20"/>
                              <w:szCs w:val="20"/>
                              <w:lang w:val="en-US"/>
                            </w:rPr>
                            <m:t>k∈</m:t>
                          </m:r>
                          <m:r>
                            <m:rPr>
                              <m:lit/>
                            </m:rPr>
                            <w:rPr>
                              <w:rFonts w:ascii="Cambria Math" w:hAnsi="Cambria Math"/>
                              <w:sz w:val="20"/>
                              <w:szCs w:val="20"/>
                              <w:lang w:val="en-US"/>
                            </w:rPr>
                            <m:t>{</m:t>
                          </m:r>
                          <m:r>
                            <w:rPr>
                              <w:rFonts w:ascii="Cambria Math" w:hAnsi="Cambria Math"/>
                              <w:color w:val="000000" w:themeColor="text1"/>
                              <w:sz w:val="20"/>
                              <w:szCs w:val="20"/>
                              <w:lang w:val="en-US"/>
                            </w:rPr>
                            <m:t>0, c, t, d2</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A</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S</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T</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e>
                          </m:d>
                        </m:e>
                      </m:nary>
                    </m:e>
                  </m:d>
                </m:e>
              </m:nary>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4</m:t>
                  </m:r>
                </m:e>
              </m:d>
            </m:e>
          </m:eqArr>
        </m:oMath>
      </m:oMathPara>
    </w:p>
    <w:p w14:paraId="7F463A35" w14:textId="1F1502A9" w:rsidR="00B06488" w:rsidRDefault="00B06488" w:rsidP="007C39C6">
      <w:pPr>
        <w:spacing w:before="100" w:beforeAutospacing="1" w:after="100" w:afterAutospacing="1" w:line="276" w:lineRule="auto"/>
        <w:jc w:val="both"/>
        <w:rPr>
          <w:rFonts w:ascii="Times New Roman" w:hAnsi="Times New Roman" w:cs="Times New Roman"/>
          <w:sz w:val="20"/>
          <w:szCs w:val="20"/>
        </w:rPr>
      </w:pPr>
      <w:r w:rsidRPr="00B06488">
        <w:rPr>
          <w:rFonts w:ascii="Times New Roman" w:hAnsi="Times New Roman" w:cs="Times New Roman"/>
          <w:sz w:val="20"/>
          <w:szCs w:val="20"/>
        </w:rPr>
        <w:t xml:space="preserve">The parameter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Pr>
          <w:rFonts w:ascii="Times New Roman" w:hAnsi="Times New Roman" w:cs="Times New Roman"/>
          <w:sz w:val="20"/>
          <w:szCs w:val="20"/>
        </w:rPr>
        <w:t xml:space="preserve"> </w:t>
      </w:r>
      <w:r w:rsidRPr="00B06488">
        <w:rPr>
          <w:rFonts w:ascii="Times New Roman" w:hAnsi="Times New Roman" w:cs="Times New Roman"/>
          <w:sz w:val="20"/>
          <w:szCs w:val="20"/>
        </w:rPr>
        <w:t xml:space="preserve">was assumed to be identical across all four strains. This parameter represents the temporal modulation of transmission intensity, capturing gradual changes in effective contact or transmission probability over time (e.g., due to behavioural shifts, intervention uptake, or secular trends). As such,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Pr>
          <w:rFonts w:ascii="Times New Roman" w:hAnsi="Times New Roman" w:cs="Times New Roman"/>
          <w:iCs/>
          <w:sz w:val="20"/>
          <w:szCs w:val="20"/>
          <w:lang w:val="en-US"/>
        </w:rPr>
        <w:t xml:space="preserve"> </w:t>
      </w:r>
      <w:r w:rsidRPr="00B06488">
        <w:rPr>
          <w:rFonts w:ascii="Times New Roman" w:hAnsi="Times New Roman" w:cs="Times New Roman"/>
          <w:sz w:val="20"/>
          <w:szCs w:val="20"/>
        </w:rPr>
        <w:t xml:space="preserve">reflects population-level dynamics rather than strain-specific biological properties. Allowing strain-specific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sidRPr="00B06488">
        <w:rPr>
          <w:rFonts w:ascii="Times New Roman" w:hAnsi="Times New Roman" w:cs="Times New Roman"/>
          <w:sz w:val="20"/>
          <w:szCs w:val="20"/>
        </w:rPr>
        <w:t xml:space="preserve">​ would imply that each strain experiences a distinct time-varying change in transmissibility driven by external factors, which is not strongly supported by empirical evidence in this context. Moreover, introducing separate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sidRPr="00B06488">
        <w:rPr>
          <w:rFonts w:ascii="Times New Roman" w:hAnsi="Times New Roman" w:cs="Times New Roman"/>
          <w:sz w:val="20"/>
          <w:szCs w:val="20"/>
        </w:rPr>
        <w:t xml:space="preserve">​ parameters for each strain would substantially increase model complexity and exacerbate parameter non-identifiability, particularly given that the available surveillance data are not strain-resolved. By contrast, maintaining a shared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sidRPr="00B06488">
        <w:rPr>
          <w:rFonts w:ascii="Times New Roman" w:hAnsi="Times New Roman" w:cs="Times New Roman"/>
          <w:sz w:val="20"/>
          <w:szCs w:val="20"/>
        </w:rPr>
        <w:t xml:space="preserve">​ across </w:t>
      </w:r>
      <w:r w:rsidRPr="00B06488">
        <w:rPr>
          <w:rFonts w:ascii="Times New Roman" w:hAnsi="Times New Roman" w:cs="Times New Roman"/>
          <w:sz w:val="20"/>
          <w:szCs w:val="20"/>
        </w:rPr>
        <w:lastRenderedPageBreak/>
        <w:t xml:space="preserve">strains ensures parsimony while preserving the ability to capture temporal trends in transmission. This assumption is consistent with the interpretation that changes in behaviour, healthcare access, or intervention coverage affect all circulating strains similarly. Therefore, a common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Pr>
          <w:rFonts w:ascii="Times New Roman" w:hAnsi="Times New Roman" w:cs="Times New Roman"/>
          <w:iCs/>
          <w:sz w:val="20"/>
          <w:szCs w:val="20"/>
          <w:lang w:val="en-US"/>
        </w:rPr>
        <w:t xml:space="preserve"> </w:t>
      </w:r>
      <w:r w:rsidRPr="00B06488">
        <w:rPr>
          <w:rFonts w:ascii="Times New Roman" w:hAnsi="Times New Roman" w:cs="Times New Roman"/>
          <w:sz w:val="20"/>
          <w:szCs w:val="20"/>
        </w:rPr>
        <w:t>provides a biologically and epidemiologically plausible representation of time-varying transmission while improving parameter identifiability and model robustness.</w:t>
      </w:r>
    </w:p>
    <w:p w14:paraId="7FEA64E5" w14:textId="7382E2DD" w:rsidR="007C39C6" w:rsidRPr="002D7CDC" w:rsidRDefault="007C39C6" w:rsidP="007C39C6">
      <w:pPr>
        <w:spacing w:before="100" w:beforeAutospacing="1" w:after="100" w:afterAutospacing="1"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The screening rate, </w:t>
      </w:r>
      <m:oMath>
        <m:sSub>
          <m:sSubPr>
            <m:ctrlPr>
              <w:rPr>
                <w:rFonts w:ascii="Cambria Math" w:hAnsi="Cambria Math" w:cs="Times New Roman"/>
                <w:i/>
                <w:color w:val="000000"/>
                <w:sz w:val="20"/>
                <w:szCs w:val="20"/>
                <w:lang w:val="en-GB"/>
              </w:rPr>
            </m:ctrlPr>
          </m:sSubPr>
          <m:e>
            <m:r>
              <w:rPr>
                <w:rFonts w:ascii="Cambria Math" w:hAnsi="Cambria Math" w:cs="Times New Roman"/>
                <w:color w:val="000000"/>
                <w:sz w:val="20"/>
                <w:szCs w:val="20"/>
                <w:lang w:val="en-GB"/>
              </w:rPr>
              <m:t>η</m:t>
            </m:r>
            <m:ctrlPr>
              <w:rPr>
                <w:rFonts w:ascii="Cambria Math" w:hAnsi="Cambria Math" w:cs="Times New Roman"/>
                <w:color w:val="000000"/>
                <w:sz w:val="20"/>
                <w:szCs w:val="20"/>
                <w:lang w:val="en-GB"/>
              </w:rPr>
            </m:ctrlPr>
          </m:e>
          <m:sub>
            <m:r>
              <w:rPr>
                <w:rFonts w:ascii="Cambria Math" w:hAnsi="Cambria Math" w:cs="Times New Roman"/>
                <w:color w:val="000000"/>
                <w:sz w:val="20"/>
                <w:szCs w:val="20"/>
                <w:lang w:val="en-GB"/>
              </w:rPr>
              <m:t>j</m:t>
            </m:r>
          </m:sub>
        </m:sSub>
        <m:d>
          <m:dPr>
            <m:ctrlPr>
              <w:rPr>
                <w:rFonts w:ascii="Cambria Math" w:hAnsi="Cambria Math" w:cs="Times New Roman"/>
                <w:i/>
                <w:color w:val="000000"/>
                <w:sz w:val="20"/>
                <w:szCs w:val="20"/>
                <w:lang w:val="en-GB"/>
              </w:rPr>
            </m:ctrlPr>
          </m:dPr>
          <m:e>
            <m:r>
              <w:rPr>
                <w:rFonts w:ascii="Cambria Math" w:hAnsi="Cambria Math" w:cs="Times New Roman"/>
                <w:color w:val="000000"/>
                <w:sz w:val="20"/>
                <w:szCs w:val="20"/>
                <w:lang w:val="en-GB"/>
              </w:rPr>
              <m:t>t</m:t>
            </m:r>
          </m:e>
        </m:d>
      </m:oMath>
      <w:r w:rsidRPr="002D7CDC">
        <w:rPr>
          <w:rFonts w:ascii="Times New Roman" w:hAnsi="Times New Roman" w:cs="Times New Roman"/>
          <w:color w:val="000000"/>
          <w:sz w:val="20"/>
          <w:szCs w:val="20"/>
          <w:lang w:val="en-GB"/>
        </w:rPr>
        <w:t xml:space="preserve">, </w:t>
      </w:r>
      <w:r w:rsidRPr="002D7CDC">
        <w:rPr>
          <w:rFonts w:ascii="Times New Roman" w:hAnsi="Times New Roman" w:cs="Times New Roman"/>
          <w:sz w:val="20"/>
          <w:szCs w:val="20"/>
        </w:rPr>
        <w:t xml:space="preserve">defined as testing in the absence of symptoms and thus applicable to asymptomatic or uninfected individuals, varies by sexual activity group. For both groups, the screening rate increases linearly over time, rising by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η</m:t>
            </m:r>
          </m:sub>
        </m:sSub>
      </m:oMath>
      <w:r w:rsidRPr="002D7CDC">
        <w:rPr>
          <w:rFonts w:ascii="Times New Roman" w:hAnsi="Times New Roman" w:cs="Times New Roman"/>
          <w:sz w:val="20"/>
          <w:szCs w:val="20"/>
        </w:rPr>
        <w:t xml:space="preserve"> each year from the initial rate at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oMath>
      <w:r w:rsidRPr="002D7CDC">
        <w:rPr>
          <w:rFonts w:ascii="Times New Roman" w:hAnsi="Times New Roman" w:cs="Times New Roman"/>
          <w:sz w:val="20"/>
          <w:szCs w:val="20"/>
        </w:rPr>
        <w:t>, as follows:</w:t>
      </w:r>
    </w:p>
    <w:p w14:paraId="5E2DA46B" w14:textId="77777777" w:rsidR="007C39C6" w:rsidRPr="002D7CDC" w:rsidRDefault="00000000" w:rsidP="007C39C6">
      <w:pPr>
        <w:spacing w:before="100" w:beforeAutospacing="1" w:after="100" w:afterAutospacing="1" w:line="276" w:lineRule="auto"/>
        <w:jc w:val="both"/>
        <w:rPr>
          <w:rFonts w:ascii="Times New Roman" w:hAnsi="Times New Roman" w:cs="Times New Roman"/>
          <w:iCs/>
          <w:sz w:val="20"/>
          <w:szCs w:val="20"/>
          <w:lang w:val="en-US"/>
        </w:rPr>
      </w:pPr>
      <m:oMathPara>
        <m:oMath>
          <m:eqArr>
            <m:eqArrPr>
              <m:maxDist m:val="1"/>
              <m:ctrlPr>
                <w:rPr>
                  <w:rFonts w:ascii="Cambria Math" w:hAnsi="Cambria Math" w:cs="Times New Roman"/>
                  <w:i/>
                  <w:iCs/>
                  <w:sz w:val="20"/>
                  <w:szCs w:val="20"/>
                  <w:lang w:val="en-US"/>
                </w:rPr>
              </m:ctrlPr>
            </m:eqArr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e>
              </m:d>
              <m:d>
                <m:dPr>
                  <m:ctrlPr>
                    <w:rPr>
                      <w:rFonts w:ascii="Cambria Math" w:hAnsi="Cambria Math" w:cs="Times New Roman"/>
                      <w:i/>
                      <w:iCs/>
                      <w:sz w:val="20"/>
                      <w:szCs w:val="20"/>
                      <w:lang w:val="en-US"/>
                    </w:rPr>
                  </m:ctrlPr>
                </m:dPr>
                <m:e>
                  <m:r>
                    <w:rPr>
                      <w:rFonts w:ascii="Cambria Math" w:hAnsi="Cambria Math" w:cs="Times New Roman"/>
                      <w:sz w:val="20"/>
                      <w:szCs w:val="20"/>
                      <w:lang w:val="en-US"/>
                    </w:rPr>
                    <m:t>1+</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η</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e>
                  </m:d>
                </m:e>
              </m:d>
              <m:r>
                <w:rPr>
                  <w:rFonts w:ascii="Cambria Math" w:hAnsi="Cambria Math" w:cs="Times New Roman"/>
                  <w:sz w:val="20"/>
                  <w:szCs w:val="20"/>
                  <w:lang w:val="en-US"/>
                </w:rPr>
                <m:t>#</m:t>
              </m:r>
              <m:d>
                <m:dPr>
                  <m:ctrlPr>
                    <w:rPr>
                      <w:rFonts w:ascii="Cambria Math" w:hAnsi="Cambria Math" w:cs="Times New Roman"/>
                      <w:i/>
                      <w:iCs/>
                      <w:sz w:val="20"/>
                      <w:szCs w:val="20"/>
                      <w:lang w:val="en-US"/>
                    </w:rPr>
                  </m:ctrlPr>
                </m:dPr>
                <m:e>
                  <m:r>
                    <w:rPr>
                      <w:rFonts w:ascii="Cambria Math" w:hAnsi="Cambria Math" w:cs="Times New Roman"/>
                      <w:sz w:val="20"/>
                      <w:szCs w:val="20"/>
                      <w:lang w:val="en-US"/>
                    </w:rPr>
                    <m:t>5</m:t>
                  </m:r>
                </m:e>
              </m:d>
            </m:e>
          </m:eqArr>
          <m:r>
            <m:rPr>
              <m:sty m:val="p"/>
            </m:rPr>
            <w:rPr>
              <w:rFonts w:ascii="Cambria Math" w:hAnsi="Cambria Math" w:cs="Times New Roman"/>
              <w:sz w:val="20"/>
              <w:szCs w:val="20"/>
              <w:lang w:val="en-US"/>
            </w:rPr>
            <w:br/>
          </m:r>
        </m:oMath>
        <m:oMath>
          <m:eqArr>
            <m:eqArrPr>
              <m:maxDist m:val="1"/>
              <m:ctrlPr>
                <w:rPr>
                  <w:rFonts w:ascii="Cambria Math" w:hAnsi="Cambria Math" w:cs="Times New Roman"/>
                  <w:i/>
                  <w:iCs/>
                  <w:sz w:val="20"/>
                  <w:szCs w:val="20"/>
                  <w:lang w:val="en-US"/>
                </w:rPr>
              </m:ctrlPr>
            </m:eqArr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L</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=ω</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d>
                <m:dPr>
                  <m:ctrlPr>
                    <w:rPr>
                      <w:rFonts w:ascii="Cambria Math" w:hAnsi="Cambria Math" w:cs="Times New Roman"/>
                      <w:i/>
                      <w:iCs/>
                      <w:sz w:val="20"/>
                      <w:szCs w:val="20"/>
                      <w:lang w:val="en-US"/>
                    </w:rPr>
                  </m:ctrlPr>
                </m:dPr>
                <m:e>
                  <m:r>
                    <w:rPr>
                      <w:rFonts w:ascii="Cambria Math" w:hAnsi="Cambria Math" w:cs="Times New Roman"/>
                      <w:sz w:val="20"/>
                      <w:szCs w:val="20"/>
                      <w:lang w:val="en-US"/>
                    </w:rPr>
                    <m:t>6</m:t>
                  </m:r>
                </m:e>
              </m:d>
            </m:e>
          </m:eqArr>
        </m:oMath>
      </m:oMathPara>
    </w:p>
    <w:p w14:paraId="24B0800A" w14:textId="799AF018" w:rsidR="007C39C6" w:rsidRDefault="007C39C6" w:rsidP="007C39C6">
      <w:pPr>
        <w:spacing w:before="100" w:beforeAutospacing="1" w:after="100" w:afterAutospacing="1"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To account for differences in behaviour, a factor </w:t>
      </w:r>
      <m:oMath>
        <m:r>
          <w:rPr>
            <w:rFonts w:ascii="Cambria Math" w:hAnsi="Cambria Math" w:cs="Times New Roman"/>
            <w:sz w:val="20"/>
            <w:szCs w:val="20"/>
          </w:rPr>
          <m:t>0&lt;ω&lt;1</m:t>
        </m:r>
      </m:oMath>
      <w:r w:rsidRPr="002D7CDC">
        <w:rPr>
          <w:rFonts w:ascii="Times New Roman" w:hAnsi="Times New Roman" w:cs="Times New Roman"/>
          <w:sz w:val="20"/>
          <w:szCs w:val="20"/>
        </w:rPr>
        <w:t xml:space="preserve"> is applied, reflecting that individuals in the low-activity group undergo screening less frequently than those in the high-activity group</w:t>
      </w:r>
      <w:r>
        <w:rPr>
          <w:rFonts w:ascii="Times New Roman" w:hAnsi="Times New Roman" w:cs="Times New Roman"/>
          <w:sz w:val="20"/>
          <w:szCs w:val="20"/>
        </w:rPr>
        <w:t>.</w:t>
      </w:r>
    </w:p>
    <w:p w14:paraId="24FB753C" w14:textId="66B40542" w:rsidR="008C079B" w:rsidRPr="008C079B" w:rsidRDefault="008C079B" w:rsidP="008C079B">
      <w:p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Pr>
          <w:rFonts w:ascii="Times New Roman" w:hAnsi="Times New Roman" w:cs="Times New Roman"/>
          <w:color w:val="000000" w:themeColor="text1"/>
          <w:kern w:val="0"/>
          <w:sz w:val="20"/>
          <w:szCs w:val="20"/>
          <w14:ligatures w14:val="none"/>
        </w:rPr>
        <w:t>Compartmental model equations</w:t>
      </w:r>
    </w:p>
    <w:p w14:paraId="7358F8A1" w14:textId="076ABDAE" w:rsidR="00DB3DC4" w:rsidRPr="00DB3DC4" w:rsidRDefault="00DB3DC4" w:rsidP="00DB3DC4">
      <w:pPr>
        <w:pStyle w:val="ListParagraph"/>
        <w:numPr>
          <w:ilvl w:val="0"/>
          <w:numId w:val="5"/>
        </w:num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sidRPr="00DB3DC4">
        <w:rPr>
          <w:rFonts w:ascii="Times New Roman" w:hAnsi="Times New Roman" w:cs="Times New Roman"/>
          <w:color w:val="000000" w:themeColor="text1"/>
          <w:kern w:val="0"/>
          <w:sz w:val="20"/>
          <w:szCs w:val="20"/>
          <w14:ligatures w14:val="none"/>
        </w:rPr>
        <w:t>For “No Intervention” (N):</w:t>
      </w:r>
    </w:p>
    <w:p w14:paraId="69E2D4A7" w14:textId="44BD403B" w:rsidR="00F14CE2" w:rsidRPr="004F4B9C" w:rsidRDefault="00000000" w:rsidP="00F14CE2">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m:rPr>
              <m:sty m:val="p"/>
            </m:rPr>
            <w:rPr>
              <w:rFonts w:ascii="Cambria Math" w:hAnsi="Cambria Math"/>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m:rPr>
              <m:sty m:val="p"/>
            </m:rPr>
            <w:rPr>
              <w:rFonts w:ascii="Cambria Math" w:eastAsia="Times New Roman" w:hAnsi="Cambria Math"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430E62D5" w14:textId="4620CFEF" w:rsidR="00D337FB" w:rsidRPr="004033EF" w:rsidRDefault="00D337FB" w:rsidP="00D337FB">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 (D):</w:t>
      </w:r>
    </w:p>
    <w:p w14:paraId="2A03ACF1" w14:textId="450AE63C" w:rsidR="00620092" w:rsidRPr="002C3F2C"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18</m:t>
                  </m:r>
                </m:e>
              </m:d>
            </m:e>
          </m:eqArr>
          <m:r>
            <m:rPr>
              <m:sty m:val="p"/>
            </m:rP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34</m:t>
                  </m:r>
                </m:e>
              </m:d>
            </m:e>
          </m:eqArr>
        </m:oMath>
      </m:oMathPara>
    </w:p>
    <w:p w14:paraId="602E1DFB" w14:textId="39BA81EA" w:rsidR="002C3F2C" w:rsidRPr="002C3F2C" w:rsidRDefault="002C3F2C" w:rsidP="002C3F2C">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lastRenderedPageBreak/>
        <w:t>For “Doxy-PEP+4CMenB” (V):</w:t>
      </w:r>
    </w:p>
    <w:p w14:paraId="00B3CD2A" w14:textId="12C34838" w:rsidR="00870795" w:rsidRPr="00535D63"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DengXian" w:hAnsi="Cambria Math" w:cs="Times New Roman"/>
                      <w:i/>
                      <w:color w:val="000000" w:themeColor="text1"/>
                      <w:kern w:val="0"/>
                      <w:sz w:val="20"/>
                      <w:szCs w:val="20"/>
                      <w14:ligatures w14:val="none"/>
                    </w:rPr>
                  </m:ctrlPr>
                </m:sSubPr>
                <m:e>
                  <m:r>
                    <w:rPr>
                      <w:rFonts w:ascii="Cambria Math" w:eastAsia="DengXian" w:hAnsi="Cambria Math" w:cs="Times New Roman"/>
                      <w:color w:val="000000" w:themeColor="text1"/>
                      <w:kern w:val="0"/>
                      <w:sz w:val="20"/>
                      <w:szCs w:val="20"/>
                      <w14:ligatures w14:val="none"/>
                    </w:rPr>
                    <m:t>e</m:t>
                  </m:r>
                </m:e>
                <m:sub>
                  <m:r>
                    <w:rPr>
                      <w:rFonts w:ascii="Cambria Math" w:eastAsia="DengXian" w:hAnsi="Cambria Math" w:cs="Times New Roman"/>
                      <w:color w:val="000000" w:themeColor="text1"/>
                      <w:kern w:val="0"/>
                      <w:sz w:val="20"/>
                      <w:szCs w:val="20"/>
                      <w14:ligatures w14:val="none"/>
                    </w:rPr>
                    <m:t>vd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DengXian" w:hAnsi="Cambria Math" w:cs="Times New Roman"/>
                      <w:i/>
                      <w:iCs/>
                      <w:color w:val="000000" w:themeColor="text1"/>
                      <w:kern w:val="0"/>
                      <w:sz w:val="20"/>
                      <w:szCs w:val="20"/>
                      <w14:ligatures w14:val="none"/>
                    </w:rPr>
                  </m:ctrlPr>
                </m:sSubPr>
                <m:e>
                  <m:r>
                    <w:rPr>
                      <w:rFonts w:ascii="Cambria Math" w:eastAsia="DengXian" w:hAnsi="Cambria Math" w:cs="Times New Roman"/>
                      <w:color w:val="000000" w:themeColor="text1"/>
                      <w:kern w:val="0"/>
                      <w:sz w:val="20"/>
                      <w:szCs w:val="20"/>
                      <w14:ligatures w14:val="none"/>
                    </w:rPr>
                    <m:t>e</m:t>
                  </m:r>
                </m:e>
                <m:sub>
                  <m:r>
                    <w:rPr>
                      <w:rFonts w:ascii="Cambria Math" w:eastAsia="DengXian" w:hAnsi="Cambria Math" w:cs="Times New Roman"/>
                      <w:color w:val="000000" w:themeColor="text1"/>
                      <w:kern w:val="0"/>
                      <w:sz w:val="20"/>
                      <w:szCs w:val="20"/>
                      <w14:ligatures w14:val="none"/>
                    </w:rPr>
                    <m:t>vd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51</m:t>
                  </m:r>
                </m:e>
              </m:d>
            </m:e>
          </m:eqArr>
        </m:oMath>
      </m:oMathPara>
    </w:p>
    <w:p w14:paraId="21B8B8FF" w14:textId="649570B1" w:rsidR="00535D63" w:rsidRPr="00D817F5" w:rsidRDefault="00535D63" w:rsidP="00276DCE">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“4CMenB” (M):</w:t>
      </w:r>
    </w:p>
    <w:p w14:paraId="00FA7658" w14:textId="1CF0D296" w:rsidR="006B564D" w:rsidRPr="00204018"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68</m:t>
                  </m:r>
                </m:e>
              </m:d>
            </m:e>
          </m:eqArr>
        </m:oMath>
      </m:oMathPara>
    </w:p>
    <w:p w14:paraId="087548BE" w14:textId="1A57DF37" w:rsidR="00204018" w:rsidRDefault="00204018" w:rsidP="00276DCE">
      <w:pPr>
        <w:spacing w:before="100" w:beforeAutospacing="1" w:after="100" w:afterAutospacing="1" w:line="276" w:lineRule="auto"/>
        <w:jc w:val="both"/>
        <w:rPr>
          <w:rFonts w:ascii="Times New Roman" w:hAnsi="Times New Roman" w:cs="Times New Roman"/>
          <w:sz w:val="20"/>
          <w:szCs w:val="20"/>
          <w:lang w:val="en-GB"/>
        </w:rPr>
      </w:pPr>
      <w:r w:rsidRPr="00204018">
        <w:rPr>
          <w:rFonts w:ascii="Times New Roman" w:hAnsi="Times New Roman" w:cs="Times New Roman"/>
          <w:sz w:val="20"/>
          <w:szCs w:val="20"/>
          <w:lang w:val="en-GB"/>
        </w:rPr>
        <w:t xml:space="preserve">For each calendar year </w:t>
      </w:r>
      <m:oMath>
        <m:r>
          <w:rPr>
            <w:rFonts w:ascii="Cambria Math" w:hAnsi="Cambria Math" w:cs="Times New Roman"/>
            <w:sz w:val="20"/>
            <w:szCs w:val="20"/>
            <w:lang w:val="en-GB"/>
          </w:rPr>
          <m:t>t</m:t>
        </m:r>
      </m:oMath>
      <w:r w:rsidRPr="00204018">
        <w:rPr>
          <w:rFonts w:ascii="Times New Roman" w:hAnsi="Times New Roman" w:cs="Times New Roman"/>
          <w:sz w:val="20"/>
          <w:szCs w:val="20"/>
          <w:lang w:val="en-GB"/>
        </w:rPr>
        <w:t xml:space="preserve">, the total number of </w:t>
      </w:r>
      <w:r w:rsidR="0073291E">
        <w:rPr>
          <w:rFonts w:ascii="Times New Roman" w:hAnsi="Times New Roman" w:cs="Times New Roman"/>
          <w:sz w:val="20"/>
          <w:szCs w:val="20"/>
          <w:lang w:val="en-GB"/>
        </w:rPr>
        <w:t>gonorrhoea infection</w:t>
      </w:r>
      <w:r w:rsidRPr="00204018">
        <w:rPr>
          <w:rFonts w:ascii="Times New Roman" w:hAnsi="Times New Roman" w:cs="Times New Roman"/>
          <w:sz w:val="20"/>
          <w:szCs w:val="20"/>
          <w:lang w:val="en-GB"/>
        </w:rPr>
        <w:t xml:space="preserve"> </w:t>
      </w:r>
      <m:oMath>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k</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oMath>
      <w:r w:rsidR="00AB3080">
        <w:rPr>
          <w:rFonts w:ascii="Times New Roman" w:hAnsi="Times New Roman" w:cs="Times New Roman"/>
          <w:sz w:val="20"/>
          <w:szCs w:val="20"/>
          <w:lang w:val="en-GB"/>
        </w:rPr>
        <w:t xml:space="preserve"> </w:t>
      </w:r>
      <w:r w:rsidR="006A2A59" w:rsidRPr="00204018">
        <w:rPr>
          <w:rFonts w:ascii="Times New Roman" w:hAnsi="Times New Roman" w:cs="Times New Roman"/>
          <w:sz w:val="20"/>
          <w:szCs w:val="20"/>
          <w:lang w:val="en-GB"/>
        </w:rPr>
        <w:t xml:space="preserve">across all strata </w:t>
      </w:r>
      <m:oMath>
        <m:r>
          <w:rPr>
            <w:rFonts w:ascii="Cambria Math" w:hAnsi="Cambria Math" w:cs="Times New Roman"/>
            <w:sz w:val="20"/>
            <w:szCs w:val="20"/>
            <w:lang w:val="en-GB"/>
          </w:rPr>
          <m:t>i</m:t>
        </m:r>
        <m:r>
          <m:rPr>
            <m:sty m:val="p"/>
          </m:rPr>
          <w:rPr>
            <w:rFonts w:ascii="Cambria Math" w:hAnsi="Cambria Math" w:cs="Times New Roman"/>
            <w:sz w:val="20"/>
            <w:szCs w:val="20"/>
            <w:lang w:val="en-GB"/>
          </w:rPr>
          <m:t>∈</m:t>
        </m:r>
        <m:r>
          <m:rPr>
            <m:lit/>
            <m:sty m:val="p"/>
          </m:rPr>
          <w:rPr>
            <w:rFonts w:ascii="Cambria Math" w:hAnsi="Cambria Math" w:cs="Times New Roman"/>
            <w:sz w:val="20"/>
            <w:szCs w:val="20"/>
            <w:lang w:val="en-GB"/>
          </w:rPr>
          <m:t>{</m:t>
        </m:r>
        <m:r>
          <w:rPr>
            <w:rFonts w:ascii="Cambria Math" w:hAnsi="Cambria Math" w:cs="Times New Roman"/>
            <w:sz w:val="20"/>
            <w:szCs w:val="20"/>
            <w:lang w:val="en-GB"/>
          </w:rPr>
          <m:t>N,X,D,M</m:t>
        </m:r>
        <m:r>
          <m:rPr>
            <m:lit/>
          </m:rPr>
          <w:rPr>
            <w:rFonts w:ascii="Cambria Math" w:hAnsi="Cambria Math" w:cs="Times New Roman"/>
            <w:sz w:val="20"/>
            <w:szCs w:val="20"/>
            <w:lang w:val="en-GB"/>
          </w:rPr>
          <m:t>}</m:t>
        </m:r>
      </m:oMath>
      <w:r w:rsidR="006A2A59" w:rsidRPr="00065E5D">
        <w:rPr>
          <w:rFonts w:ascii="Times New Roman" w:hAnsi="Times New Roman" w:cs="Times New Roman"/>
          <w:sz w:val="20"/>
          <w:szCs w:val="20"/>
          <w:lang w:val="en-GB"/>
        </w:rPr>
        <w:t xml:space="preserve"> </w:t>
      </w:r>
      <w:r w:rsidR="00AB3080">
        <w:rPr>
          <w:rFonts w:ascii="Times New Roman" w:hAnsi="Times New Roman" w:cs="Times New Roman"/>
          <w:sz w:val="20"/>
          <w:szCs w:val="20"/>
          <w:lang w:val="en-GB"/>
        </w:rPr>
        <w:t xml:space="preserve">for </w:t>
      </w:r>
      <w:r w:rsidR="00AB3080" w:rsidRPr="0073291E">
        <w:rPr>
          <w:rFonts w:ascii="Times New Roman" w:hAnsi="Times New Roman" w:cs="Times New Roman"/>
          <w:color w:val="000000" w:themeColor="text1"/>
          <w:sz w:val="20"/>
          <w:szCs w:val="20"/>
          <w:lang w:val="en-US"/>
        </w:rPr>
        <w:t>strain</w:t>
      </w:r>
      <w:r w:rsidR="00B603C7">
        <w:rPr>
          <w:rFonts w:ascii="Times New Roman" w:hAnsi="Times New Roman" w:cs="Times New Roman"/>
          <w:color w:val="000000" w:themeColor="text1"/>
          <w:sz w:val="20"/>
          <w:szCs w:val="20"/>
          <w:lang w:val="en-US"/>
        </w:rPr>
        <w:t>s</w:t>
      </w:r>
      <w:r w:rsidR="00AB3080" w:rsidRPr="0073291E">
        <w:rPr>
          <w:rFonts w:ascii="Times New Roman" w:hAnsi="Times New Roman" w:cs="Times New Roman"/>
          <w:color w:val="000000" w:themeColor="text1"/>
          <w:sz w:val="20"/>
          <w:szCs w:val="20"/>
          <w:lang w:val="en-US"/>
        </w:rPr>
        <w:t xml:space="preserve"> </w:t>
      </w:r>
      <m:oMath>
        <m:r>
          <w:rPr>
            <w:rFonts w:ascii="Cambria Math" w:hAnsi="Cambria Math" w:cs="Times New Roman"/>
            <w:color w:val="000000" w:themeColor="text1"/>
            <w:sz w:val="20"/>
            <w:szCs w:val="20"/>
            <w:lang w:val="en-US"/>
          </w:rPr>
          <m:t>k∈</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0, c, t, d2</m:t>
            </m:r>
          </m:e>
        </m:d>
      </m:oMath>
      <w:r w:rsidRPr="00204018">
        <w:rPr>
          <w:rFonts w:ascii="Times New Roman" w:hAnsi="Times New Roman" w:cs="Times New Roman"/>
          <w:sz w:val="20"/>
          <w:szCs w:val="20"/>
          <w:lang w:val="en-GB"/>
        </w:rPr>
        <w:t>, are as follows:</w:t>
      </w:r>
    </w:p>
    <w:p w14:paraId="06AF85B5" w14:textId="70B3E340" w:rsidR="00D47058" w:rsidRPr="00D47058" w:rsidRDefault="00910847" w:rsidP="00276DCE">
      <w:pPr>
        <w:spacing w:before="100" w:beforeAutospacing="1" w:after="100" w:afterAutospacing="1" w:line="276" w:lineRule="auto"/>
        <w:jc w:val="both"/>
        <w:rPr>
          <w:rFonts w:ascii="Times New Roman" w:hAnsi="Times New Roman" w:cs="Times New Roman"/>
          <w:i/>
          <w:sz w:val="20"/>
          <w:szCs w:val="20"/>
          <w:lang w:val="en-GB"/>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0</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λ</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N,j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d</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D,j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vd</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V,j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v</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M,j</m:t>
                                  </m:r>
                                </m:sub>
                              </m:sSub>
                            </m:e>
                          </m:d>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sz w:val="20"/>
                  <w:szCs w:val="20"/>
                  <w:lang w:val="en-GB"/>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69</m:t>
                  </m:r>
                </m:e>
              </m:d>
              <m:ctrlPr>
                <w:rPr>
                  <w:rFonts w:ascii="Cambria Math" w:hAnsi="Cambria Math" w:cs="Times New Roman"/>
                  <w:i/>
                  <w:sz w:val="20"/>
                  <w:szCs w:val="20"/>
                  <w:lang w:val="en-GB"/>
                </w:rPr>
              </m:ctrlPr>
            </m:e>
          </m:eqArr>
          <m:r>
            <w:rPr>
              <w:rFonts w:ascii="Times New Roman" w:hAnsi="Times New Roman" w:cs="Times New Roman"/>
              <w:i/>
              <w:sz w:val="20"/>
              <w:szCs w:val="20"/>
              <w:lang w:val="en-GB"/>
            </w:rPr>
            <w:br/>
          </m:r>
        </m:oMath>
        <m:oMath>
          <m:eqArr>
            <m:eqArrPr>
              <m:maxDist m:val="1"/>
              <m:ctrlPr>
                <w:rPr>
                  <w:rFonts w:ascii="Cambria Math" w:hAnsi="Cambria Math" w:cs="Times New Roman"/>
                  <w:i/>
                  <w:sz w:val="20"/>
                  <w:szCs w:val="20"/>
                  <w:lang w:val="en-GB"/>
                </w:rPr>
              </m:ctrlPr>
            </m:eqArrPr>
            <m:e>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c</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λ</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c</m:t>
                                      </m:r>
                                    </m:sub>
                                  </m:sSub>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N,j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d</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c</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D,j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vd</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c</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V,j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v</m:t>
                                  </m:r>
                                </m:sub>
                              </m:sSub>
                              <m:sSub>
                                <m:sSubPr>
                                  <m:ctrlPr>
                                    <w:rPr>
                                      <w:rFonts w:ascii="Cambria Math" w:hAnsi="Cambria Math" w:cs="Times New Roman"/>
                                      <w:i/>
                                      <w:color w:val="0D0D0D"/>
                                      <w:sz w:val="20"/>
                                      <w:szCs w:val="20"/>
                                      <w:shd w:val="clear" w:color="auto" w:fill="FFFFFF"/>
                                      <w:lang w:val="en-US"/>
                                    </w:rPr>
                                  </m:ctrlPr>
                                </m:sSub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c</m:t>
                                      </m:r>
                                    </m:sub>
                                  </m:sSub>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M,j</m:t>
                                  </m:r>
                                </m:sub>
                              </m:sSub>
                            </m:e>
                          </m:d>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sz w:val="20"/>
                  <w:szCs w:val="20"/>
                  <w:lang w:val="en-GB"/>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70</m:t>
                  </m:r>
                </m:e>
              </m:d>
            </m:e>
          </m:eqArr>
          <m:r>
            <w:rPr>
              <w:rFonts w:ascii="Times New Roman" w:hAnsi="Times New Roman" w:cs="Times New Roman"/>
              <w:i/>
              <w:sz w:val="20"/>
              <w:szCs w:val="20"/>
              <w:lang w:val="en-GB"/>
            </w:rPr>
            <w:br/>
          </m:r>
        </m:oMath>
        <m:oMath>
          <m:eqArr>
            <m:eqArrPr>
              <m:maxDist m:val="1"/>
              <m:ctrlPr>
                <w:rPr>
                  <w:rFonts w:ascii="Cambria Math" w:hAnsi="Cambria Math" w:cs="Times New Roman"/>
                  <w:i/>
                  <w:sz w:val="20"/>
                  <w:szCs w:val="20"/>
                  <w:lang w:val="en-GB"/>
                </w:rPr>
              </m:ctrlPr>
            </m:eqArrPr>
            <m:e>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t</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λ</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t</m:t>
                                      </m:r>
                                    </m:sub>
                                  </m:sSub>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N,j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t</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D,j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v</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t</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V,j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v</m:t>
                                  </m:r>
                                </m:sub>
                              </m:sSub>
                              <m:sSub>
                                <m:sSubPr>
                                  <m:ctrlPr>
                                    <w:rPr>
                                      <w:rFonts w:ascii="Cambria Math" w:hAnsi="Cambria Math" w:cs="Times New Roman"/>
                                      <w:i/>
                                      <w:color w:val="0D0D0D"/>
                                      <w:sz w:val="20"/>
                                      <w:szCs w:val="20"/>
                                      <w:shd w:val="clear" w:color="auto" w:fill="FFFFFF"/>
                                      <w:lang w:val="en-US"/>
                                    </w:rPr>
                                  </m:ctrlPr>
                                </m:sSub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t</m:t>
                                      </m:r>
                                    </m:sub>
                                  </m:sSub>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M,j</m:t>
                                  </m:r>
                                </m:sub>
                              </m:sSub>
                            </m:e>
                          </m:d>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sz w:val="20"/>
                  <w:szCs w:val="20"/>
                  <w:lang w:val="en-GB"/>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71</m:t>
                  </m:r>
                </m:e>
              </m:d>
            </m:e>
          </m:eqArr>
          <m:r>
            <w:rPr>
              <w:rFonts w:ascii="Times New Roman" w:hAnsi="Times New Roman" w:cs="Times New Roman"/>
              <w:i/>
              <w:sz w:val="20"/>
              <w:szCs w:val="20"/>
              <w:lang w:val="en-GB"/>
            </w:rPr>
            <w:br/>
          </m:r>
        </m:oMath>
        <m:oMath>
          <m:eqArr>
            <m:eqArrPr>
              <m:maxDist m:val="1"/>
              <m:ctrlPr>
                <w:rPr>
                  <w:rFonts w:ascii="Cambria Math" w:hAnsi="Cambria Math" w:cs="Times New Roman"/>
                  <w:i/>
                  <w:sz w:val="20"/>
                  <w:szCs w:val="20"/>
                  <w:lang w:val="en-GB"/>
                </w:rPr>
              </m:ctrlPr>
            </m:eqArrPr>
            <m:e>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d2</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r>
                <w:rPr>
                  <w:rFonts w:ascii="Cambria Math" w:hAnsi="Cambria Math" w:cs="Times New Roman"/>
                  <w:sz w:val="20"/>
                  <w:szCs w:val="20"/>
                  <w:lang w:val="en-GB"/>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λ</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d2</m:t>
                                      </m:r>
                                    </m:sub>
                                  </m:sSub>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N,j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d2</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D,j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v</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d2</m:t>
                                  </m:r>
                                </m:sub>
                              </m:sSub>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V,j</m:t>
                                  </m:r>
                                </m:sub>
                              </m:sSub>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e</m:t>
                                  </m:r>
                                </m:e>
                                <m:sub>
                                  <m:r>
                                    <w:rPr>
                                      <w:rFonts w:ascii="Cambria Math" w:hAnsi="Cambria Math" w:cs="Times New Roman"/>
                                      <w:color w:val="0D0D0D"/>
                                      <w:sz w:val="20"/>
                                      <w:szCs w:val="20"/>
                                      <w:shd w:val="clear" w:color="auto" w:fill="FFFFFF"/>
                                      <w:lang w:val="en-US"/>
                                    </w:rPr>
                                    <m:t>v</m:t>
                                  </m:r>
                                </m:sub>
                              </m:sSub>
                              <m:sSub>
                                <m:sSubPr>
                                  <m:ctrlPr>
                                    <w:rPr>
                                      <w:rFonts w:ascii="Cambria Math" w:hAnsi="Cambria Math" w:cs="Times New Roman"/>
                                      <w:i/>
                                      <w:color w:val="0D0D0D"/>
                                      <w:sz w:val="20"/>
                                      <w:szCs w:val="20"/>
                                      <w:shd w:val="clear" w:color="auto" w:fill="FFFFFF"/>
                                      <w:lang w:val="en-US"/>
                                    </w:rPr>
                                  </m:ctrlPr>
                                </m:sSub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d2</m:t>
                                      </m:r>
                                    </m:sub>
                                  </m:sSub>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M,j</m:t>
                                  </m:r>
                                </m:sub>
                              </m:sSub>
                            </m:e>
                          </m:d>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sz w:val="20"/>
                  <w:szCs w:val="20"/>
                  <w:lang w:val="en-GB"/>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72</m:t>
                  </m:r>
                </m:e>
              </m:d>
            </m:e>
          </m:eqArr>
        </m:oMath>
      </m:oMathPara>
    </w:p>
    <w:p w14:paraId="2B10504C" w14:textId="77777777" w:rsidR="00E51E5A" w:rsidRPr="004273A8" w:rsidRDefault="00E51E5A" w:rsidP="00E51E5A">
      <w:pPr>
        <w:spacing w:after="0" w:line="276" w:lineRule="auto"/>
        <w:jc w:val="both"/>
        <w:rPr>
          <w:rFonts w:ascii="Times New Roman" w:hAnsi="Times New Roman" w:cs="Times New Roman"/>
          <w:color w:val="0D0D0D"/>
          <w:sz w:val="20"/>
          <w:szCs w:val="20"/>
          <w:shd w:val="clear" w:color="auto" w:fill="FFFFFF"/>
          <w:lang w:val="en-GB"/>
        </w:rPr>
      </w:pPr>
      <w:r w:rsidRPr="004273A8">
        <w:rPr>
          <w:rFonts w:ascii="Times New Roman" w:hAnsi="Times New Roman" w:cs="Times New Roman"/>
          <w:color w:val="0D0D0D"/>
          <w:sz w:val="20"/>
          <w:szCs w:val="20"/>
          <w:shd w:val="clear" w:color="auto" w:fill="FFFFFF"/>
          <w:lang w:val="en-GB"/>
        </w:rPr>
        <w:t xml:space="preserve">with </w:t>
      </w:r>
      <m:oMath>
        <m:r>
          <w:rPr>
            <w:rFonts w:ascii="Cambria Math" w:hAnsi="Cambria Math" w:cs="Times New Roman"/>
            <w:color w:val="0D0D0D"/>
            <w:sz w:val="20"/>
            <w:szCs w:val="20"/>
            <w:shd w:val="clear" w:color="auto" w:fill="FFFFFF"/>
            <w:lang w:val="en-GB"/>
          </w:rPr>
          <m:t>τ</m:t>
        </m:r>
      </m:oMath>
      <w:r w:rsidRPr="004273A8">
        <w:rPr>
          <w:rFonts w:ascii="Times New Roman" w:hAnsi="Times New Roman" w:cs="Times New Roman"/>
          <w:color w:val="0D0D0D"/>
          <w:sz w:val="20"/>
          <w:szCs w:val="20"/>
          <w:shd w:val="clear" w:color="auto" w:fill="FFFFFF"/>
          <w:lang w:val="en-GB"/>
        </w:rPr>
        <w:t xml:space="preserve"> denotes the time variable of integration.</w:t>
      </w:r>
    </w:p>
    <w:p w14:paraId="2B0298F8" w14:textId="3D4850FD" w:rsidR="0014609D" w:rsidRDefault="00204018" w:rsidP="00276DCE">
      <w:pPr>
        <w:spacing w:before="100" w:beforeAutospacing="1" w:after="100" w:afterAutospacing="1" w:line="276" w:lineRule="auto"/>
        <w:jc w:val="both"/>
        <w:rPr>
          <w:rFonts w:ascii="Times New Roman" w:hAnsi="Times New Roman" w:cs="Times New Roman"/>
          <w:sz w:val="20"/>
          <w:szCs w:val="20"/>
          <w:lang w:val="en-GB"/>
        </w:rPr>
      </w:pPr>
      <w:r w:rsidRPr="00EC3110">
        <w:rPr>
          <w:rFonts w:ascii="Times New Roman" w:hAnsi="Times New Roman" w:cs="Times New Roman"/>
          <w:sz w:val="20"/>
          <w:szCs w:val="20"/>
          <w:lang w:val="en-GB"/>
        </w:rPr>
        <w:t xml:space="preserve">To evaluate the </w:t>
      </w:r>
      <w:r w:rsidRPr="00EC3110">
        <w:rPr>
          <w:rFonts w:ascii="Times New Roman" w:hAnsi="Times New Roman" w:cs="Times New Roman"/>
          <w:sz w:val="20"/>
          <w:szCs w:val="20"/>
          <w:lang w:val="en-GB"/>
        </w:rPr>
        <w:t xml:space="preserve">emergence of </w:t>
      </w:r>
      <w:r w:rsidR="00065E5D" w:rsidRPr="00EC3110">
        <w:rPr>
          <w:rFonts w:ascii="Times New Roman" w:hAnsi="Times New Roman" w:cs="Times New Roman"/>
          <w:sz w:val="20"/>
          <w:szCs w:val="20"/>
          <w:lang w:val="en-GB"/>
        </w:rPr>
        <w:t>different gonorrhoea</w:t>
      </w:r>
      <w:r w:rsidRPr="00EC3110">
        <w:rPr>
          <w:rFonts w:ascii="Times New Roman" w:hAnsi="Times New Roman" w:cs="Times New Roman"/>
          <w:sz w:val="20"/>
          <w:szCs w:val="20"/>
          <w:lang w:val="en-GB"/>
        </w:rPr>
        <w:t xml:space="preserve"> strains</w:t>
      </w:r>
      <w:r w:rsidR="00B603C7">
        <w:rPr>
          <w:rFonts w:ascii="Times New Roman" w:hAnsi="Times New Roman" w:cs="Times New Roman"/>
          <w:sz w:val="20"/>
          <w:szCs w:val="20"/>
          <w:lang w:val="en-GB"/>
        </w:rPr>
        <w:t xml:space="preserve"> </w:t>
      </w:r>
      <m:oMath>
        <m:r>
          <w:rPr>
            <w:rFonts w:ascii="Cambria Math" w:hAnsi="Cambria Math" w:cs="Times New Roman"/>
            <w:color w:val="000000" w:themeColor="text1"/>
            <w:sz w:val="20"/>
            <w:szCs w:val="20"/>
            <w:lang w:val="en-US"/>
          </w:rPr>
          <m:t>k∈</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0, c, t, d2</m:t>
            </m:r>
          </m:e>
        </m:d>
      </m:oMath>
      <w:r w:rsidRPr="00EC3110">
        <w:rPr>
          <w:rFonts w:ascii="Times New Roman" w:hAnsi="Times New Roman" w:cs="Times New Roman"/>
          <w:sz w:val="20"/>
          <w:szCs w:val="20"/>
          <w:lang w:val="en-GB"/>
        </w:rPr>
        <w:t xml:space="preserve">, we </w:t>
      </w:r>
      <w:r w:rsidR="00EC3110" w:rsidRPr="00EC3110">
        <w:rPr>
          <w:rFonts w:ascii="Times New Roman" w:hAnsi="Times New Roman" w:cs="Times New Roman"/>
          <w:sz w:val="20"/>
          <w:szCs w:val="20"/>
          <w:lang w:val="en-GB"/>
        </w:rPr>
        <w:t>compare</w:t>
      </w:r>
      <w:r w:rsidRPr="00EC3110">
        <w:rPr>
          <w:rFonts w:ascii="Times New Roman" w:hAnsi="Times New Roman" w:cs="Times New Roman"/>
          <w:sz w:val="20"/>
          <w:szCs w:val="20"/>
          <w:lang w:val="en-GB"/>
        </w:rPr>
        <w:t xml:space="preserve"> the total number of </w:t>
      </w:r>
      <w:r w:rsidRPr="00EC3110">
        <w:rPr>
          <w:rFonts w:ascii="Times New Roman" w:hAnsi="Times New Roman" w:cs="Times New Roman"/>
          <w:sz w:val="20"/>
          <w:szCs w:val="20"/>
          <w:lang w:val="en-GB"/>
        </w:rPr>
        <w:t>gonorrhoea</w:t>
      </w:r>
      <w:r w:rsidRPr="00EC3110">
        <w:rPr>
          <w:rFonts w:ascii="Times New Roman" w:hAnsi="Times New Roman" w:cs="Times New Roman"/>
          <w:sz w:val="20"/>
          <w:szCs w:val="20"/>
          <w:lang w:val="en-GB"/>
        </w:rPr>
        <w:t xml:space="preserve"> </w:t>
      </w:r>
      <w:r w:rsidRPr="00EC3110">
        <w:rPr>
          <w:rFonts w:ascii="Times New Roman" w:hAnsi="Times New Roman" w:cs="Times New Roman"/>
          <w:sz w:val="20"/>
          <w:szCs w:val="20"/>
          <w:lang w:val="en-GB"/>
        </w:rPr>
        <w:t>infections</w:t>
      </w:r>
      <w:r w:rsidRPr="00EC3110">
        <w:rPr>
          <w:rFonts w:ascii="Times New Roman" w:hAnsi="Times New Roman" w:cs="Times New Roman"/>
          <w:sz w:val="20"/>
          <w:szCs w:val="20"/>
          <w:lang w:val="en-GB"/>
        </w:rPr>
        <w:t xml:space="preserve"> </w:t>
      </w:r>
      <m:oMath>
        <m:sSup>
          <m:sSupPr>
            <m:ctrlPr>
              <w:rPr>
                <w:rFonts w:ascii="Cambria Math" w:hAnsi="Cambria Math" w:cs="Times New Roman"/>
                <w:i/>
                <w:sz w:val="20"/>
                <w:szCs w:val="20"/>
                <w:lang w:val="en-GB"/>
              </w:rPr>
            </m:ctrlPr>
          </m:sSupPr>
          <m:e>
            <m:r>
              <w:rPr>
                <w:rFonts w:ascii="Cambria Math" w:hAnsi="Cambria Math" w:cs="Times New Roman"/>
                <w:sz w:val="20"/>
                <w:szCs w:val="20"/>
                <w:lang w:val="en-GB"/>
              </w:rPr>
              <m:t>Y</m:t>
            </m:r>
          </m:e>
          <m:sup>
            <m:r>
              <w:rPr>
                <w:rFonts w:ascii="Cambria Math" w:hAnsi="Cambria Math" w:cs="Times New Roman"/>
                <w:sz w:val="20"/>
                <w:szCs w:val="20"/>
                <w:lang w:val="en-GB"/>
              </w:rPr>
              <m:t>k</m:t>
            </m:r>
          </m:sup>
        </m:sSup>
        <m:d>
          <m:dPr>
            <m:ctrlPr>
              <w:rPr>
                <w:rFonts w:ascii="Cambria Math" w:hAnsi="Cambria Math" w:cs="Times New Roman"/>
                <w:i/>
                <w:sz w:val="20"/>
                <w:szCs w:val="20"/>
                <w:lang w:val="en-GB"/>
              </w:rPr>
            </m:ctrlPr>
          </m:dPr>
          <m:e>
            <m:r>
              <w:rPr>
                <w:rFonts w:ascii="Cambria Math" w:hAnsi="Cambria Math" w:cs="Times New Roman"/>
                <w:sz w:val="20"/>
                <w:szCs w:val="20"/>
                <w:lang w:val="en-GB"/>
              </w:rPr>
              <m:t>t</m:t>
            </m:r>
          </m:e>
        </m:d>
      </m:oMath>
      <w:r w:rsidR="006A2A59" w:rsidRPr="00EC3110">
        <w:rPr>
          <w:rFonts w:ascii="Times New Roman" w:hAnsi="Times New Roman" w:cs="Times New Roman"/>
          <w:sz w:val="20"/>
          <w:szCs w:val="20"/>
          <w:lang w:val="en-GB"/>
        </w:rPr>
        <w:t xml:space="preserve"> </w:t>
      </w:r>
      <w:r w:rsidR="00EC3110" w:rsidRPr="00EC3110">
        <w:rPr>
          <w:rFonts w:ascii="Times New Roman" w:hAnsi="Times New Roman" w:cs="Times New Roman"/>
          <w:sz w:val="20"/>
          <w:szCs w:val="20"/>
          <w:lang w:val="en-GB"/>
        </w:rPr>
        <w:t>to the corresponding baseline without intervention,</w:t>
      </w:r>
      <w:r w:rsidR="00EC3110" w:rsidRPr="00EC3110">
        <w:rPr>
          <w:rFonts w:ascii="Times New Roman" w:hAnsi="Times New Roman" w:cs="Times New Roman"/>
          <w:color w:val="0D0D0D"/>
          <w:sz w:val="20"/>
          <w:szCs w:val="20"/>
          <w:shd w:val="clear" w:color="auto" w:fill="FFFFFF"/>
          <w:lang w:val="en-GB"/>
        </w:rPr>
        <w:t xml:space="preserve"> </w:t>
      </w:r>
      <m:oMath>
        <m:sSup>
          <m:sSupPr>
            <m:ctrlPr>
              <w:rPr>
                <w:rFonts w:ascii="Cambria Math" w:hAnsi="Cambria Math" w:cs="Times New Roman"/>
                <w:i/>
                <w:color w:val="0D0D0D"/>
                <w:sz w:val="20"/>
                <w:szCs w:val="20"/>
                <w:shd w:val="clear" w:color="auto" w:fill="FFFFFF"/>
                <w:lang w:val="en-GB"/>
              </w:rPr>
            </m:ctrlPr>
          </m:sSupPr>
          <m:e>
            <m:acc>
              <m:accPr>
                <m:ctrlPr>
                  <w:rPr>
                    <w:rFonts w:ascii="Cambria Math" w:hAnsi="Cambria Math" w:cs="Times New Roman"/>
                    <w:color w:val="0D0D0D"/>
                    <w:sz w:val="20"/>
                    <w:szCs w:val="20"/>
                    <w:shd w:val="clear" w:color="auto" w:fill="FFFFFF"/>
                    <w:lang w:val="en-GB"/>
                  </w:rPr>
                </m:ctrlPr>
              </m:accPr>
              <m:e>
                <m:r>
                  <w:rPr>
                    <w:rFonts w:ascii="Cambria Math" w:hAnsi="Cambria Math" w:cs="Times New Roman"/>
                    <w:color w:val="0D0D0D"/>
                    <w:sz w:val="20"/>
                    <w:szCs w:val="20"/>
                    <w:shd w:val="clear" w:color="auto" w:fill="FFFFFF"/>
                    <w:lang w:val="en-GB"/>
                  </w:rPr>
                  <m:t>Y</m:t>
                </m:r>
              </m:e>
            </m:acc>
          </m:e>
          <m:sup>
            <m:r>
              <w:rPr>
                <w:rFonts w:ascii="Cambria Math" w:hAnsi="Cambria Math" w:cs="Times New Roman"/>
                <w:color w:val="0D0D0D"/>
                <w:sz w:val="20"/>
                <w:szCs w:val="20"/>
                <w:shd w:val="clear" w:color="auto" w:fill="FFFFFF"/>
                <w:lang w:val="en-GB"/>
              </w:rPr>
              <m:t>k</m:t>
            </m:r>
          </m:sup>
        </m:sSup>
        <m:d>
          <m:dPr>
            <m:ctrlPr>
              <w:rPr>
                <w:rFonts w:ascii="Cambria Math" w:hAnsi="Cambria Math" w:cs="Times New Roman"/>
                <w:i/>
                <w:color w:val="0D0D0D"/>
                <w:sz w:val="20"/>
                <w:szCs w:val="20"/>
                <w:shd w:val="clear" w:color="auto" w:fill="FFFFFF"/>
                <w:lang w:val="en-GB"/>
              </w:rPr>
            </m:ctrlPr>
          </m:dPr>
          <m:e>
            <m:r>
              <w:rPr>
                <w:rFonts w:ascii="Cambria Math" w:hAnsi="Cambria Math" w:cs="Times New Roman"/>
                <w:color w:val="0D0D0D"/>
                <w:sz w:val="20"/>
                <w:szCs w:val="20"/>
                <w:shd w:val="clear" w:color="auto" w:fill="FFFFFF"/>
                <w:lang w:val="en-GB"/>
              </w:rPr>
              <m:t>t</m:t>
            </m:r>
          </m:e>
        </m:d>
      </m:oMath>
      <w:r w:rsidR="00EC3110" w:rsidRPr="00EC3110">
        <w:rPr>
          <w:rFonts w:ascii="Times New Roman" w:hAnsi="Times New Roman" w:cs="Times New Roman"/>
          <w:color w:val="0D0D0D"/>
          <w:sz w:val="20"/>
          <w:szCs w:val="20"/>
          <w:shd w:val="clear" w:color="auto" w:fill="FFFFFF"/>
          <w:lang w:val="en-GB"/>
        </w:rPr>
        <w:t xml:space="preserve">, </w:t>
      </w:r>
      <w:r w:rsidR="00EC3110" w:rsidRPr="00EC3110">
        <w:rPr>
          <w:rFonts w:ascii="Times New Roman" w:hAnsi="Times New Roman" w:cs="Times New Roman"/>
          <w:sz w:val="20"/>
          <w:szCs w:val="20"/>
          <w:lang w:val="en-GB"/>
        </w:rPr>
        <w:t xml:space="preserve">to calculate the total number of averted </w:t>
      </w:r>
      <w:r w:rsidR="00EC3110" w:rsidRPr="00EC3110">
        <w:rPr>
          <w:rFonts w:ascii="Times New Roman" w:hAnsi="Times New Roman" w:cs="Times New Roman"/>
          <w:sz w:val="20"/>
          <w:szCs w:val="20"/>
          <w:lang w:val="en-GB"/>
        </w:rPr>
        <w:t>gonorrhoea infections</w:t>
      </w:r>
      <w:r w:rsidR="00EC3110" w:rsidRPr="00EC3110">
        <w:rPr>
          <w:rFonts w:ascii="Times New Roman" w:hAnsi="Times New Roman" w:cs="Times New Roman"/>
          <w:sz w:val="20"/>
          <w:szCs w:val="20"/>
          <w:lang w:val="en-GB"/>
        </w:rPr>
        <w:t xml:space="preserve"> over </w:t>
      </w:r>
      <m:oMath>
        <m:r>
          <w:rPr>
            <w:rFonts w:ascii="Cambria Math" w:hAnsi="Cambria Math" w:cs="Times New Roman"/>
            <w:sz w:val="20"/>
            <w:szCs w:val="20"/>
            <w:lang w:val="en-GB"/>
          </w:rPr>
          <m:t>M</m:t>
        </m:r>
      </m:oMath>
      <w:r w:rsidR="00EC3110" w:rsidRPr="00EC3110">
        <w:rPr>
          <w:rFonts w:ascii="Times New Roman" w:hAnsi="Times New Roman" w:cs="Times New Roman"/>
          <w:sz w:val="20"/>
          <w:szCs w:val="20"/>
          <w:lang w:val="en-GB"/>
        </w:rPr>
        <w:t xml:space="preserve"> years (starting from year </w:t>
      </w:r>
      <m:oMath>
        <m:sSub>
          <m:sSubPr>
            <m:ctrlPr>
              <w:rPr>
                <w:rFonts w:ascii="Cambria Math" w:hAnsi="Cambria Math" w:cs="Times New Roman"/>
                <w:i/>
                <w:sz w:val="20"/>
                <w:szCs w:val="20"/>
                <w:lang w:val="en-GB"/>
              </w:rPr>
            </m:ctrlPr>
          </m:sSubPr>
          <m:e>
            <m:r>
              <w:rPr>
                <w:rFonts w:ascii="Cambria Math" w:hAnsi="Cambria Math" w:cs="Times New Roman"/>
                <w:sz w:val="20"/>
                <w:szCs w:val="20"/>
                <w:lang w:val="en-GB"/>
              </w:rPr>
              <m:t>t</m:t>
            </m:r>
          </m:e>
          <m:sub>
            <m:r>
              <w:rPr>
                <w:rFonts w:ascii="Cambria Math" w:hAnsi="Cambria Math" w:cs="Times New Roman"/>
                <w:sz w:val="20"/>
                <w:szCs w:val="20"/>
                <w:lang w:val="en-GB"/>
              </w:rPr>
              <m:t>0</m:t>
            </m:r>
          </m:sub>
        </m:sSub>
      </m:oMath>
      <w:r w:rsidR="00EC3110" w:rsidRPr="00EC3110">
        <w:rPr>
          <w:rFonts w:ascii="Times New Roman" w:hAnsi="Times New Roman" w:cs="Times New Roman"/>
          <w:sz w:val="20"/>
          <w:szCs w:val="20"/>
          <w:lang w:val="en-GB"/>
        </w:rPr>
        <w:t>):</w:t>
      </w:r>
    </w:p>
    <w:p w14:paraId="22167F74" w14:textId="33E88BC7" w:rsidR="0054651B" w:rsidRPr="004273A8" w:rsidRDefault="0054651B" w:rsidP="0054651B">
      <w:pPr>
        <w:pStyle w:val="NormalWeb"/>
        <w:spacing w:line="276" w:lineRule="auto"/>
        <w:jc w:val="both"/>
        <w:rPr>
          <w:color w:val="0D0D0D"/>
          <w:sz w:val="20"/>
          <w:szCs w:val="20"/>
          <w:shd w:val="clear" w:color="auto" w:fill="FFFFFF"/>
          <w:lang w:val="en-GB"/>
        </w:rPr>
      </w:pPr>
      <m:oMathPara>
        <m:oMath>
          <m:eqArr>
            <m:eqArrPr>
              <m:maxDist m:val="1"/>
              <m:ctrlPr>
                <w:rPr>
                  <w:rFonts w:ascii="Cambria Math" w:hAnsi="Cambria Math"/>
                  <w:i/>
                  <w:color w:val="0D0D0D"/>
                  <w:sz w:val="20"/>
                  <w:szCs w:val="20"/>
                  <w:shd w:val="clear" w:color="auto" w:fill="FFFFFF"/>
                  <w:lang w:val="en-GB"/>
                </w:rPr>
              </m:ctrlPr>
            </m:eqArrPr>
            <m:e>
              <m:nary>
                <m:naryPr>
                  <m:chr m:val="∑"/>
                  <m:limLoc m:val="undOvr"/>
                  <m:ctrlPr>
                    <w:rPr>
                      <w:rFonts w:ascii="Cambria Math" w:hAnsi="Cambria Math"/>
                      <w:i/>
                      <w:color w:val="0D0D0D"/>
                      <w:sz w:val="20"/>
                      <w:szCs w:val="20"/>
                      <w:shd w:val="clear" w:color="auto" w:fill="FFFFFF"/>
                      <w:lang w:val="en-GB"/>
                    </w:rPr>
                  </m:ctrlPr>
                </m:naryPr>
                <m:sub>
                  <m:r>
                    <w:rPr>
                      <w:rFonts w:ascii="Cambria Math" w:hAnsi="Cambria Math"/>
                      <w:color w:val="0D0D0D"/>
                      <w:sz w:val="20"/>
                      <w:szCs w:val="20"/>
                      <w:shd w:val="clear" w:color="auto" w:fill="FFFFFF"/>
                      <w:lang w:val="en-GB"/>
                    </w:rPr>
                    <m:t>t=1</m:t>
                  </m:r>
                </m:sub>
                <m:sup>
                  <m:r>
                    <w:rPr>
                      <w:rFonts w:ascii="Cambria Math" w:hAnsi="Cambria Math"/>
                      <w:color w:val="0D0D0D"/>
                      <w:sz w:val="20"/>
                      <w:szCs w:val="20"/>
                      <w:shd w:val="clear" w:color="auto" w:fill="FFFFFF"/>
                      <w:lang w:val="en-GB"/>
                    </w:rPr>
                    <m:t>M</m:t>
                  </m:r>
                </m:sup>
                <m:e>
                  <m:r>
                    <w:rPr>
                      <w:rFonts w:ascii="Cambria Math" w:hAnsi="Cambria Math"/>
                      <w:color w:val="0D0D0D"/>
                      <w:sz w:val="20"/>
                      <w:szCs w:val="20"/>
                      <w:shd w:val="clear" w:color="auto" w:fill="FFFFFF"/>
                      <w:lang w:val="en-GB"/>
                    </w:rPr>
                    <m:t>[</m:t>
                  </m:r>
                  <m:sSup>
                    <m:sSupPr>
                      <m:ctrlPr>
                        <w:rPr>
                          <w:rFonts w:ascii="Cambria Math" w:hAnsi="Cambria Math"/>
                          <w:i/>
                          <w:color w:val="0D0D0D"/>
                          <w:sz w:val="20"/>
                          <w:szCs w:val="20"/>
                          <w:shd w:val="clear" w:color="auto" w:fill="FFFFFF"/>
                          <w:lang w:val="en-GB"/>
                        </w:rPr>
                      </m:ctrlPr>
                    </m:sSupPr>
                    <m:e>
                      <m:acc>
                        <m:accPr>
                          <m:ctrlPr>
                            <w:rPr>
                              <w:rFonts w:ascii="Cambria Math" w:hAnsi="Cambria Math"/>
                              <w:color w:val="0D0D0D"/>
                              <w:sz w:val="20"/>
                              <w:szCs w:val="20"/>
                              <w:shd w:val="clear" w:color="auto" w:fill="FFFFFF"/>
                              <w:lang w:val="en-GB"/>
                            </w:rPr>
                          </m:ctrlPr>
                        </m:accPr>
                        <m:e>
                          <m:r>
                            <w:rPr>
                              <w:rFonts w:ascii="Cambria Math" w:hAnsi="Cambria Math"/>
                              <w:color w:val="0D0D0D"/>
                              <w:sz w:val="20"/>
                              <w:szCs w:val="20"/>
                              <w:shd w:val="clear" w:color="auto" w:fill="FFFFFF"/>
                              <w:lang w:val="en-GB"/>
                            </w:rPr>
                            <m:t>Y</m:t>
                          </m:r>
                        </m:e>
                      </m:acc>
                    </m:e>
                    <m:sup>
                      <m:r>
                        <w:rPr>
                          <w:rFonts w:ascii="Cambria Math" w:hAnsi="Cambria Math"/>
                          <w:color w:val="0D0D0D"/>
                          <w:sz w:val="20"/>
                          <w:szCs w:val="20"/>
                          <w:shd w:val="clear" w:color="auto" w:fill="FFFFFF"/>
                          <w:lang w:val="en-GB"/>
                        </w:rPr>
                        <m:t>k</m:t>
                      </m:r>
                    </m:sup>
                  </m:sSup>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t</m:t>
                      </m:r>
                    </m:e>
                  </m:d>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r>
                    <w:rPr>
                      <w:rFonts w:ascii="Cambria Math" w:hAnsi="Cambria Math"/>
                      <w:color w:val="0D0D0D"/>
                      <w:sz w:val="20"/>
                      <w:szCs w:val="20"/>
                      <w:shd w:val="clear" w:color="auto" w:fill="FFFFFF"/>
                      <w:lang w:val="en-GB"/>
                    </w:rPr>
                    <m:t>-</m:t>
                  </m:r>
                  <m:sSup>
                    <m:sSupPr>
                      <m:ctrlPr>
                        <w:rPr>
                          <w:rFonts w:ascii="Cambria Math" w:hAnsi="Cambria Math"/>
                          <w:i/>
                          <w:sz w:val="20"/>
                          <w:szCs w:val="20"/>
                          <w:lang w:val="en-GB"/>
                        </w:rPr>
                      </m:ctrlPr>
                    </m:sSupPr>
                    <m:e>
                      <m:r>
                        <w:rPr>
                          <w:rFonts w:ascii="Cambria Math" w:hAnsi="Cambria Math"/>
                          <w:sz w:val="20"/>
                          <w:szCs w:val="20"/>
                          <w:lang w:val="en-GB"/>
                        </w:rPr>
                        <m:t>Y</m:t>
                      </m:r>
                    </m:e>
                    <m:sup>
                      <m:r>
                        <w:rPr>
                          <w:rFonts w:ascii="Cambria Math" w:hAnsi="Cambria Math"/>
                          <w:sz w:val="20"/>
                          <w:szCs w:val="20"/>
                          <w:lang w:val="en-GB"/>
                        </w:rPr>
                        <m:t>k</m:t>
                      </m:r>
                    </m:sup>
                  </m:sSup>
                  <m:d>
                    <m:dPr>
                      <m:ctrlPr>
                        <w:rPr>
                          <w:rFonts w:ascii="Cambria Math" w:hAnsi="Cambria Math"/>
                          <w:i/>
                          <w:sz w:val="20"/>
                          <w:szCs w:val="20"/>
                          <w:lang w:val="en-GB"/>
                        </w:rPr>
                      </m:ctrlPr>
                    </m:dPr>
                    <m:e>
                      <m:r>
                        <w:rPr>
                          <w:rFonts w:ascii="Cambria Math" w:hAnsi="Cambria Math"/>
                          <w:sz w:val="20"/>
                          <w:szCs w:val="20"/>
                          <w:lang w:val="en-GB"/>
                        </w:rPr>
                        <m:t>t</m:t>
                      </m:r>
                    </m:e>
                  </m:d>
                  <m:d>
                    <m:dPr>
                      <m:ctrlPr>
                        <w:rPr>
                          <w:rFonts w:ascii="Cambria Math" w:hAnsi="Cambria Math"/>
                          <w:i/>
                          <w:color w:val="0D0D0D"/>
                          <w:sz w:val="20"/>
                          <w:szCs w:val="20"/>
                          <w:shd w:val="clear" w:color="auto" w:fill="FFFFFF"/>
                          <w:lang w:val="en-GB"/>
                        </w:rPr>
                      </m:ctrlPr>
                    </m:dPr>
                    <m:e>
                      <m:sSub>
                        <m:sSubPr>
                          <m:ctrlPr>
                            <w:rPr>
                              <w:rFonts w:ascii="Cambria Math" w:hAnsi="Cambria Math"/>
                              <w:i/>
                              <w:color w:val="0D0D0D"/>
                              <w:sz w:val="20"/>
                              <w:szCs w:val="20"/>
                              <w:shd w:val="clear" w:color="auto" w:fill="FFFFFF"/>
                              <w:lang w:val="en-GB"/>
                            </w:rPr>
                          </m:ctrlPr>
                        </m:sSubPr>
                        <m:e>
                          <m:r>
                            <w:rPr>
                              <w:rFonts w:ascii="Cambria Math" w:hAnsi="Cambria Math"/>
                              <w:color w:val="0D0D0D"/>
                              <w:sz w:val="20"/>
                              <w:szCs w:val="20"/>
                              <w:shd w:val="clear" w:color="auto" w:fill="FFFFFF"/>
                              <w:lang w:val="en-GB"/>
                            </w:rPr>
                            <m:t>t</m:t>
                          </m:r>
                        </m:e>
                        <m:sub>
                          <m:r>
                            <w:rPr>
                              <w:rFonts w:ascii="Cambria Math" w:hAnsi="Cambria Math"/>
                              <w:color w:val="0D0D0D"/>
                              <w:sz w:val="20"/>
                              <w:szCs w:val="20"/>
                              <w:shd w:val="clear" w:color="auto" w:fill="FFFFFF"/>
                              <w:lang w:val="en-GB"/>
                            </w:rPr>
                            <m:t>0</m:t>
                          </m:r>
                        </m:sub>
                      </m:sSub>
                      <m:r>
                        <w:rPr>
                          <w:rFonts w:ascii="Cambria Math" w:hAnsi="Cambria Math"/>
                          <w:color w:val="0D0D0D"/>
                          <w:sz w:val="20"/>
                          <w:szCs w:val="20"/>
                          <w:shd w:val="clear" w:color="auto" w:fill="FFFFFF"/>
                          <w:lang w:val="en-GB"/>
                        </w:rPr>
                        <m:t>+t</m:t>
                      </m:r>
                    </m:e>
                  </m:d>
                </m:e>
              </m:nary>
              <m:r>
                <w:rPr>
                  <w:rFonts w:ascii="Cambria Math" w:hAnsi="Cambria Math"/>
                  <w:color w:val="0D0D0D"/>
                  <w:sz w:val="20"/>
                  <w:szCs w:val="20"/>
                  <w:shd w:val="clear" w:color="auto" w:fill="FFFFFF"/>
                  <w:lang w:val="en-GB"/>
                </w:rPr>
                <m:t>]#</m:t>
              </m:r>
              <m:d>
                <m:dPr>
                  <m:ctrlPr>
                    <w:rPr>
                      <w:rFonts w:ascii="Cambria Math" w:hAnsi="Cambria Math"/>
                      <w:i/>
                      <w:color w:val="0D0D0D"/>
                      <w:sz w:val="20"/>
                      <w:szCs w:val="20"/>
                      <w:shd w:val="clear" w:color="auto" w:fill="FFFFFF"/>
                      <w:lang w:val="en-GB"/>
                    </w:rPr>
                  </m:ctrlPr>
                </m:dPr>
                <m:e>
                  <m:r>
                    <w:rPr>
                      <w:rFonts w:ascii="Cambria Math" w:hAnsi="Cambria Math"/>
                      <w:color w:val="0D0D0D"/>
                      <w:sz w:val="20"/>
                      <w:szCs w:val="20"/>
                      <w:shd w:val="clear" w:color="auto" w:fill="FFFFFF"/>
                      <w:lang w:val="en-GB"/>
                    </w:rPr>
                    <m:t>73</m:t>
                  </m:r>
                </m:e>
              </m:d>
            </m:e>
          </m:eqArr>
        </m:oMath>
      </m:oMathPara>
    </w:p>
    <w:p w14:paraId="059E3A15" w14:textId="77777777" w:rsidR="006A2A59" w:rsidRDefault="006A2A59" w:rsidP="00276DCE">
      <w:pPr>
        <w:spacing w:before="100" w:beforeAutospacing="1" w:after="100" w:afterAutospacing="1" w:line="276" w:lineRule="auto"/>
        <w:jc w:val="both"/>
        <w:rPr>
          <w:rFonts w:ascii="Times New Roman" w:hAnsi="Times New Roman" w:cs="Times New Roman"/>
          <w:sz w:val="20"/>
          <w:szCs w:val="20"/>
          <w:lang w:val="en-GB"/>
        </w:rPr>
      </w:pPr>
    </w:p>
    <w:p w14:paraId="2B59E6CA" w14:textId="6079781E" w:rsidR="006A2A59" w:rsidRPr="00204018" w:rsidRDefault="006A2A59" w:rsidP="00276DCE">
      <w:pPr>
        <w:spacing w:before="100" w:beforeAutospacing="1" w:after="100" w:afterAutospacing="1" w:line="276" w:lineRule="auto"/>
        <w:jc w:val="both"/>
        <w:rPr>
          <w:rFonts w:ascii="Times New Roman" w:eastAsia="Times New Roman" w:hAnsi="Times New Roman" w:cs="Times New Roman"/>
          <w:b/>
          <w:bCs/>
          <w:iCs/>
          <w:color w:val="000000" w:themeColor="text1"/>
          <w:kern w:val="0"/>
          <w:sz w:val="20"/>
          <w:szCs w:val="20"/>
          <w14:ligatures w14:val="none"/>
        </w:rPr>
        <w:sectPr w:rsidR="006A2A59" w:rsidRPr="00204018">
          <w:pgSz w:w="11906" w:h="16838"/>
          <w:pgMar w:top="1440" w:right="1440" w:bottom="1440" w:left="1440" w:header="708" w:footer="708" w:gutter="0"/>
          <w:cols w:space="708"/>
          <w:docGrid w:linePitch="360"/>
        </w:sectPr>
      </w:pPr>
    </w:p>
    <w:p w14:paraId="7848A7C5" w14:textId="5094848F" w:rsidR="00E168B3" w:rsidRPr="00A37609" w:rsidRDefault="000011E7" w:rsidP="00276DCE">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14:ligatures w14:val="none"/>
        </w:rPr>
      </w:pPr>
      <w:r w:rsidRPr="001C5B10">
        <w:rPr>
          <w:rFonts w:ascii="Times New Roman" w:eastAsia="Times New Roman" w:hAnsi="Times New Roman" w:cs="Times New Roman"/>
          <w:b/>
          <w:bCs/>
          <w:color w:val="000000" w:themeColor="text1"/>
          <w:kern w:val="0"/>
          <w:sz w:val="20"/>
          <w:szCs w:val="20"/>
          <w14:ligatures w14:val="none"/>
        </w:rPr>
        <w:lastRenderedPageBreak/>
        <w:t>Reference:</w:t>
      </w:r>
    </w:p>
    <w:p w14:paraId="7A6D0CDB" w14:textId="77777777" w:rsidR="00366B64" w:rsidRPr="00366B64" w:rsidRDefault="00802477" w:rsidP="00366B64">
      <w:pPr>
        <w:pStyle w:val="Bibliography"/>
        <w:rPr>
          <w:rFonts w:ascii="Times New Roman" w:hAnsi="Times New Roman" w:cs="Times New Roman"/>
          <w:color w:val="000000"/>
          <w:sz w:val="20"/>
          <w:lang w:val="en-US"/>
        </w:rPr>
      </w:pPr>
      <w:r w:rsidRPr="00E5154E">
        <w:rPr>
          <w:rFonts w:eastAsia="Times New Roman"/>
          <w:color w:val="000000" w:themeColor="text1"/>
          <w:sz w:val="20"/>
          <w:szCs w:val="20"/>
          <w14:ligatures w14:val="none"/>
        </w:rPr>
        <w:fldChar w:fldCharType="begin"/>
      </w:r>
      <w:r w:rsidR="00E96FBA">
        <w:rPr>
          <w:rFonts w:eastAsia="Times New Roman"/>
          <w:color w:val="000000" w:themeColor="text1"/>
          <w:sz w:val="20"/>
          <w:szCs w:val="20"/>
          <w14:ligatures w14:val="none"/>
        </w:rPr>
        <w:instrText xml:space="preserve"> ADDIN ZOTERO_BIBL {"uncited":[],"omitted":[],"custom":[]} CSL_BIBLIOGRAPHY </w:instrText>
      </w:r>
      <w:r w:rsidRPr="00E5154E">
        <w:rPr>
          <w:rFonts w:eastAsia="Times New Roman"/>
          <w:color w:val="000000" w:themeColor="text1"/>
          <w:sz w:val="20"/>
          <w:szCs w:val="20"/>
          <w14:ligatures w14:val="none"/>
        </w:rPr>
        <w:fldChar w:fldCharType="separate"/>
      </w:r>
      <w:r w:rsidR="00366B64" w:rsidRPr="00366B64">
        <w:rPr>
          <w:rFonts w:ascii="Times New Roman" w:hAnsi="Times New Roman" w:cs="Times New Roman"/>
          <w:color w:val="000000"/>
          <w:sz w:val="20"/>
          <w:lang w:val="en-US"/>
        </w:rPr>
        <w:t>[1]</w:t>
      </w:r>
      <w:r w:rsidR="00366B64" w:rsidRPr="00366B64">
        <w:rPr>
          <w:rFonts w:ascii="Times New Roman" w:hAnsi="Times New Roman" w:cs="Times New Roman"/>
          <w:color w:val="000000"/>
          <w:sz w:val="20"/>
          <w:lang w:val="en-US"/>
        </w:rPr>
        <w:tab/>
        <w:t>J. Saunders, J. Deering, C. Dewsnap, R. Drayton, and J. Gilmore, “UK National Guideline for the Use of Doxycycline Post-Exposure Prophylaxis (</w:t>
      </w:r>
      <w:proofErr w:type="spellStart"/>
      <w:r w:rsidR="00366B64" w:rsidRPr="00366B64">
        <w:rPr>
          <w:rFonts w:ascii="Times New Roman" w:hAnsi="Times New Roman" w:cs="Times New Roman"/>
          <w:color w:val="000000"/>
          <w:sz w:val="20"/>
          <w:lang w:val="en-US"/>
        </w:rPr>
        <w:t>DoxyPEP</w:t>
      </w:r>
      <w:proofErr w:type="spellEnd"/>
      <w:r w:rsidR="00366B64" w:rsidRPr="00366B64">
        <w:rPr>
          <w:rFonts w:ascii="Times New Roman" w:hAnsi="Times New Roman" w:cs="Times New Roman"/>
          <w:color w:val="000000"/>
          <w:sz w:val="20"/>
          <w:lang w:val="en-US"/>
        </w:rPr>
        <w:t>) for the Prevention of Syphilis”.</w:t>
      </w:r>
    </w:p>
    <w:p w14:paraId="44933434"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w:t>
      </w:r>
      <w:r w:rsidRPr="00366B64">
        <w:rPr>
          <w:rFonts w:ascii="Times New Roman" w:hAnsi="Times New Roman" w:cs="Times New Roman"/>
          <w:color w:val="000000"/>
          <w:sz w:val="20"/>
          <w:lang w:val="en-US"/>
        </w:rPr>
        <w:tab/>
        <w:t xml:space="preserve">D. M. Whiley, J. A. Tickner, R. L. Kundu, T. R. Hogan, S. J. van Hal, and M. M. </w:t>
      </w:r>
      <w:proofErr w:type="spellStart"/>
      <w:r w:rsidRPr="00366B64">
        <w:rPr>
          <w:rFonts w:ascii="Times New Roman" w:hAnsi="Times New Roman" w:cs="Times New Roman"/>
          <w:color w:val="000000"/>
          <w:sz w:val="20"/>
          <w:lang w:val="en-US"/>
        </w:rPr>
        <w:t>Lahra</w:t>
      </w:r>
      <w:proofErr w:type="spellEnd"/>
      <w:r w:rsidRPr="00366B64">
        <w:rPr>
          <w:rFonts w:ascii="Times New Roman" w:hAnsi="Times New Roman" w:cs="Times New Roman"/>
          <w:color w:val="000000"/>
          <w:sz w:val="20"/>
          <w:lang w:val="en-US"/>
        </w:rPr>
        <w:t xml:space="preserve">, “Selection of Neisseria gonorrhoeae ceftriaxone resistance using doxycycline post-exposure prophylaxis,” </w:t>
      </w:r>
      <w:r w:rsidRPr="00366B64">
        <w:rPr>
          <w:rFonts w:ascii="Times New Roman" w:hAnsi="Times New Roman" w:cs="Times New Roman"/>
          <w:i/>
          <w:iCs/>
          <w:color w:val="000000"/>
          <w:sz w:val="20"/>
          <w:lang w:val="en-US"/>
        </w:rPr>
        <w:t>Lancet Infect. Dis.</w:t>
      </w:r>
      <w:r w:rsidRPr="00366B64">
        <w:rPr>
          <w:rFonts w:ascii="Times New Roman" w:hAnsi="Times New Roman" w:cs="Times New Roman"/>
          <w:color w:val="000000"/>
          <w:sz w:val="20"/>
          <w:lang w:val="en-US"/>
        </w:rPr>
        <w:t xml:space="preserve">, vol. 23, no. 8, pp. e268–e269, Aug. 2023,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10.1016/S1473-3099(23)00359-6.</w:t>
      </w:r>
    </w:p>
    <w:p w14:paraId="5E469877"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[3]</w:t>
      </w:r>
      <w:r w:rsidRPr="00366B64">
        <w:rPr>
          <w:rFonts w:ascii="Times New Roman" w:hAnsi="Times New Roman" w:cs="Times New Roman"/>
          <w:color w:val="000000"/>
          <w:sz w:val="20"/>
          <w:lang w:val="en-US"/>
        </w:rPr>
        <w:tab/>
        <w:t xml:space="preserve">M. E. DeWitt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“Promise and peril: doxycycline prophylaxis and the spread of resistance among diverse populations,” </w:t>
      </w:r>
      <w:r w:rsidRPr="00366B64">
        <w:rPr>
          <w:rFonts w:ascii="Times New Roman" w:hAnsi="Times New Roman" w:cs="Times New Roman"/>
          <w:i/>
          <w:iCs/>
          <w:color w:val="000000"/>
          <w:sz w:val="20"/>
          <w:lang w:val="en-US"/>
        </w:rPr>
        <w:t>Lancet Microbe</w:t>
      </w:r>
      <w:r w:rsidRPr="00366B64">
        <w:rPr>
          <w:rFonts w:ascii="Times New Roman" w:hAnsi="Times New Roman" w:cs="Times New Roman"/>
          <w:color w:val="000000"/>
          <w:sz w:val="20"/>
          <w:lang w:val="en-US"/>
        </w:rPr>
        <w:t xml:space="preserve">, vol. 0, no. 0, Aug. 2025,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10.1016/j.lanmic.2025.101222.</w:t>
      </w:r>
    </w:p>
    <w:p w14:paraId="5553E472"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[4]</w:t>
      </w:r>
      <w:r w:rsidRPr="00366B64">
        <w:rPr>
          <w:rFonts w:ascii="Times New Roman" w:hAnsi="Times New Roman" w:cs="Times New Roman"/>
          <w:color w:val="000000"/>
          <w:sz w:val="20"/>
          <w:lang w:val="en-US"/>
        </w:rPr>
        <w:tab/>
        <w:t xml:space="preserve">T. </w:t>
      </w:r>
      <w:proofErr w:type="spellStart"/>
      <w:r w:rsidRPr="00366B64">
        <w:rPr>
          <w:rFonts w:ascii="Times New Roman" w:hAnsi="Times New Roman" w:cs="Times New Roman"/>
          <w:color w:val="000000"/>
          <w:sz w:val="20"/>
          <w:lang w:val="en-US"/>
        </w:rPr>
        <w:t>Vanbaelen</w:t>
      </w:r>
      <w:proofErr w:type="spellEnd"/>
      <w:r w:rsidRPr="00366B64">
        <w:rPr>
          <w:rFonts w:ascii="Times New Roman" w:hAnsi="Times New Roman" w:cs="Times New Roman"/>
          <w:color w:val="000000"/>
          <w:sz w:val="20"/>
          <w:lang w:val="en-US"/>
        </w:rPr>
        <w:t xml:space="preserve">, S. S. Manoharan-Basil, and C. Kenyon, “Doxy-PEP could select for ceftriaxone resistance in Neisseria gonorrhoeae,” </w:t>
      </w:r>
      <w:r w:rsidRPr="00366B64">
        <w:rPr>
          <w:rFonts w:ascii="Times New Roman" w:hAnsi="Times New Roman" w:cs="Times New Roman"/>
          <w:i/>
          <w:iCs/>
          <w:color w:val="000000"/>
          <w:sz w:val="20"/>
          <w:lang w:val="en-US"/>
        </w:rPr>
        <w:t>Lancet Infect. Dis.</w:t>
      </w:r>
      <w:r w:rsidRPr="00366B64">
        <w:rPr>
          <w:rFonts w:ascii="Times New Roman" w:hAnsi="Times New Roman" w:cs="Times New Roman"/>
          <w:color w:val="000000"/>
          <w:sz w:val="20"/>
          <w:lang w:val="en-US"/>
        </w:rPr>
        <w:t xml:space="preserve">, vol. 25, no. 6, p. e316, Jun. 2025,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10.1016/S1473-3099(25)00234-8.</w:t>
      </w:r>
    </w:p>
    <w:p w14:paraId="0E6FD3BE"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[5]</w:t>
      </w:r>
      <w:r w:rsidRPr="00366B64">
        <w:rPr>
          <w:rFonts w:ascii="Times New Roman" w:hAnsi="Times New Roman" w:cs="Times New Roman"/>
          <w:color w:val="000000"/>
          <w:sz w:val="20"/>
          <w:lang w:val="en-US"/>
        </w:rPr>
        <w:tab/>
        <w:t xml:space="preserve">“US FDA accepts New Drug Application for </w:t>
      </w:r>
      <w:proofErr w:type="spellStart"/>
      <w:r w:rsidRPr="00366B64">
        <w:rPr>
          <w:rFonts w:ascii="Times New Roman" w:hAnsi="Times New Roman" w:cs="Times New Roman"/>
          <w:color w:val="000000"/>
          <w:sz w:val="20"/>
          <w:lang w:val="en-US"/>
        </w:rPr>
        <w:t>zoliflodacin</w:t>
      </w:r>
      <w:proofErr w:type="spellEnd"/>
      <w:r w:rsidRPr="00366B64">
        <w:rPr>
          <w:rFonts w:ascii="Times New Roman" w:hAnsi="Times New Roman" w:cs="Times New Roman"/>
          <w:color w:val="000000"/>
          <w:sz w:val="20"/>
          <w:lang w:val="en-US"/>
        </w:rPr>
        <w:t>,” Global Antibiotic Research and Development Partnership. Accessed: Nov. 21, 2025. [Online]. Available: https://gardp.org/innoviva-specialty-therapeutics-receives-fda-new-drug-application-acceptance-for-zoliflodacin-a-first-in-class-oral-antibiotic-for-uncomplicated-gonorrhoea-in-adults/</w:t>
      </w:r>
    </w:p>
    <w:p w14:paraId="731AC9D5"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[6]</w:t>
      </w:r>
      <w:r w:rsidRPr="00366B64">
        <w:rPr>
          <w:rFonts w:ascii="Times New Roman" w:hAnsi="Times New Roman" w:cs="Times New Roman"/>
          <w:color w:val="000000"/>
          <w:sz w:val="20"/>
          <w:lang w:val="en-US"/>
        </w:rPr>
        <w:tab/>
        <w:t xml:space="preserve">S. N. Taylor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“Single-Dose </w:t>
      </w:r>
      <w:proofErr w:type="spellStart"/>
      <w:r w:rsidRPr="00366B64">
        <w:rPr>
          <w:rFonts w:ascii="Times New Roman" w:hAnsi="Times New Roman" w:cs="Times New Roman"/>
          <w:color w:val="000000"/>
          <w:sz w:val="20"/>
          <w:lang w:val="en-US"/>
        </w:rPr>
        <w:t>Zoliflodacin</w:t>
      </w:r>
      <w:proofErr w:type="spellEnd"/>
      <w:r w:rsidRPr="00366B64">
        <w:rPr>
          <w:rFonts w:ascii="Times New Roman" w:hAnsi="Times New Roman" w:cs="Times New Roman"/>
          <w:color w:val="000000"/>
          <w:sz w:val="20"/>
          <w:lang w:val="en-US"/>
        </w:rPr>
        <w:t xml:space="preserve"> (ETX0914) for Treatment of Urogenital Gonorrhea,” </w:t>
      </w:r>
      <w:r w:rsidRPr="00366B64">
        <w:rPr>
          <w:rFonts w:ascii="Times New Roman" w:hAnsi="Times New Roman" w:cs="Times New Roman"/>
          <w:i/>
          <w:iCs/>
          <w:color w:val="000000"/>
          <w:sz w:val="20"/>
          <w:lang w:val="en-US"/>
        </w:rPr>
        <w:t>N. Engl. J. Med.</w:t>
      </w:r>
      <w:r w:rsidRPr="00366B64">
        <w:rPr>
          <w:rFonts w:ascii="Times New Roman" w:hAnsi="Times New Roman" w:cs="Times New Roman"/>
          <w:color w:val="000000"/>
          <w:sz w:val="20"/>
          <w:lang w:val="en-US"/>
        </w:rPr>
        <w:t xml:space="preserve">, vol. 379, no. 19, pp. 1835–1845, Nov. 2018,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10.1056/NEJMoa1706988.</w:t>
      </w:r>
    </w:p>
    <w:p w14:paraId="65BDD7DA"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[7]</w:t>
      </w:r>
      <w:r w:rsidRPr="00366B64">
        <w:rPr>
          <w:rFonts w:ascii="Times New Roman" w:hAnsi="Times New Roman" w:cs="Times New Roman"/>
          <w:color w:val="000000"/>
          <w:sz w:val="20"/>
          <w:lang w:val="en-US"/>
        </w:rPr>
        <w:tab/>
        <w:t>“GRASP report: data to August 2024,” UK Health Security Agency. Accessed: Oct. 29, 2025. [Online]. Available: https://www.gov.uk/government/publications/gonococcal-resistance-to-antimicrobials-surveillance-programme-grasp-report/grasp-report-data-to-august-2024</w:t>
      </w:r>
    </w:p>
    <w:p w14:paraId="3F0EC08E"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[8]</w:t>
      </w:r>
      <w:r w:rsidRPr="00366B64">
        <w:rPr>
          <w:rFonts w:ascii="Times New Roman" w:hAnsi="Times New Roman" w:cs="Times New Roman"/>
          <w:color w:val="000000"/>
          <w:sz w:val="20"/>
          <w:lang w:val="en-US"/>
        </w:rPr>
        <w:tab/>
        <w:t xml:space="preserve">K. K. K. Ko, M. T. W. Chio, S. S. Goh, A. L. Tan, T. H. Koh, and N. B. Abdul Rahman, “First Case of Ceftriaxone-Resistant Multidrug-Resistant Neisseria gonorrhoeae in Singapore,” </w:t>
      </w:r>
      <w:proofErr w:type="spellStart"/>
      <w:r w:rsidRPr="00366B64">
        <w:rPr>
          <w:rFonts w:ascii="Times New Roman" w:hAnsi="Times New Roman" w:cs="Times New Roman"/>
          <w:i/>
          <w:iCs/>
          <w:color w:val="000000"/>
          <w:sz w:val="20"/>
          <w:lang w:val="en-US"/>
        </w:rPr>
        <w:t>Antimicrob</w:t>
      </w:r>
      <w:proofErr w:type="spellEnd"/>
      <w:r w:rsidRPr="00366B64">
        <w:rPr>
          <w:rFonts w:ascii="Times New Roman" w:hAnsi="Times New Roman" w:cs="Times New Roman"/>
          <w:i/>
          <w:iCs/>
          <w:color w:val="000000"/>
          <w:sz w:val="20"/>
          <w:lang w:val="en-US"/>
        </w:rPr>
        <w:t xml:space="preserve">. Agents </w:t>
      </w:r>
      <w:proofErr w:type="spellStart"/>
      <w:r w:rsidRPr="00366B64">
        <w:rPr>
          <w:rFonts w:ascii="Times New Roman" w:hAnsi="Times New Roman" w:cs="Times New Roman"/>
          <w:i/>
          <w:iCs/>
          <w:color w:val="000000"/>
          <w:sz w:val="20"/>
          <w:lang w:val="en-US"/>
        </w:rPr>
        <w:t>Chemother</w:t>
      </w:r>
      <w:proofErr w:type="spellEnd"/>
      <w:r w:rsidRPr="00366B64">
        <w:rPr>
          <w:rFonts w:ascii="Times New Roman" w:hAnsi="Times New Roman" w:cs="Times New Roman"/>
          <w:i/>
          <w:iCs/>
          <w:color w:val="000000"/>
          <w:sz w:val="20"/>
          <w:lang w:val="en-US"/>
        </w:rPr>
        <w:t>.</w:t>
      </w:r>
      <w:r w:rsidRPr="00366B64">
        <w:rPr>
          <w:rFonts w:ascii="Times New Roman" w:hAnsi="Times New Roman" w:cs="Times New Roman"/>
          <w:color w:val="000000"/>
          <w:sz w:val="20"/>
          <w:lang w:val="en-US"/>
        </w:rPr>
        <w:t xml:space="preserve">, vol. 63, no. 5, pp. e02624-18, Apr. 2019,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10.1128/AAC.02624-18.</w:t>
      </w:r>
    </w:p>
    <w:p w14:paraId="33FDD2D1"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[9]</w:t>
      </w:r>
      <w:r w:rsidRPr="00366B64">
        <w:rPr>
          <w:rFonts w:ascii="Times New Roman" w:hAnsi="Times New Roman" w:cs="Times New Roman"/>
          <w:color w:val="000000"/>
          <w:sz w:val="20"/>
          <w:lang w:val="en-US"/>
        </w:rPr>
        <w:tab/>
        <w:t xml:space="preserve">C. Kenyon, “Doxycycline Postexposure Prophylaxis Could Accelerate the Emergence of Gonococcal Ceftriaxone Resistance,” </w:t>
      </w:r>
      <w:r w:rsidRPr="00366B64">
        <w:rPr>
          <w:rFonts w:ascii="Times New Roman" w:hAnsi="Times New Roman" w:cs="Times New Roman"/>
          <w:i/>
          <w:iCs/>
          <w:color w:val="000000"/>
          <w:sz w:val="20"/>
          <w:lang w:val="en-US"/>
        </w:rPr>
        <w:t>JAMA Intern. Med.</w:t>
      </w:r>
      <w:r w:rsidRPr="00366B64">
        <w:rPr>
          <w:rFonts w:ascii="Times New Roman" w:hAnsi="Times New Roman" w:cs="Times New Roman"/>
          <w:color w:val="000000"/>
          <w:sz w:val="20"/>
          <w:lang w:val="en-US"/>
        </w:rPr>
        <w:t xml:space="preserve">, vol. 185, no. 8, p. 1051, Aug. 2025,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10.1001/jamainternmed.2025.0984.</w:t>
      </w:r>
    </w:p>
    <w:p w14:paraId="2B8D5D7D"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[10]</w:t>
      </w:r>
      <w:r w:rsidRPr="00366B64">
        <w:rPr>
          <w:rFonts w:ascii="Times New Roman" w:hAnsi="Times New Roman" w:cs="Times New Roman"/>
          <w:color w:val="000000"/>
          <w:sz w:val="20"/>
          <w:lang w:val="en-US"/>
        </w:rPr>
        <w:tab/>
        <w:t xml:space="preserve">L. Geng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“Potential public health impacts of gonorrhea vaccination </w:t>
      </w:r>
      <w:proofErr w:type="spellStart"/>
      <w:r w:rsidRPr="00366B64">
        <w:rPr>
          <w:rFonts w:ascii="Times New Roman" w:hAnsi="Times New Roman" w:cs="Times New Roman"/>
          <w:color w:val="000000"/>
          <w:sz w:val="20"/>
          <w:lang w:val="en-US"/>
        </w:rPr>
        <w:t>programmes</w:t>
      </w:r>
      <w:proofErr w:type="spellEnd"/>
      <w:r w:rsidRPr="00366B64">
        <w:rPr>
          <w:rFonts w:ascii="Times New Roman" w:hAnsi="Times New Roman" w:cs="Times New Roman"/>
          <w:color w:val="000000"/>
          <w:sz w:val="20"/>
          <w:lang w:val="en-US"/>
        </w:rPr>
        <w:t xml:space="preserve"> under declining incidences: A modeling study,” </w:t>
      </w:r>
      <w:proofErr w:type="spellStart"/>
      <w:r w:rsidRPr="00366B64">
        <w:rPr>
          <w:rFonts w:ascii="Times New Roman" w:hAnsi="Times New Roman" w:cs="Times New Roman"/>
          <w:i/>
          <w:iCs/>
          <w:color w:val="000000"/>
          <w:sz w:val="20"/>
          <w:lang w:val="en-US"/>
        </w:rPr>
        <w:t>PLoS</w:t>
      </w:r>
      <w:proofErr w:type="spellEnd"/>
      <w:r w:rsidRPr="00366B64">
        <w:rPr>
          <w:rFonts w:ascii="Times New Roman" w:hAnsi="Times New Roman" w:cs="Times New Roman"/>
          <w:i/>
          <w:iCs/>
          <w:color w:val="000000"/>
          <w:sz w:val="20"/>
          <w:lang w:val="en-US"/>
        </w:rPr>
        <w:t xml:space="preserve"> Med.</w:t>
      </w:r>
      <w:r w:rsidRPr="00366B64">
        <w:rPr>
          <w:rFonts w:ascii="Times New Roman" w:hAnsi="Times New Roman" w:cs="Times New Roman"/>
          <w:color w:val="000000"/>
          <w:sz w:val="20"/>
          <w:lang w:val="en-US"/>
        </w:rPr>
        <w:t xml:space="preserve">, vol. 22, no. 2, p. e1004521, Feb. 2025,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10.1371/journal.pmed.1004521.</w:t>
      </w:r>
    </w:p>
    <w:p w14:paraId="69485BC6"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[11]</w:t>
      </w:r>
      <w:r w:rsidRPr="00366B64">
        <w:rPr>
          <w:rFonts w:ascii="Times New Roman" w:hAnsi="Times New Roman" w:cs="Times New Roman"/>
          <w:color w:val="000000"/>
          <w:sz w:val="20"/>
          <w:lang w:val="en-US"/>
        </w:rPr>
        <w:tab/>
        <w:t xml:space="preserve">L. K. Whittles, X. Didelot, and P. J. White, “Public health impact and cost-effectiveness of </w:t>
      </w:r>
      <w:proofErr w:type="spellStart"/>
      <w:r w:rsidRPr="00366B64">
        <w:rPr>
          <w:rFonts w:ascii="Times New Roman" w:hAnsi="Times New Roman" w:cs="Times New Roman"/>
          <w:color w:val="000000"/>
          <w:sz w:val="20"/>
          <w:lang w:val="en-US"/>
        </w:rPr>
        <w:t>gonorrhoea</w:t>
      </w:r>
      <w:proofErr w:type="spellEnd"/>
      <w:r w:rsidRPr="00366B64">
        <w:rPr>
          <w:rFonts w:ascii="Times New Roman" w:hAnsi="Times New Roman" w:cs="Times New Roman"/>
          <w:color w:val="000000"/>
          <w:sz w:val="20"/>
          <w:lang w:val="en-US"/>
        </w:rPr>
        <w:t xml:space="preserve"> vaccination: an integrated transmission-dynamic health-economic modelling analysis,” </w:t>
      </w:r>
      <w:r w:rsidRPr="00366B64">
        <w:rPr>
          <w:rFonts w:ascii="Times New Roman" w:hAnsi="Times New Roman" w:cs="Times New Roman"/>
          <w:i/>
          <w:iCs/>
          <w:color w:val="000000"/>
          <w:sz w:val="20"/>
          <w:lang w:val="en-US"/>
        </w:rPr>
        <w:t>Lancet Infect. Dis.</w:t>
      </w:r>
      <w:r w:rsidRPr="00366B64">
        <w:rPr>
          <w:rFonts w:ascii="Times New Roman" w:hAnsi="Times New Roman" w:cs="Times New Roman"/>
          <w:color w:val="000000"/>
          <w:sz w:val="20"/>
          <w:lang w:val="en-US"/>
        </w:rPr>
        <w:t xml:space="preserve">, vol. 22, no. 7, pp. 1030–1041, Jul. 2022,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10.1016/S1473-3099(21)00744-1.</w:t>
      </w:r>
    </w:p>
    <w:p w14:paraId="17F5B331"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[12]</w:t>
      </w:r>
      <w:r w:rsidRPr="00366B64">
        <w:rPr>
          <w:rFonts w:ascii="Times New Roman" w:hAnsi="Times New Roman" w:cs="Times New Roman"/>
          <w:color w:val="000000"/>
          <w:sz w:val="20"/>
          <w:lang w:val="en-US"/>
        </w:rPr>
        <w:tab/>
        <w:t xml:space="preserve">S. N. Ladhani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“Use of a meningococcal group B vaccine (4CMenB) in populations at high risk of </w:t>
      </w:r>
      <w:proofErr w:type="spellStart"/>
      <w:r w:rsidRPr="00366B64">
        <w:rPr>
          <w:rFonts w:ascii="Times New Roman" w:hAnsi="Times New Roman" w:cs="Times New Roman"/>
          <w:color w:val="000000"/>
          <w:sz w:val="20"/>
          <w:lang w:val="en-US"/>
        </w:rPr>
        <w:t>gonorrhoea</w:t>
      </w:r>
      <w:proofErr w:type="spellEnd"/>
      <w:r w:rsidRPr="00366B64">
        <w:rPr>
          <w:rFonts w:ascii="Times New Roman" w:hAnsi="Times New Roman" w:cs="Times New Roman"/>
          <w:color w:val="000000"/>
          <w:sz w:val="20"/>
          <w:lang w:val="en-US"/>
        </w:rPr>
        <w:t xml:space="preserve"> in the UK,” </w:t>
      </w:r>
      <w:r w:rsidRPr="00366B64">
        <w:rPr>
          <w:rFonts w:ascii="Times New Roman" w:hAnsi="Times New Roman" w:cs="Times New Roman"/>
          <w:i/>
          <w:iCs/>
          <w:color w:val="000000"/>
          <w:sz w:val="20"/>
          <w:lang w:val="en-US"/>
        </w:rPr>
        <w:t>Lancet Infect. Dis.</w:t>
      </w:r>
      <w:r w:rsidRPr="00366B64">
        <w:rPr>
          <w:rFonts w:ascii="Times New Roman" w:hAnsi="Times New Roman" w:cs="Times New Roman"/>
          <w:color w:val="000000"/>
          <w:sz w:val="20"/>
          <w:lang w:val="en-US"/>
        </w:rPr>
        <w:t xml:space="preserve">, vol. 24, no. 9, pp. e576–e583, Sep. 2024,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10.1016/S1473-3099(24)00031-8.</w:t>
      </w:r>
    </w:p>
    <w:p w14:paraId="47E826BB"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[13]</w:t>
      </w:r>
      <w:r w:rsidRPr="00366B64">
        <w:rPr>
          <w:rFonts w:ascii="Times New Roman" w:hAnsi="Times New Roman" w:cs="Times New Roman"/>
          <w:color w:val="000000"/>
          <w:sz w:val="20"/>
          <w:lang w:val="en-US"/>
        </w:rPr>
        <w:tab/>
        <w:t xml:space="preserve">A. R. Tuite, T. L. Gift, H. W. Chesson, K. Hsu, J. A. Salomon, and Y. H. Grad, “Impact of Rapid Susceptibility Testing and Antibiotic Selection Strategy on the Emergence and Spread of Antibiotic Resistance in Gonorrhea,” </w:t>
      </w:r>
      <w:r w:rsidRPr="00366B64">
        <w:rPr>
          <w:rFonts w:ascii="Times New Roman" w:hAnsi="Times New Roman" w:cs="Times New Roman"/>
          <w:i/>
          <w:iCs/>
          <w:color w:val="000000"/>
          <w:sz w:val="20"/>
          <w:lang w:val="en-US"/>
        </w:rPr>
        <w:t>J. Infect. Dis.</w:t>
      </w:r>
      <w:r w:rsidRPr="00366B64">
        <w:rPr>
          <w:rFonts w:ascii="Times New Roman" w:hAnsi="Times New Roman" w:cs="Times New Roman"/>
          <w:color w:val="000000"/>
          <w:sz w:val="20"/>
          <w:lang w:val="en-US"/>
        </w:rPr>
        <w:t xml:space="preserve">, vol. 216, no. 9, pp. 1141–1149, Nov. 2017,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10.1093/</w:t>
      </w:r>
      <w:proofErr w:type="spellStart"/>
      <w:r w:rsidRPr="00366B64">
        <w:rPr>
          <w:rFonts w:ascii="Times New Roman" w:hAnsi="Times New Roman" w:cs="Times New Roman"/>
          <w:color w:val="000000"/>
          <w:sz w:val="20"/>
          <w:lang w:val="en-US"/>
        </w:rPr>
        <w:t>infdis</w:t>
      </w:r>
      <w:proofErr w:type="spellEnd"/>
      <w:r w:rsidRPr="00366B64">
        <w:rPr>
          <w:rFonts w:ascii="Times New Roman" w:hAnsi="Times New Roman" w:cs="Times New Roman"/>
          <w:color w:val="000000"/>
          <w:sz w:val="20"/>
          <w:lang w:val="en-US"/>
        </w:rPr>
        <w:t>/jix450.</w:t>
      </w:r>
    </w:p>
    <w:p w14:paraId="3022BC29"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[14]</w:t>
      </w:r>
      <w:r w:rsidRPr="00366B64">
        <w:rPr>
          <w:rFonts w:ascii="Times New Roman" w:hAnsi="Times New Roman" w:cs="Times New Roman"/>
          <w:color w:val="000000"/>
          <w:sz w:val="20"/>
          <w:lang w:val="en-US"/>
        </w:rPr>
        <w:tab/>
        <w:t xml:space="preserve">E. Reichert, R. Yaesoubi, M. M. </w:t>
      </w:r>
      <w:proofErr w:type="spellStart"/>
      <w:r w:rsidRPr="00366B64">
        <w:rPr>
          <w:rFonts w:ascii="Times New Roman" w:hAnsi="Times New Roman" w:cs="Times New Roman"/>
          <w:color w:val="000000"/>
          <w:sz w:val="20"/>
          <w:lang w:val="en-US"/>
        </w:rPr>
        <w:t>Rönn</w:t>
      </w:r>
      <w:proofErr w:type="spellEnd"/>
      <w:r w:rsidRPr="00366B64">
        <w:rPr>
          <w:rFonts w:ascii="Times New Roman" w:hAnsi="Times New Roman" w:cs="Times New Roman"/>
          <w:color w:val="000000"/>
          <w:sz w:val="20"/>
          <w:lang w:val="en-US"/>
        </w:rPr>
        <w:t>, T. L. Gift, J. A. Salomon, and Y. H. Grad, “Resistance-</w:t>
      </w:r>
      <w:proofErr w:type="spellStart"/>
      <w:r w:rsidRPr="00366B64">
        <w:rPr>
          <w:rFonts w:ascii="Times New Roman" w:hAnsi="Times New Roman" w:cs="Times New Roman"/>
          <w:color w:val="000000"/>
          <w:sz w:val="20"/>
          <w:lang w:val="en-US"/>
        </w:rPr>
        <w:t>minimising</w:t>
      </w:r>
      <w:proofErr w:type="spellEnd"/>
      <w:r w:rsidRPr="00366B64">
        <w:rPr>
          <w:rFonts w:ascii="Times New Roman" w:hAnsi="Times New Roman" w:cs="Times New Roman"/>
          <w:color w:val="000000"/>
          <w:sz w:val="20"/>
          <w:lang w:val="en-US"/>
        </w:rPr>
        <w:t xml:space="preserve"> strategies for introducing a novel antibiotic for </w:t>
      </w:r>
      <w:proofErr w:type="spellStart"/>
      <w:r w:rsidRPr="00366B64">
        <w:rPr>
          <w:rFonts w:ascii="Times New Roman" w:hAnsi="Times New Roman" w:cs="Times New Roman"/>
          <w:color w:val="000000"/>
          <w:sz w:val="20"/>
          <w:lang w:val="en-US"/>
        </w:rPr>
        <w:t>gonorrhoea</w:t>
      </w:r>
      <w:proofErr w:type="spellEnd"/>
      <w:r w:rsidRPr="00366B64">
        <w:rPr>
          <w:rFonts w:ascii="Times New Roman" w:hAnsi="Times New Roman" w:cs="Times New Roman"/>
          <w:color w:val="000000"/>
          <w:sz w:val="20"/>
          <w:lang w:val="en-US"/>
        </w:rPr>
        <w:t xml:space="preserve"> treatment: a mathematical modelling study,” </w:t>
      </w:r>
      <w:r w:rsidRPr="00366B64">
        <w:rPr>
          <w:rFonts w:ascii="Times New Roman" w:hAnsi="Times New Roman" w:cs="Times New Roman"/>
          <w:i/>
          <w:iCs/>
          <w:color w:val="000000"/>
          <w:sz w:val="20"/>
          <w:lang w:val="en-US"/>
        </w:rPr>
        <w:t>Lancet Microbe</w:t>
      </w:r>
      <w:r w:rsidRPr="00366B64">
        <w:rPr>
          <w:rFonts w:ascii="Times New Roman" w:hAnsi="Times New Roman" w:cs="Times New Roman"/>
          <w:color w:val="000000"/>
          <w:sz w:val="20"/>
          <w:lang w:val="en-US"/>
        </w:rPr>
        <w:t xml:space="preserve">, vol. 4, no. 10, pp. e781–e789, Oct. 2023,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10.1016/S2666-5247(23)00145-3.</w:t>
      </w:r>
    </w:p>
    <w:p w14:paraId="3F993DC5"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[15]</w:t>
      </w:r>
      <w:r w:rsidRPr="00366B64">
        <w:rPr>
          <w:rFonts w:ascii="Times New Roman" w:hAnsi="Times New Roman" w:cs="Times New Roman"/>
          <w:color w:val="000000"/>
          <w:sz w:val="20"/>
          <w:lang w:val="en-US"/>
        </w:rPr>
        <w:tab/>
        <w:t xml:space="preserve">E. Reichert and Y. H. Grad, “Effects of doxycycline post-exposure prophylaxis for prevention of sexually transmitted infections on </w:t>
      </w:r>
      <w:proofErr w:type="spellStart"/>
      <w:r w:rsidRPr="00366B64">
        <w:rPr>
          <w:rFonts w:ascii="Times New Roman" w:hAnsi="Times New Roman" w:cs="Times New Roman"/>
          <w:color w:val="000000"/>
          <w:sz w:val="20"/>
          <w:lang w:val="en-US"/>
        </w:rPr>
        <w:t>gonorrhoea</w:t>
      </w:r>
      <w:proofErr w:type="spellEnd"/>
      <w:r w:rsidRPr="00366B64">
        <w:rPr>
          <w:rFonts w:ascii="Times New Roman" w:hAnsi="Times New Roman" w:cs="Times New Roman"/>
          <w:color w:val="000000"/>
          <w:sz w:val="20"/>
          <w:lang w:val="en-US"/>
        </w:rPr>
        <w:t xml:space="preserve"> prevalence and antimicrobial resistance among men who have sex with men in the USA: a modelling study,” </w:t>
      </w:r>
      <w:r w:rsidRPr="00366B64">
        <w:rPr>
          <w:rFonts w:ascii="Times New Roman" w:hAnsi="Times New Roman" w:cs="Times New Roman"/>
          <w:i/>
          <w:iCs/>
          <w:color w:val="000000"/>
          <w:sz w:val="20"/>
          <w:lang w:val="en-US"/>
        </w:rPr>
        <w:t>Lancet Microbe</w:t>
      </w:r>
      <w:r w:rsidRPr="00366B64">
        <w:rPr>
          <w:rFonts w:ascii="Times New Roman" w:hAnsi="Times New Roman" w:cs="Times New Roman"/>
          <w:color w:val="000000"/>
          <w:sz w:val="20"/>
          <w:lang w:val="en-US"/>
        </w:rPr>
        <w:t xml:space="preserve">, vol. 5, no. 11, p. 100926, Nov. 2024,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10.1016/s2666-5247(24)00168-x.</w:t>
      </w:r>
    </w:p>
    <w:p w14:paraId="74E39657"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[16]</w:t>
      </w:r>
      <w:r w:rsidRPr="00366B64">
        <w:rPr>
          <w:rFonts w:ascii="Times New Roman" w:hAnsi="Times New Roman" w:cs="Times New Roman"/>
          <w:color w:val="000000"/>
          <w:sz w:val="20"/>
          <w:lang w:val="en-US"/>
        </w:rPr>
        <w:tab/>
        <w:t xml:space="preserve">L. K. Whittles, P. J. White, and X. Didelot, “Assessment of the Potential of Vaccination to Combat Antibiotic Resistance in Gonorrhea: A Modeling Analysis to Determine Preferred Product Characteristics,” </w:t>
      </w:r>
      <w:r w:rsidRPr="00366B64">
        <w:rPr>
          <w:rFonts w:ascii="Times New Roman" w:hAnsi="Times New Roman" w:cs="Times New Roman"/>
          <w:i/>
          <w:iCs/>
          <w:color w:val="000000"/>
          <w:sz w:val="20"/>
          <w:lang w:val="en-US"/>
        </w:rPr>
        <w:t>Clin. Infect. Dis.</w:t>
      </w:r>
      <w:r w:rsidRPr="00366B64">
        <w:rPr>
          <w:rFonts w:ascii="Times New Roman" w:hAnsi="Times New Roman" w:cs="Times New Roman"/>
          <w:color w:val="000000"/>
          <w:sz w:val="20"/>
          <w:lang w:val="en-US"/>
        </w:rPr>
        <w:t xml:space="preserve">, vol. 71, no. 8, pp. 1912–1919, Nov. 2020,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10.1093/</w:t>
      </w:r>
      <w:proofErr w:type="spellStart"/>
      <w:r w:rsidRPr="00366B64">
        <w:rPr>
          <w:rFonts w:ascii="Times New Roman" w:hAnsi="Times New Roman" w:cs="Times New Roman"/>
          <w:color w:val="000000"/>
          <w:sz w:val="20"/>
          <w:lang w:val="en-US"/>
        </w:rPr>
        <w:t>cid</w:t>
      </w:r>
      <w:proofErr w:type="spellEnd"/>
      <w:r w:rsidRPr="00366B64">
        <w:rPr>
          <w:rFonts w:ascii="Times New Roman" w:hAnsi="Times New Roman" w:cs="Times New Roman"/>
          <w:color w:val="000000"/>
          <w:sz w:val="20"/>
          <w:lang w:val="en-US"/>
        </w:rPr>
        <w:t>/ciz1241.</w:t>
      </w:r>
    </w:p>
    <w:p w14:paraId="5A0B7766"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[17]</w:t>
      </w:r>
      <w:r w:rsidRPr="00366B64">
        <w:rPr>
          <w:rFonts w:ascii="Times New Roman" w:hAnsi="Times New Roman" w:cs="Times New Roman"/>
          <w:color w:val="000000"/>
          <w:sz w:val="20"/>
          <w:lang w:val="en-US"/>
        </w:rPr>
        <w:tab/>
        <w:t xml:space="preserve">L. K. Whittles, P. J. White, and X. Didelot, “Estimating the fitness cost and benefit of cefixime resistance in Neisseria gonorrhoeae to inform prescription policy: A modelling study,” </w:t>
      </w:r>
      <w:r w:rsidRPr="00366B64">
        <w:rPr>
          <w:rFonts w:ascii="Times New Roman" w:hAnsi="Times New Roman" w:cs="Times New Roman"/>
          <w:i/>
          <w:iCs/>
          <w:color w:val="000000"/>
          <w:sz w:val="20"/>
          <w:lang w:val="en-US"/>
        </w:rPr>
        <w:t>PLOS Med.</w:t>
      </w:r>
      <w:r w:rsidRPr="00366B64">
        <w:rPr>
          <w:rFonts w:ascii="Times New Roman" w:hAnsi="Times New Roman" w:cs="Times New Roman"/>
          <w:color w:val="000000"/>
          <w:sz w:val="20"/>
          <w:lang w:val="en-US"/>
        </w:rPr>
        <w:t xml:space="preserve">, vol. 14, no. 10, p. e1002416, Oct. 2017,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10.1371/journal.pmed.1002416.</w:t>
      </w:r>
    </w:p>
    <w:p w14:paraId="04F05E33"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[18]</w:t>
      </w:r>
      <w:r w:rsidRPr="00366B64">
        <w:rPr>
          <w:rFonts w:ascii="Times New Roman" w:hAnsi="Times New Roman" w:cs="Times New Roman"/>
          <w:color w:val="000000"/>
          <w:sz w:val="20"/>
          <w:lang w:val="en-US"/>
        </w:rPr>
        <w:tab/>
        <w:t xml:space="preserve">H. Fifer, J. Saunders, S. Soni, S. T. Sadiq, and M. FitzGerald, “2018 UK national guideline for the management of infection with Neisseria gonorrhoeae,” </w:t>
      </w:r>
      <w:r w:rsidRPr="00366B64">
        <w:rPr>
          <w:rFonts w:ascii="Times New Roman" w:hAnsi="Times New Roman" w:cs="Times New Roman"/>
          <w:i/>
          <w:iCs/>
          <w:color w:val="000000"/>
          <w:sz w:val="20"/>
          <w:lang w:val="en-US"/>
        </w:rPr>
        <w:t>Int. J. STD AIDS</w:t>
      </w:r>
      <w:r w:rsidRPr="00366B64">
        <w:rPr>
          <w:rFonts w:ascii="Times New Roman" w:hAnsi="Times New Roman" w:cs="Times New Roman"/>
          <w:color w:val="000000"/>
          <w:sz w:val="20"/>
          <w:lang w:val="en-US"/>
        </w:rPr>
        <w:t xml:space="preserve">, vol. 31, no. 1, pp. 4–15, Jan. 2020,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10.1177/0956462419886775.</w:t>
      </w:r>
    </w:p>
    <w:p w14:paraId="145A6B59"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[19]</w:t>
      </w:r>
      <w:r w:rsidRPr="00366B64">
        <w:rPr>
          <w:rFonts w:ascii="Times New Roman" w:hAnsi="Times New Roman" w:cs="Times New Roman"/>
          <w:color w:val="000000"/>
          <w:sz w:val="20"/>
          <w:lang w:val="en-US"/>
        </w:rPr>
        <w:tab/>
        <w:t>“GRASP report: data to September 2025,” UK Health Security Agency. Accessed: Nov. 20, 2025. [Online]. Available: https://www.gov.uk/government/publications/gonococcal-resistance-to-antimicrobials-surveillance-programme-grasp-report/grasp-report-data-to-september-2025</w:t>
      </w:r>
    </w:p>
    <w:p w14:paraId="6BD4FE3C"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lastRenderedPageBreak/>
        <w:t>[20]</w:t>
      </w:r>
      <w:r w:rsidRPr="00366B64">
        <w:rPr>
          <w:rFonts w:ascii="Times New Roman" w:hAnsi="Times New Roman" w:cs="Times New Roman"/>
          <w:color w:val="000000"/>
          <w:sz w:val="20"/>
          <w:lang w:val="en-US"/>
        </w:rPr>
        <w:tab/>
        <w:t xml:space="preserve">R. Platt, P. A. Rice, and W. M. McCormack, “Risk of acquiring gonorrhea and prevalence of abnormal adnexal findings among women recently exposed to gonorrhea,” </w:t>
      </w:r>
      <w:r w:rsidRPr="00366B64">
        <w:rPr>
          <w:rFonts w:ascii="Times New Roman" w:hAnsi="Times New Roman" w:cs="Times New Roman"/>
          <w:i/>
          <w:iCs/>
          <w:color w:val="000000"/>
          <w:sz w:val="20"/>
          <w:lang w:val="en-US"/>
        </w:rPr>
        <w:t>JAMA</w:t>
      </w:r>
      <w:r w:rsidRPr="00366B64">
        <w:rPr>
          <w:rFonts w:ascii="Times New Roman" w:hAnsi="Times New Roman" w:cs="Times New Roman"/>
          <w:color w:val="000000"/>
          <w:sz w:val="20"/>
          <w:lang w:val="en-US"/>
        </w:rPr>
        <w:t>, vol. 250, no. 23, pp. 3205–3209, Dec. 1983.</w:t>
      </w:r>
    </w:p>
    <w:p w14:paraId="652A39E2"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[21]</w:t>
      </w:r>
      <w:r w:rsidRPr="00366B64">
        <w:rPr>
          <w:rFonts w:ascii="Times New Roman" w:hAnsi="Times New Roman" w:cs="Times New Roman"/>
          <w:color w:val="000000"/>
          <w:sz w:val="20"/>
          <w:lang w:val="en-US"/>
        </w:rPr>
        <w:tab/>
        <w:t xml:space="preserve">K. A. Schmidt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“Experimental gonococcal urethritis and reinfection with homologous gonococci in male volunteers,” </w:t>
      </w:r>
      <w:r w:rsidRPr="00366B64">
        <w:rPr>
          <w:rFonts w:ascii="Times New Roman" w:hAnsi="Times New Roman" w:cs="Times New Roman"/>
          <w:i/>
          <w:iCs/>
          <w:color w:val="000000"/>
          <w:sz w:val="20"/>
          <w:lang w:val="en-US"/>
        </w:rPr>
        <w:t>Sex. Transm. Dis.</w:t>
      </w:r>
      <w:r w:rsidRPr="00366B64">
        <w:rPr>
          <w:rFonts w:ascii="Times New Roman" w:hAnsi="Times New Roman" w:cs="Times New Roman"/>
          <w:color w:val="000000"/>
          <w:sz w:val="20"/>
          <w:lang w:val="en-US"/>
        </w:rPr>
        <w:t xml:space="preserve">, vol. 28, no. 10, pp. 555–564, Oct. 2001,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10.1097/00007435-200110000-00001.</w:t>
      </w:r>
    </w:p>
    <w:p w14:paraId="1FFB7722"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[22]</w:t>
      </w:r>
      <w:r w:rsidRPr="00366B64">
        <w:rPr>
          <w:rFonts w:ascii="Times New Roman" w:hAnsi="Times New Roman" w:cs="Times New Roman"/>
          <w:color w:val="000000"/>
          <w:sz w:val="20"/>
          <w:lang w:val="en-US"/>
        </w:rPr>
        <w:tab/>
        <w:t xml:space="preserve">C. B. Hosenfeld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“Repeat infection with Chlamydia and gonorrhea among females: a systematic review of the literature,” </w:t>
      </w:r>
      <w:r w:rsidRPr="00366B64">
        <w:rPr>
          <w:rFonts w:ascii="Times New Roman" w:hAnsi="Times New Roman" w:cs="Times New Roman"/>
          <w:i/>
          <w:iCs/>
          <w:color w:val="000000"/>
          <w:sz w:val="20"/>
          <w:lang w:val="en-US"/>
        </w:rPr>
        <w:t>Sex. Transm. Dis.</w:t>
      </w:r>
      <w:r w:rsidRPr="00366B64">
        <w:rPr>
          <w:rFonts w:ascii="Times New Roman" w:hAnsi="Times New Roman" w:cs="Times New Roman"/>
          <w:color w:val="000000"/>
          <w:sz w:val="20"/>
          <w:lang w:val="en-US"/>
        </w:rPr>
        <w:t xml:space="preserve">, vol. 36, no. 8, pp. 478–489, Aug. 2009,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10.1097/OLQ.0b013e3181a2a933.</w:t>
      </w:r>
    </w:p>
    <w:p w14:paraId="0D1619A3"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[23]</w:t>
      </w:r>
      <w:r w:rsidRPr="00366B64">
        <w:rPr>
          <w:rFonts w:ascii="Times New Roman" w:hAnsi="Times New Roman" w:cs="Times New Roman"/>
          <w:color w:val="000000"/>
          <w:sz w:val="20"/>
          <w:lang w:val="en-US"/>
        </w:rPr>
        <w:tab/>
        <w:t xml:space="preserve">C. Kenyon, B. Herrmann, G. Hughes, and H. J. C. de Vries, “Management of asymptomatic sexually transmitted infections in Europe: towards a differentiated, evidence-based approach,” </w:t>
      </w:r>
      <w:r w:rsidRPr="00366B64">
        <w:rPr>
          <w:rFonts w:ascii="Times New Roman" w:hAnsi="Times New Roman" w:cs="Times New Roman"/>
          <w:i/>
          <w:iCs/>
          <w:color w:val="000000"/>
          <w:sz w:val="20"/>
          <w:lang w:val="en-US"/>
        </w:rPr>
        <w:t>Lancet Reg. Health – Eur.</w:t>
      </w:r>
      <w:r w:rsidRPr="00366B64">
        <w:rPr>
          <w:rFonts w:ascii="Times New Roman" w:hAnsi="Times New Roman" w:cs="Times New Roman"/>
          <w:color w:val="000000"/>
          <w:sz w:val="20"/>
          <w:lang w:val="en-US"/>
        </w:rPr>
        <w:t xml:space="preserve">, vol. 34, Nov. 2023,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10.1016/j.lanepe.2023.100743.</w:t>
      </w:r>
    </w:p>
    <w:p w14:paraId="23E2443B"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[24]</w:t>
      </w:r>
      <w:r w:rsidRPr="00366B64">
        <w:rPr>
          <w:rFonts w:ascii="Times New Roman" w:hAnsi="Times New Roman" w:cs="Times New Roman"/>
          <w:color w:val="000000"/>
          <w:sz w:val="20"/>
          <w:lang w:val="en-US"/>
        </w:rPr>
        <w:tab/>
        <w:t xml:space="preserve">J. Whelan, V. Abbing-Karahagopian, L. Serino, and M. </w:t>
      </w:r>
      <w:proofErr w:type="spellStart"/>
      <w:r w:rsidRPr="00366B64">
        <w:rPr>
          <w:rFonts w:ascii="Times New Roman" w:hAnsi="Times New Roman" w:cs="Times New Roman"/>
          <w:color w:val="000000"/>
          <w:sz w:val="20"/>
          <w:lang w:val="en-US"/>
        </w:rPr>
        <w:t>Unemo</w:t>
      </w:r>
      <w:proofErr w:type="spellEnd"/>
      <w:r w:rsidRPr="00366B64">
        <w:rPr>
          <w:rFonts w:ascii="Times New Roman" w:hAnsi="Times New Roman" w:cs="Times New Roman"/>
          <w:color w:val="000000"/>
          <w:sz w:val="20"/>
          <w:lang w:val="en-US"/>
        </w:rPr>
        <w:t>, “</w:t>
      </w:r>
      <w:proofErr w:type="spellStart"/>
      <w:r w:rsidRPr="00366B64">
        <w:rPr>
          <w:rFonts w:ascii="Times New Roman" w:hAnsi="Times New Roman" w:cs="Times New Roman"/>
          <w:color w:val="000000"/>
          <w:sz w:val="20"/>
          <w:lang w:val="en-US"/>
        </w:rPr>
        <w:t>Gonorrhoea</w:t>
      </w:r>
      <w:proofErr w:type="spellEnd"/>
      <w:r w:rsidRPr="00366B64">
        <w:rPr>
          <w:rFonts w:ascii="Times New Roman" w:hAnsi="Times New Roman" w:cs="Times New Roman"/>
          <w:color w:val="000000"/>
          <w:sz w:val="20"/>
          <w:lang w:val="en-US"/>
        </w:rPr>
        <w:t xml:space="preserve">: a systematic review of prevalence reporting globally,” </w:t>
      </w:r>
      <w:r w:rsidRPr="00366B64">
        <w:rPr>
          <w:rFonts w:ascii="Times New Roman" w:hAnsi="Times New Roman" w:cs="Times New Roman"/>
          <w:i/>
          <w:iCs/>
          <w:color w:val="000000"/>
          <w:sz w:val="20"/>
          <w:lang w:val="en-US"/>
        </w:rPr>
        <w:t>BMC Infect. Dis.</w:t>
      </w:r>
      <w:r w:rsidRPr="00366B64">
        <w:rPr>
          <w:rFonts w:ascii="Times New Roman" w:hAnsi="Times New Roman" w:cs="Times New Roman"/>
          <w:color w:val="000000"/>
          <w:sz w:val="20"/>
          <w:lang w:val="en-US"/>
        </w:rPr>
        <w:t xml:space="preserve">, vol. 21, p. 1152, Nov. 2021,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10.1186/s12879-021-06381-4.</w:t>
      </w:r>
    </w:p>
    <w:p w14:paraId="3A603FE2"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[25]</w:t>
      </w:r>
      <w:r w:rsidRPr="00366B64">
        <w:rPr>
          <w:rFonts w:ascii="Times New Roman" w:hAnsi="Times New Roman" w:cs="Times New Roman"/>
          <w:color w:val="000000"/>
          <w:sz w:val="20"/>
          <w:lang w:val="en-US"/>
        </w:rPr>
        <w:tab/>
        <w:t xml:space="preserve">J.-M. Molina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“Doxycycline prophylaxis and meningococcal group B vaccine to prevent bacterial sexually transmitted infections in France (ANRS 174 DOXYVAC): a </w:t>
      </w:r>
      <w:proofErr w:type="spellStart"/>
      <w:r w:rsidRPr="00366B64">
        <w:rPr>
          <w:rFonts w:ascii="Times New Roman" w:hAnsi="Times New Roman" w:cs="Times New Roman"/>
          <w:color w:val="000000"/>
          <w:sz w:val="20"/>
          <w:lang w:val="en-US"/>
        </w:rPr>
        <w:t>multicentre</w:t>
      </w:r>
      <w:proofErr w:type="spellEnd"/>
      <w:r w:rsidRPr="00366B64">
        <w:rPr>
          <w:rFonts w:ascii="Times New Roman" w:hAnsi="Times New Roman" w:cs="Times New Roman"/>
          <w:color w:val="000000"/>
          <w:sz w:val="20"/>
          <w:lang w:val="en-US"/>
        </w:rPr>
        <w:t xml:space="preserve">, open-label, </w:t>
      </w:r>
      <w:proofErr w:type="spellStart"/>
      <w:r w:rsidRPr="00366B64">
        <w:rPr>
          <w:rFonts w:ascii="Times New Roman" w:hAnsi="Times New Roman" w:cs="Times New Roman"/>
          <w:color w:val="000000"/>
          <w:sz w:val="20"/>
          <w:lang w:val="en-US"/>
        </w:rPr>
        <w:t>randomised</w:t>
      </w:r>
      <w:proofErr w:type="spellEnd"/>
      <w:r w:rsidRPr="00366B64">
        <w:rPr>
          <w:rFonts w:ascii="Times New Roman" w:hAnsi="Times New Roman" w:cs="Times New Roman"/>
          <w:color w:val="000000"/>
          <w:sz w:val="20"/>
          <w:lang w:val="en-US"/>
        </w:rPr>
        <w:t xml:space="preserve"> trial with a 2 × 2 factorial design,” </w:t>
      </w:r>
      <w:r w:rsidRPr="00366B64">
        <w:rPr>
          <w:rFonts w:ascii="Times New Roman" w:hAnsi="Times New Roman" w:cs="Times New Roman"/>
          <w:i/>
          <w:iCs/>
          <w:color w:val="000000"/>
          <w:sz w:val="20"/>
          <w:lang w:val="en-US"/>
        </w:rPr>
        <w:t>Lancet Infect. Dis.</w:t>
      </w:r>
      <w:r w:rsidRPr="00366B64">
        <w:rPr>
          <w:rFonts w:ascii="Times New Roman" w:hAnsi="Times New Roman" w:cs="Times New Roman"/>
          <w:color w:val="000000"/>
          <w:sz w:val="20"/>
          <w:lang w:val="en-US"/>
        </w:rPr>
        <w:t xml:space="preserve">, vol. 24, no. 10, pp. 1093–1104, Oct. 2024,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10.1016/S1473-3099(24)00236-6.</w:t>
      </w:r>
    </w:p>
    <w:p w14:paraId="197FA0A3"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[26]</w:t>
      </w:r>
      <w:r w:rsidRPr="00366B64">
        <w:rPr>
          <w:rFonts w:ascii="Times New Roman" w:hAnsi="Times New Roman" w:cs="Times New Roman"/>
          <w:color w:val="000000"/>
          <w:sz w:val="20"/>
          <w:lang w:val="en-US"/>
        </w:rPr>
        <w:tab/>
        <w:t xml:space="preserve">J. Zhang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“Discontinuation, suboptimal adherence, and reinitiation of oral HIV pre-exposure prophylaxis: a global systematic review and meta-analysis,” </w:t>
      </w:r>
      <w:r w:rsidRPr="00366B64">
        <w:rPr>
          <w:rFonts w:ascii="Times New Roman" w:hAnsi="Times New Roman" w:cs="Times New Roman"/>
          <w:i/>
          <w:iCs/>
          <w:color w:val="000000"/>
          <w:sz w:val="20"/>
          <w:lang w:val="en-US"/>
        </w:rPr>
        <w:t>Lancet HIV</w:t>
      </w:r>
      <w:r w:rsidRPr="00366B64">
        <w:rPr>
          <w:rFonts w:ascii="Times New Roman" w:hAnsi="Times New Roman" w:cs="Times New Roman"/>
          <w:color w:val="000000"/>
          <w:sz w:val="20"/>
          <w:lang w:val="en-US"/>
        </w:rPr>
        <w:t xml:space="preserve">, vol. 9, no. 4, pp. e254–e268, Apr. 2022,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10.1016/S2352-3018(22)00030-3.</w:t>
      </w:r>
    </w:p>
    <w:p w14:paraId="50425765"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[27]</w:t>
      </w:r>
      <w:r w:rsidRPr="00366B64">
        <w:rPr>
          <w:rFonts w:ascii="Times New Roman" w:hAnsi="Times New Roman" w:cs="Times New Roman"/>
          <w:color w:val="000000"/>
          <w:sz w:val="20"/>
          <w:lang w:val="en-US"/>
        </w:rPr>
        <w:tab/>
        <w:t xml:space="preserve">B. Wang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“4CMenB sustained vaccine effectiveness against invasive meningococcal B disease and </w:t>
      </w:r>
      <w:proofErr w:type="spellStart"/>
      <w:r w:rsidRPr="00366B64">
        <w:rPr>
          <w:rFonts w:ascii="Times New Roman" w:hAnsi="Times New Roman" w:cs="Times New Roman"/>
          <w:color w:val="000000"/>
          <w:sz w:val="20"/>
          <w:lang w:val="en-US"/>
        </w:rPr>
        <w:t>gonorrhoea</w:t>
      </w:r>
      <w:proofErr w:type="spellEnd"/>
      <w:r w:rsidRPr="00366B64">
        <w:rPr>
          <w:rFonts w:ascii="Times New Roman" w:hAnsi="Times New Roman" w:cs="Times New Roman"/>
          <w:color w:val="000000"/>
          <w:sz w:val="20"/>
          <w:lang w:val="en-US"/>
        </w:rPr>
        <w:t xml:space="preserve"> at three years post </w:t>
      </w:r>
      <w:proofErr w:type="spellStart"/>
      <w:r w:rsidRPr="00366B64">
        <w:rPr>
          <w:rFonts w:ascii="Times New Roman" w:hAnsi="Times New Roman" w:cs="Times New Roman"/>
          <w:color w:val="000000"/>
          <w:sz w:val="20"/>
          <w:lang w:val="en-US"/>
        </w:rPr>
        <w:t>programme</w:t>
      </w:r>
      <w:proofErr w:type="spellEnd"/>
      <w:r w:rsidRPr="00366B64">
        <w:rPr>
          <w:rFonts w:ascii="Times New Roman" w:hAnsi="Times New Roman" w:cs="Times New Roman"/>
          <w:color w:val="000000"/>
          <w:sz w:val="20"/>
          <w:lang w:val="en-US"/>
        </w:rPr>
        <w:t xml:space="preserve"> implementation,” </w:t>
      </w:r>
      <w:r w:rsidRPr="00366B64">
        <w:rPr>
          <w:rFonts w:ascii="Times New Roman" w:hAnsi="Times New Roman" w:cs="Times New Roman"/>
          <w:i/>
          <w:iCs/>
          <w:color w:val="000000"/>
          <w:sz w:val="20"/>
          <w:lang w:val="en-US"/>
        </w:rPr>
        <w:t>J. Infect.</w:t>
      </w:r>
      <w:r w:rsidRPr="00366B64">
        <w:rPr>
          <w:rFonts w:ascii="Times New Roman" w:hAnsi="Times New Roman" w:cs="Times New Roman"/>
          <w:color w:val="000000"/>
          <w:sz w:val="20"/>
          <w:lang w:val="en-US"/>
        </w:rPr>
        <w:t xml:space="preserve">, vol. 87, no. 2, pp. 95–102, Aug. 2023,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10.1016/j.jinf.2023.05.021.</w:t>
      </w:r>
    </w:p>
    <w:p w14:paraId="1C1F90CA" w14:textId="77777777" w:rsidR="00366B64" w:rsidRPr="00366B64" w:rsidRDefault="00366B64" w:rsidP="00366B64">
      <w:pPr>
        <w:pStyle w:val="Bibliography"/>
        <w:rPr>
          <w:rFonts w:ascii="Times New Roman" w:hAnsi="Times New Roman" w:cs="Times New Roman"/>
          <w:color w:val="000000"/>
          <w:sz w:val="20"/>
          <w:lang w:val="en-US"/>
        </w:rPr>
      </w:pPr>
      <w:r w:rsidRPr="00366B64">
        <w:rPr>
          <w:rFonts w:ascii="Times New Roman" w:hAnsi="Times New Roman" w:cs="Times New Roman"/>
          <w:color w:val="000000"/>
          <w:sz w:val="20"/>
          <w:lang w:val="en-US"/>
        </w:rPr>
        <w:t>[28]</w:t>
      </w:r>
      <w:r w:rsidRPr="00366B64">
        <w:rPr>
          <w:rFonts w:ascii="Times New Roman" w:hAnsi="Times New Roman" w:cs="Times New Roman"/>
          <w:color w:val="000000"/>
          <w:sz w:val="20"/>
          <w:lang w:val="en-US"/>
        </w:rPr>
        <w:tab/>
        <w:t xml:space="preserve">B. Wang </w:t>
      </w:r>
      <w:r w:rsidRPr="00366B64">
        <w:rPr>
          <w:rFonts w:ascii="Times New Roman" w:hAnsi="Times New Roman" w:cs="Times New Roman"/>
          <w:i/>
          <w:iCs/>
          <w:color w:val="000000"/>
          <w:sz w:val="20"/>
          <w:lang w:val="en-US"/>
        </w:rPr>
        <w:t>et al.</w:t>
      </w:r>
      <w:r w:rsidRPr="00366B64">
        <w:rPr>
          <w:rFonts w:ascii="Times New Roman" w:hAnsi="Times New Roman" w:cs="Times New Roman"/>
          <w:color w:val="000000"/>
          <w:sz w:val="20"/>
          <w:lang w:val="en-US"/>
        </w:rPr>
        <w:t xml:space="preserve">, “Long-Term Protection Against Invasive Meningococcal B Disease and Gonococcal Infection 5 Years After Implementation of Funded Childhood and Adolescent 4CMenB Vaccination Program in South Australia: An Observational Cohort and Case-Control Study,” </w:t>
      </w:r>
      <w:r w:rsidRPr="00366B64">
        <w:rPr>
          <w:rFonts w:ascii="Times New Roman" w:hAnsi="Times New Roman" w:cs="Times New Roman"/>
          <w:i/>
          <w:iCs/>
          <w:color w:val="000000"/>
          <w:sz w:val="20"/>
          <w:lang w:val="en-US"/>
        </w:rPr>
        <w:t>Clin. Infect. Dis. Off. Publ. Infect. Dis. Soc. Am.</w:t>
      </w:r>
      <w:r w:rsidRPr="00366B64">
        <w:rPr>
          <w:rFonts w:ascii="Times New Roman" w:hAnsi="Times New Roman" w:cs="Times New Roman"/>
          <w:color w:val="000000"/>
          <w:sz w:val="20"/>
          <w:lang w:val="en-US"/>
        </w:rPr>
        <w:t xml:space="preserve">, vol. 81, no. 4, pp. e202–e210, Nov. 2025, </w:t>
      </w:r>
      <w:proofErr w:type="spellStart"/>
      <w:r w:rsidRPr="00366B64">
        <w:rPr>
          <w:rFonts w:ascii="Times New Roman" w:hAnsi="Times New Roman" w:cs="Times New Roman"/>
          <w:color w:val="000000"/>
          <w:sz w:val="20"/>
          <w:lang w:val="en-US"/>
        </w:rPr>
        <w:t>doi</w:t>
      </w:r>
      <w:proofErr w:type="spellEnd"/>
      <w:r w:rsidRPr="00366B64">
        <w:rPr>
          <w:rFonts w:ascii="Times New Roman" w:hAnsi="Times New Roman" w:cs="Times New Roman"/>
          <w:color w:val="000000"/>
          <w:sz w:val="20"/>
          <w:lang w:val="en-US"/>
        </w:rPr>
        <w:t>: 10.1093/</w:t>
      </w:r>
      <w:proofErr w:type="spellStart"/>
      <w:r w:rsidRPr="00366B64">
        <w:rPr>
          <w:rFonts w:ascii="Times New Roman" w:hAnsi="Times New Roman" w:cs="Times New Roman"/>
          <w:color w:val="000000"/>
          <w:sz w:val="20"/>
          <w:lang w:val="en-US"/>
        </w:rPr>
        <w:t>cid</w:t>
      </w:r>
      <w:proofErr w:type="spellEnd"/>
      <w:r w:rsidRPr="00366B64">
        <w:rPr>
          <w:rFonts w:ascii="Times New Roman" w:hAnsi="Times New Roman" w:cs="Times New Roman"/>
          <w:color w:val="000000"/>
          <w:sz w:val="20"/>
          <w:lang w:val="en-US"/>
        </w:rPr>
        <w:t>/ciaf372.</w:t>
      </w:r>
    </w:p>
    <w:p w14:paraId="5AC95642" w14:textId="020259B9" w:rsidR="00802477" w:rsidRPr="00E5154E" w:rsidRDefault="00802477" w:rsidP="00366B64">
      <w:pPr>
        <w:pStyle w:val="Bibliography"/>
        <w:rPr>
          <w:rFonts w:ascii="Times New Roman" w:eastAsia="Times New Roman" w:hAnsi="Times New Roman" w:cs="Times New Roman"/>
          <w:color w:val="000000" w:themeColor="text1"/>
          <w:kern w:val="0"/>
          <w:sz w:val="20"/>
          <w:szCs w:val="20"/>
          <w14:ligatures w14:val="none"/>
        </w:rPr>
      </w:pPr>
      <w:r w:rsidRPr="00E5154E">
        <w:rPr>
          <w:rFonts w:ascii="Times New Roman" w:eastAsia="Times New Roman" w:hAnsi="Times New Roman" w:cs="Times New Roman"/>
          <w:color w:val="000000" w:themeColor="text1"/>
          <w:kern w:val="0"/>
          <w:sz w:val="20"/>
          <w:szCs w:val="20"/>
          <w14:ligatures w14:val="none"/>
        </w:rPr>
        <w:fldChar w:fldCharType="end"/>
      </w:r>
    </w:p>
    <w:p w14:paraId="09887875" w14:textId="34CA54EE" w:rsidR="006A5D60" w:rsidRPr="00E5154E" w:rsidRDefault="006A5D60" w:rsidP="00E5154E">
      <w:pPr>
        <w:spacing w:before="100" w:beforeAutospacing="1" w:after="100" w:afterAutospacing="1" w:line="276" w:lineRule="auto"/>
        <w:jc w:val="both"/>
        <w:rPr>
          <w:rFonts w:ascii="Times New Roman" w:hAnsi="Times New Roman" w:cs="Times New Roman"/>
          <w:color w:val="000000" w:themeColor="text1"/>
          <w:sz w:val="20"/>
          <w:szCs w:val="20"/>
        </w:rPr>
      </w:pPr>
    </w:p>
    <w:sectPr w:rsidR="006A5D60" w:rsidRPr="00E5154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6540A" w14:textId="77777777" w:rsidR="0045755C" w:rsidRDefault="0045755C" w:rsidP="00BA2AB7">
      <w:pPr>
        <w:spacing w:after="0" w:line="240" w:lineRule="auto"/>
      </w:pPr>
      <w:r>
        <w:separator/>
      </w:r>
    </w:p>
  </w:endnote>
  <w:endnote w:type="continuationSeparator" w:id="0">
    <w:p w14:paraId="61810082" w14:textId="77777777" w:rsidR="0045755C" w:rsidRDefault="0045755C" w:rsidP="00BA2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670DBC" w14:textId="77777777" w:rsidR="0045755C" w:rsidRDefault="0045755C" w:rsidP="00BA2AB7">
      <w:pPr>
        <w:spacing w:after="0" w:line="240" w:lineRule="auto"/>
      </w:pPr>
      <w:r>
        <w:separator/>
      </w:r>
    </w:p>
  </w:footnote>
  <w:footnote w:type="continuationSeparator" w:id="0">
    <w:p w14:paraId="3151ED96" w14:textId="77777777" w:rsidR="0045755C" w:rsidRDefault="0045755C" w:rsidP="00BA2AB7">
      <w:pPr>
        <w:spacing w:after="0" w:line="240" w:lineRule="auto"/>
      </w:pPr>
      <w:r>
        <w:continuationSeparator/>
      </w:r>
    </w:p>
  </w:footnote>
  <w:footnote w:id="1">
    <w:p w14:paraId="4158FAE3" w14:textId="5F316128" w:rsidR="00F729B0" w:rsidRPr="00F729B0" w:rsidRDefault="00F729B0" w:rsidP="00F729B0">
      <w:pPr>
        <w:pStyle w:val="FootnoteText"/>
        <w:jc w:val="both"/>
        <w:rPr>
          <w:rFonts w:ascii="Times New Roman" w:hAnsi="Times New Roman" w:cs="Times New Roman"/>
          <w:sz w:val="16"/>
          <w:szCs w:val="16"/>
          <w:lang w:val="en-US"/>
        </w:rPr>
      </w:pPr>
      <w:r w:rsidRPr="00F729B0">
        <w:rPr>
          <w:rStyle w:val="FootnoteReference"/>
          <w:rFonts w:ascii="Times New Roman" w:hAnsi="Times New Roman" w:cs="Times New Roman"/>
          <w:sz w:val="16"/>
          <w:szCs w:val="16"/>
        </w:rPr>
        <w:footnoteRef/>
      </w:r>
      <w:r w:rsidRPr="00F729B0">
        <w:rPr>
          <w:rFonts w:ascii="Times New Roman" w:hAnsi="Times New Roman" w:cs="Times New Roman"/>
          <w:sz w:val="16"/>
          <w:szCs w:val="16"/>
        </w:rPr>
        <w:t xml:space="preserve"> Laboratory studies have shown that </w:t>
      </w:r>
      <w:proofErr w:type="spellStart"/>
      <w:r w:rsidRPr="00F729B0">
        <w:rPr>
          <w:rFonts w:ascii="Times New Roman" w:hAnsi="Times New Roman" w:cs="Times New Roman"/>
          <w:sz w:val="16"/>
          <w:szCs w:val="16"/>
        </w:rPr>
        <w:t>zoliflodacin</w:t>
      </w:r>
      <w:proofErr w:type="spellEnd"/>
      <w:r w:rsidRPr="00F729B0">
        <w:rPr>
          <w:rFonts w:ascii="Times New Roman" w:hAnsi="Times New Roman" w:cs="Times New Roman"/>
          <w:sz w:val="16"/>
          <w:szCs w:val="16"/>
        </w:rPr>
        <w:t xml:space="preserve"> is active against </w:t>
      </w:r>
      <w:r w:rsidRPr="00F729B0">
        <w:rPr>
          <w:rStyle w:val="Emphasis"/>
          <w:rFonts w:ascii="Times New Roman" w:hAnsi="Times New Roman" w:cs="Times New Roman"/>
          <w:sz w:val="16"/>
          <w:szCs w:val="16"/>
        </w:rPr>
        <w:t>Neisseria gonorrhoeae</w:t>
      </w:r>
      <w:r w:rsidRPr="00F729B0">
        <w:rPr>
          <w:rFonts w:ascii="Times New Roman" w:hAnsi="Times New Roman" w:cs="Times New Roman"/>
          <w:sz w:val="16"/>
          <w:szCs w:val="16"/>
        </w:rPr>
        <w:t>, including multidrug-resistant strains</w:t>
      </w:r>
      <w:r>
        <w:rPr>
          <w:rFonts w:ascii="Times New Roman" w:hAnsi="Times New Roman" w:cs="Times New Roman"/>
          <w:sz w:val="16"/>
          <w:szCs w:val="16"/>
        </w:rPr>
        <w:t xml:space="preserve"> </w:t>
      </w:r>
      <w:r>
        <w:rPr>
          <w:rFonts w:ascii="Times New Roman" w:hAnsi="Times New Roman" w:cs="Times New Roman"/>
          <w:sz w:val="16"/>
          <w:szCs w:val="16"/>
        </w:rPr>
        <w:fldChar w:fldCharType="begin"/>
      </w:r>
      <w:r w:rsidR="00756FF7">
        <w:rPr>
          <w:rFonts w:ascii="Times New Roman" w:hAnsi="Times New Roman" w:cs="Times New Roman"/>
          <w:sz w:val="16"/>
          <w:szCs w:val="16"/>
        </w:rPr>
        <w:instrText xml:space="preserve"> ADDIN ZOTERO_ITEM CSL_CITATION {"citationID":"ozBOp0eh","properties":{"formattedCitation":"[5]","plainCitation":"[5]","noteIndex":1},"citationItems":[{"id":441,"uris":["http://zotero.org/users/9663344/items/VLY7I8IE"],"itemData":{"id":441,"type":"webpage","abstract":"US FDA accepts NDA for zoliflodacin - an investigational first-in-class oral antibiotic poised to become the first new treatment for gonorrhoea in decades.","container-title":"Global Antibiotic Research and Development Partnership","language":"en-US","note":"section: Press releases","title":"US FDA accepts New Drug Application for zoliflodacin","URL":"https://gardp.org/innoviva-specialty-therapeutics-receives-fda-new-drug-application-acceptance-for-zoliflodacin-a-first-in-class-oral-antibiotic-for-uncomplicated-gonorrhoea-in-adults/","accessed":{"date-parts":[["2025",11,21]]},"issued":{"date-parts":[["2025",6,10]]}}}],"schema":"https://github.com/citation-style-language/schema/raw/master/csl-citation.json"} </w:instrText>
      </w:r>
      <w:r>
        <w:rPr>
          <w:rFonts w:ascii="Times New Roman" w:hAnsi="Times New Roman" w:cs="Times New Roman"/>
          <w:sz w:val="16"/>
          <w:szCs w:val="16"/>
        </w:rPr>
        <w:fldChar w:fldCharType="separate"/>
      </w:r>
      <w:r w:rsidR="00756FF7">
        <w:rPr>
          <w:rFonts w:ascii="Times New Roman" w:hAnsi="Times New Roman" w:cs="Times New Roman"/>
          <w:noProof/>
          <w:sz w:val="16"/>
          <w:szCs w:val="16"/>
        </w:rPr>
        <w:t>[5]</w:t>
      </w:r>
      <w:r>
        <w:rPr>
          <w:rFonts w:ascii="Times New Roman" w:hAnsi="Times New Roman" w:cs="Times New Roman"/>
          <w:sz w:val="16"/>
          <w:szCs w:val="16"/>
        </w:rPr>
        <w:fldChar w:fldCharType="end"/>
      </w:r>
      <w:r w:rsidRPr="00F729B0">
        <w:rPr>
          <w:rFonts w:ascii="Times New Roman" w:hAnsi="Times New Roman" w:cs="Times New Roman"/>
          <w:sz w:val="16"/>
          <w:szCs w:val="16"/>
        </w:rPr>
        <w:t xml:space="preserve">. Clinical trials indicate that oral </w:t>
      </w:r>
      <w:proofErr w:type="spellStart"/>
      <w:r w:rsidRPr="00F729B0">
        <w:rPr>
          <w:rFonts w:ascii="Times New Roman" w:hAnsi="Times New Roman" w:cs="Times New Roman"/>
          <w:sz w:val="16"/>
          <w:szCs w:val="16"/>
        </w:rPr>
        <w:t>zoliflodacin</w:t>
      </w:r>
      <w:proofErr w:type="spellEnd"/>
      <w:r w:rsidRPr="00F729B0">
        <w:rPr>
          <w:rFonts w:ascii="Times New Roman" w:hAnsi="Times New Roman" w:cs="Times New Roman"/>
          <w:sz w:val="16"/>
          <w:szCs w:val="16"/>
        </w:rPr>
        <w:t xml:space="preserve"> is highly effective for treating uncomplicated urogenital and rectal gonococcal infections, though its performance is notably weaker for pharyngeal infections</w:t>
      </w:r>
      <w:r>
        <w:rPr>
          <w:rFonts w:ascii="Times New Roman" w:hAnsi="Times New Roman" w:cs="Times New Roman"/>
          <w:sz w:val="16"/>
          <w:szCs w:val="16"/>
        </w:rPr>
        <w:t xml:space="preserve"> </w:t>
      </w:r>
      <w:r>
        <w:rPr>
          <w:rFonts w:ascii="Times New Roman" w:hAnsi="Times New Roman" w:cs="Times New Roman"/>
          <w:sz w:val="16"/>
          <w:szCs w:val="16"/>
        </w:rPr>
        <w:fldChar w:fldCharType="begin"/>
      </w:r>
      <w:r w:rsidR="00756FF7">
        <w:rPr>
          <w:rFonts w:ascii="Times New Roman" w:hAnsi="Times New Roman" w:cs="Times New Roman"/>
          <w:sz w:val="16"/>
          <w:szCs w:val="16"/>
        </w:rPr>
        <w:instrText xml:space="preserve"> ADDIN ZOTERO_ITEM CSL_CITATION {"citationID":"ql6gBmLo","properties":{"formattedCitation":"[6]","plainCitation":"[6]","noteIndex":1},"citationItems":[{"id":439,"uris":["http://zotero.org/users/9663344/items/LDMPL5QV"],"itemData":{"id":439,"type":"article-journal","abstract":"Increases in antimicrobial resistance are creating challenges for the treatment of gonorrhea. Zoliflodacin is a new antimicrobial agent that inhibits DNA biosynthesis. In this phase 2 trial, zoliflodacin is shown to have activity against uncomplicated urogenital gonorrhea.","container-title":"New England Journal of Medicine","DOI":"10.1056/NEJMoa1706988","ISSN":"0028-4793","issue":"19","note":"_eprint: https://www.nejm.org/doi/pdf/10.1056/NEJMoa1706988","page":"1835-1845","publisher":"Massachusetts Medical Society","source":"Taylor and Francis+NEJM","title":"Single-Dose Zoliflodacin (ETX0914) for Treatment of Urogenital Gonorrhea","volume":"379","author":[{"family":"Taylor","given":"Stephanie N."},{"family":"Marrazzo","given":"Jeanne"},{"family":"Batteiger","given":"Byron E."},{"family":"Hook","given":"Edward W."},{"family":"Seña","given":"Arlene C."},{"family":"Long","given":"Jill"},{"family":"Wierzbicki","given":"Michael R."},{"family":"Kwak","given":"Hannah"},{"family":"Johnson","given":"Shacondra M."},{"family":"Lawrence","given":"Kenneth"},{"family":"Mueller","given":"John"}],"issued":{"date-parts":[["2018",11,8]]}}}],"schema":"https://github.com/citation-style-language/schema/raw/master/csl-citation.json"} </w:instrText>
      </w:r>
      <w:r>
        <w:rPr>
          <w:rFonts w:ascii="Times New Roman" w:hAnsi="Times New Roman" w:cs="Times New Roman"/>
          <w:sz w:val="16"/>
          <w:szCs w:val="16"/>
        </w:rPr>
        <w:fldChar w:fldCharType="separate"/>
      </w:r>
      <w:r w:rsidR="00756FF7">
        <w:rPr>
          <w:rFonts w:ascii="Times New Roman" w:hAnsi="Times New Roman" w:cs="Times New Roman"/>
          <w:noProof/>
          <w:sz w:val="16"/>
          <w:szCs w:val="16"/>
        </w:rPr>
        <w:t>[6]</w:t>
      </w:r>
      <w:r>
        <w:rPr>
          <w:rFonts w:ascii="Times New Roman" w:hAnsi="Times New Roman" w:cs="Times New Roman"/>
          <w:sz w:val="16"/>
          <w:szCs w:val="16"/>
        </w:rPr>
        <w:fldChar w:fldCharType="end"/>
      </w:r>
      <w:r w:rsidRPr="00F729B0">
        <w:rPr>
          <w:rFonts w:ascii="Times New Roman" w:hAnsi="Times New Roman" w:cs="Times New Roman"/>
          <w:sz w:val="16"/>
          <w:szCs w:val="16"/>
        </w:rPr>
        <w:t>. Overall, its efficacy remains inferior to ceftriaxone</w:t>
      </w:r>
      <w:r>
        <w:rPr>
          <w:rFonts w:ascii="Times New Roman" w:hAnsi="Times New Roman" w:cs="Times New Roman"/>
          <w:sz w:val="16"/>
          <w:szCs w:val="16"/>
        </w:rPr>
        <w:t xml:space="preserve"> </w:t>
      </w:r>
      <w:r>
        <w:rPr>
          <w:rFonts w:ascii="Times New Roman" w:hAnsi="Times New Roman" w:cs="Times New Roman"/>
          <w:sz w:val="16"/>
          <w:szCs w:val="16"/>
        </w:rPr>
        <w:fldChar w:fldCharType="begin"/>
      </w:r>
      <w:r w:rsidR="00756FF7">
        <w:rPr>
          <w:rFonts w:ascii="Times New Roman" w:hAnsi="Times New Roman" w:cs="Times New Roman"/>
          <w:sz w:val="16"/>
          <w:szCs w:val="16"/>
        </w:rPr>
        <w:instrText xml:space="preserve"> ADDIN ZOTERO_ITEM CSL_CITATION {"citationID":"GGZk39Ri","properties":{"formattedCitation":"[6]","plainCitation":"[6]","noteIndex":1},"citationItems":[{"id":439,"uris":["http://zotero.org/users/9663344/items/LDMPL5QV"],"itemData":{"id":439,"type":"article-journal","abstract":"Increases in antimicrobial resistance are creating challenges for the treatment of gonorrhea. Zoliflodacin is a new antimicrobial agent that inhibits DNA biosynthesis. In this phase 2 trial, zoliflodacin is shown to have activity against uncomplicated urogenital gonorrhea.","container-title":"New England Journal of Medicine","DOI":"10.1056/NEJMoa1706988","ISSN":"0028-4793","issue":"19","note":"_eprint: https://www.nejm.org/doi/pdf/10.1056/NEJMoa1706988","page":"1835-1845","publisher":"Massachusetts Medical Society","source":"Taylor and Francis+NEJM","title":"Single-Dose Zoliflodacin (ETX0914) for Treatment of Urogenital Gonorrhea","volume":"379","author":[{"family":"Taylor","given":"Stephanie N."},{"family":"Marrazzo","given":"Jeanne"},{"family":"Batteiger","given":"Byron E."},{"family":"Hook","given":"Edward W."},{"family":"Seña","given":"Arlene C."},{"family":"Long","given":"Jill"},{"family":"Wierzbicki","given":"Michael R."},{"family":"Kwak","given":"Hannah"},{"family":"Johnson","given":"Shacondra M."},{"family":"Lawrence","given":"Kenneth"},{"family":"Mueller","given":"John"}],"issued":{"date-parts":[["2018",11,8]]}}}],"schema":"https://github.com/citation-style-language/schema/raw/master/csl-citation.json"} </w:instrText>
      </w:r>
      <w:r>
        <w:rPr>
          <w:rFonts w:ascii="Times New Roman" w:hAnsi="Times New Roman" w:cs="Times New Roman"/>
          <w:sz w:val="16"/>
          <w:szCs w:val="16"/>
        </w:rPr>
        <w:fldChar w:fldCharType="separate"/>
      </w:r>
      <w:r w:rsidR="00756FF7">
        <w:rPr>
          <w:rFonts w:ascii="Times New Roman" w:hAnsi="Times New Roman" w:cs="Times New Roman"/>
          <w:noProof/>
          <w:sz w:val="16"/>
          <w:szCs w:val="16"/>
        </w:rPr>
        <w:t>[6]</w:t>
      </w:r>
      <w:r>
        <w:rPr>
          <w:rFonts w:ascii="Times New Roman" w:hAnsi="Times New Roman" w:cs="Times New Roman"/>
          <w:sz w:val="16"/>
          <w:szCs w:val="16"/>
        </w:rPr>
        <w:fldChar w:fldCharType="end"/>
      </w:r>
      <w:r w:rsidRPr="00F729B0">
        <w:rPr>
          <w:rFonts w:ascii="Times New Roman" w:hAnsi="Times New Roman" w:cs="Times New Roman"/>
          <w:sz w:val="16"/>
          <w:szCs w:val="16"/>
        </w:rPr>
        <w:t>.</w:t>
      </w:r>
    </w:p>
  </w:footnote>
  <w:footnote w:id="2">
    <w:p w14:paraId="35D8A0C6" w14:textId="4EF99CED" w:rsidR="00E5498B" w:rsidRPr="00523A73" w:rsidRDefault="00E5498B">
      <w:pPr>
        <w:pStyle w:val="FootnoteText"/>
        <w:rPr>
          <w:rFonts w:ascii="Times New Roman" w:hAnsi="Times New Roman" w:cs="Times New Roman"/>
          <w:sz w:val="16"/>
          <w:szCs w:val="16"/>
        </w:rPr>
      </w:pPr>
      <w:r w:rsidRPr="00523A73">
        <w:rPr>
          <w:rStyle w:val="FootnoteReference"/>
          <w:rFonts w:ascii="Times New Roman" w:hAnsi="Times New Roman" w:cs="Times New Roman"/>
          <w:sz w:val="16"/>
          <w:szCs w:val="16"/>
        </w:rPr>
        <w:footnoteRef/>
      </w:r>
      <w:r w:rsidRPr="00523A73">
        <w:rPr>
          <w:rFonts w:ascii="Times New Roman" w:hAnsi="Times New Roman" w:cs="Times New Roman"/>
          <w:sz w:val="16"/>
          <w:szCs w:val="16"/>
        </w:rPr>
        <w:t xml:space="preserve"> MIC </w:t>
      </w:r>
      <m:oMath>
        <m:r>
          <w:rPr>
            <w:rFonts w:ascii="Cambria Math" w:hAnsi="Cambria Math" w:cs="Times New Roman"/>
            <w:sz w:val="16"/>
            <w:szCs w:val="16"/>
          </w:rPr>
          <m:t>≥</m:t>
        </m:r>
      </m:oMath>
      <w:r w:rsidRPr="00523A73">
        <w:rPr>
          <w:rFonts w:ascii="Times New Roman" w:hAnsi="Times New Roman" w:cs="Times New Roman"/>
          <w:sz w:val="16"/>
          <w:szCs w:val="16"/>
        </w:rPr>
        <w:t xml:space="preserve"> 2mg/L</w:t>
      </w:r>
    </w:p>
  </w:footnote>
  <w:footnote w:id="3">
    <w:p w14:paraId="1FE4FA1B" w14:textId="4446451B" w:rsidR="00E5498B" w:rsidRPr="00523A73" w:rsidRDefault="00E5498B">
      <w:pPr>
        <w:pStyle w:val="FootnoteText"/>
        <w:rPr>
          <w:rFonts w:ascii="Times New Roman" w:hAnsi="Times New Roman" w:cs="Times New Roman"/>
          <w:sz w:val="16"/>
          <w:szCs w:val="16"/>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Data from 2020</w:t>
      </w:r>
      <w:r>
        <w:rPr>
          <w:rFonts w:ascii="Times New Roman" w:hAnsi="Times New Roman" w:cs="Times New Roman"/>
          <w:sz w:val="16"/>
          <w:szCs w:val="16"/>
        </w:rPr>
        <w:t xml:space="preserve"> - </w:t>
      </w:r>
      <w:r w:rsidRPr="00523A73">
        <w:rPr>
          <w:rFonts w:ascii="Times New Roman" w:hAnsi="Times New Roman" w:cs="Times New Roman"/>
          <w:sz w:val="16"/>
          <w:szCs w:val="16"/>
        </w:rPr>
        <w:t>2021 were excluded due to sampling biases during COVID-19.</w:t>
      </w:r>
    </w:p>
  </w:footnote>
  <w:footnote w:id="4">
    <w:p w14:paraId="535A06E0" w14:textId="6556FF06" w:rsidR="00E5498B" w:rsidRPr="009A302F" w:rsidRDefault="00E5498B">
      <w:pPr>
        <w:pStyle w:val="FootnoteText"/>
        <w:rPr>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MIC </w:t>
      </w:r>
      <m:oMath>
        <m:r>
          <w:rPr>
            <w:rFonts w:ascii="Cambria Math" w:hAnsi="Cambria Math" w:cs="Times New Roman"/>
            <w:sz w:val="16"/>
            <w:szCs w:val="16"/>
          </w:rPr>
          <m:t>&gt;</m:t>
        </m:r>
      </m:oMath>
      <w:r w:rsidRPr="00523A73">
        <w:rPr>
          <w:rFonts w:ascii="Times New Roman" w:hAnsi="Times New Roman" w:cs="Times New Roman"/>
          <w:sz w:val="16"/>
          <w:szCs w:val="16"/>
        </w:rPr>
        <w:t xml:space="preserve"> 0.5mg/L</w:t>
      </w:r>
    </w:p>
  </w:footnote>
  <w:footnote w:id="5">
    <w:p w14:paraId="49BB2CC5" w14:textId="49DEE684" w:rsidR="006C157E" w:rsidRPr="006C157E" w:rsidRDefault="006C157E">
      <w:pPr>
        <w:pStyle w:val="FootnoteText"/>
      </w:pPr>
      <w:r>
        <w:rPr>
          <w:rStyle w:val="FootnoteReference"/>
        </w:rPr>
        <w:footnoteRef/>
      </w:r>
      <w:r>
        <w:t xml:space="preserve"> </w:t>
      </w:r>
      <w:r w:rsidRPr="006C157E">
        <w:rPr>
          <w:rFonts w:ascii="Times New Roman" w:hAnsi="Times New Roman" w:cs="Times New Roman"/>
          <w:sz w:val="16"/>
          <w:szCs w:val="16"/>
        </w:rPr>
        <w:t>For prior distributions and parameter bounds.</w:t>
      </w:r>
    </w:p>
  </w:footnote>
  <w:footnote w:id="6">
    <w:p w14:paraId="36C2C945" w14:textId="7ABADFCD" w:rsidR="00BA2AB7" w:rsidRPr="00B1021E" w:rsidRDefault="00BA2AB7" w:rsidP="00145FC1">
      <w:pPr>
        <w:pStyle w:val="FootnoteText"/>
        <w:jc w:val="both"/>
        <w:rPr>
          <w:rFonts w:ascii="Times New Roman" w:hAnsi="Times New Roman" w:cs="Times New Roman"/>
          <w:sz w:val="18"/>
          <w:szCs w:val="18"/>
          <w:lang w:val="en-US"/>
        </w:rPr>
      </w:pPr>
      <w:r>
        <w:rPr>
          <w:rStyle w:val="FootnoteReference"/>
        </w:rPr>
        <w:footnoteRef/>
      </w:r>
      <w:r w:rsidR="00B1021E">
        <w:t xml:space="preserve"> </w:t>
      </w:r>
      <w:r w:rsidRPr="00B1021E">
        <w:rPr>
          <w:rFonts w:ascii="Times New Roman" w:hAnsi="Times New Roman" w:cs="Times New Roman"/>
          <w:sz w:val="18"/>
          <w:szCs w:val="18"/>
          <w:lang w:val="en-US"/>
        </w:rPr>
        <w:t>Assume</w:t>
      </w:r>
      <w:r w:rsidR="00F477CC" w:rsidRPr="00B1021E">
        <w:rPr>
          <w:rFonts w:ascii="Times New Roman" w:hAnsi="Times New Roman" w:cs="Times New Roman"/>
          <w:sz w:val="18"/>
          <w:szCs w:val="18"/>
          <w:lang w:val="en-US"/>
        </w:rPr>
        <w:t>d</w:t>
      </w:r>
      <w:r w:rsidRPr="00B1021E">
        <w:rPr>
          <w:rFonts w:ascii="Times New Roman" w:hAnsi="Times New Roman" w:cs="Times New Roman"/>
          <w:sz w:val="18"/>
          <w:szCs w:val="18"/>
          <w:lang w:val="en-US"/>
        </w:rPr>
        <w:t xml:space="preserve"> </w:t>
      </w:r>
      <w:r w:rsidRPr="00B1021E">
        <w:rPr>
          <w:rFonts w:ascii="Times New Roman" w:hAnsi="Times New Roman" w:cs="Times New Roman"/>
          <w:sz w:val="18"/>
          <w:szCs w:val="18"/>
        </w:rPr>
        <w:t>each intervention reduces infection risk independently such that their combined efficacy is modelled multiplicatively</w:t>
      </w:r>
      <w:r w:rsidR="00F477CC" w:rsidRPr="00B1021E">
        <w:rPr>
          <w:rFonts w:ascii="Times New Roman" w:hAnsi="Times New Roman" w:cs="Times New Roman"/>
          <w:sz w:val="18"/>
          <w:szCs w:val="18"/>
        </w:rPr>
        <w:t xml:space="preserve">, i.e., </w:t>
      </w:r>
      <m:oMath>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vd</m:t>
            </m:r>
          </m:sub>
        </m:sSub>
        <m:r>
          <w:rPr>
            <w:rFonts w:ascii="Cambria Math" w:hAnsi="Cambria Math" w:cs="Times New Roman"/>
            <w:sz w:val="18"/>
            <w:szCs w:val="18"/>
          </w:rPr>
          <m:t>=1-</m:t>
        </m:r>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d</m:t>
                </m:r>
              </m:sub>
            </m:sSub>
          </m:e>
        </m:d>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m:t>
                </m:r>
              </m:sub>
            </m:sSub>
          </m:e>
        </m:d>
      </m:oMath>
      <w:r w:rsidR="00F477CC" w:rsidRPr="00B1021E">
        <w:rPr>
          <w:rFonts w:ascii="Times New Roman" w:hAnsi="Times New Roman" w:cs="Times New Roman"/>
          <w:sz w:val="18"/>
          <w:szCs w:val="18"/>
        </w:rPr>
        <w:t>.</w:t>
      </w:r>
    </w:p>
  </w:footnote>
  <w:footnote w:id="7">
    <w:p w14:paraId="166275AC" w14:textId="28F74D27" w:rsidR="00B1021E" w:rsidRPr="00B1021E" w:rsidRDefault="00B1021E" w:rsidP="00145FC1">
      <w:pPr>
        <w:pStyle w:val="FootnoteText"/>
        <w:jc w:val="both"/>
        <w:rPr>
          <w:rFonts w:ascii="Times New Roman" w:hAnsi="Times New Roman" w:cs="Times New Roman"/>
          <w:sz w:val="18"/>
          <w:szCs w:val="18"/>
        </w:rPr>
      </w:pPr>
      <w:r w:rsidRPr="00B1021E">
        <w:rPr>
          <w:rStyle w:val="FootnoteReference"/>
          <w:rFonts w:ascii="Times New Roman" w:hAnsi="Times New Roman" w:cs="Times New Roman"/>
          <w:sz w:val="18"/>
          <w:szCs w:val="18"/>
        </w:rPr>
        <w:footnoteRef/>
      </w:r>
      <w:r>
        <w:rPr>
          <w:rFonts w:ascii="Times New Roman" w:hAnsi="Times New Roman" w:cs="Times New Roman"/>
          <w:sz w:val="18"/>
          <w:szCs w:val="18"/>
        </w:rPr>
        <w:t xml:space="preserve"> </w:t>
      </w:r>
      <w:r w:rsidRPr="00B1021E">
        <w:rPr>
          <w:rFonts w:ascii="Times New Roman" w:hAnsi="Times New Roman" w:cs="Times New Roman"/>
          <w:sz w:val="18"/>
          <w:szCs w:val="18"/>
        </w:rPr>
        <w:t>A booster dose may need to be further evaluated and considered in adolescents, given evidence of waning protection against gonorrhoea beginning around 36 months after vaccination</w:t>
      </w:r>
      <w:r w:rsidRPr="00B1021E">
        <w:rPr>
          <w:rFonts w:ascii="Times New Roman" w:hAnsi="Times New Roman" w:cs="Times New Roman"/>
          <w:sz w:val="18"/>
          <w:szCs w:val="18"/>
        </w:rPr>
        <w:t xml:space="preserve"> </w:t>
      </w:r>
      <w:r w:rsidRPr="00B1021E">
        <w:rPr>
          <w:rFonts w:ascii="Times New Roman" w:hAnsi="Times New Roman" w:cs="Times New Roman"/>
          <w:sz w:val="18"/>
          <w:szCs w:val="18"/>
        </w:rPr>
        <w:fldChar w:fldCharType="begin"/>
      </w:r>
      <w:r w:rsidRPr="00B1021E">
        <w:rPr>
          <w:rFonts w:ascii="Times New Roman" w:hAnsi="Times New Roman" w:cs="Times New Roman"/>
          <w:sz w:val="18"/>
          <w:szCs w:val="18"/>
        </w:rPr>
        <w:instrText xml:space="preserve"> ADDIN ZOTERO_ITEM CSL_CITATION {"citationID":"YHB4VZcH","properties":{"unsorted":false,"formattedCitation":"[27]","plainCitation":"[27]","noteIndex":7},"citationItems":[{"id":464,"uris":["http://zotero.org/users/9663344/items/89SSBCG8"],"itemData":{"id":464,"type":"article-journal","abstract":"OBJECTIVES: To evaluate persistence of vaccine effectiveness (VE) and vaccine impact (VI) on invasive meningococcal B (MenB) disease and gonorrhoea at three years after implementation of a state funded 4CMenB programme for infants, children, adolescents and young people in South Australia.\nMETHODS: VI was assessed using a Poisson or negative binomial regression model, and VE was estimated using screening and case-control methods. Chlamydia controls were used to estimate VE in the primary analysis to control potential confounding effects such as high-risk sexual behaviour associated with sexually transmitted infections.\nRESULTS: During the three-year programme, reductions of 63.1% (95%CI 29.0-80.9%) and 78.5% (95%CI 33.0-93.1%) in incidence of MenB disease were observed in infants and adolescents, respectively. There were no cases in infants who had received three doses of 4CMenB. Two-dose VE against MenB disease was 90.7% (95%CI 6.9-99.1%) for the childhood programme and 83.5% (95%CI 0-98.2%) for the adolescent programme. Two-dose VE against gonorrhoea in adolescents was 33.2% (95%CI 15.9-47.0%). Lower VE estimates were demonstrated after 36 months post-vaccination (23.2% (95%CI 0-47.5%)&gt; 36 months post-vaccination compared to 34.9% (95%CI 15.0-50.1%) within 6-36 months). Higher VE estimates were found after excluding patients with repeat gonorrhoea infections (37.3%, 95%CI 19.8-51.0%). For gonorrhoea cases co-infected with chlamydia VE was maintained (44.7% (95%CI 17.1-63.1%).\nCONCLUSION: The third-year evaluation results show persistent vaccine effectiveness of 4CMenB against MenB disease in infants and adolescents. As this is the first ongoing programme for adolescents, moderate vaccine protection against gonorrhoea with waning effectiveness three years post-vaccination was demonstrated in adolescents and young adults. The additional protection of 4CMenB vaccine against gonorrhoea, likely through cross-protection should be considered in cost-effectiveness analyses. A booster dose may need to be further evaluated and considered in adolescents due to waning protection against gonorrhoea demonstrated after 36 months post-vaccination.","container-title":"The Journal of Infection","DOI":"10.1016/j.jinf.2023.05.021","ISSN":"1532-2742","issue":"2","journalAbbreviation":"J Infect","language":"eng","page":"95-102","PMID":"37268223","source":"PubMed","title":"4CMenB sustained vaccine effectiveness against invasive meningococcal B disease and gonorrhoea at three years post programme implementation","volume":"87","author":[{"family":"Wang","given":"Bing"},{"family":"Giles","given":"Lynne"},{"family":"Andraweera","given":"Prabha"},{"family":"McMillan","given":"Mark"},{"family":"Almond","given":"Sara"},{"family":"Beazley","given":"Rebecca"},{"family":"Mitchell","given":"Janine"},{"family":"Ahoure","given":"Michele"},{"family":"Denehy","given":"Emma"},{"family":"Flood","given":"Louise"},{"family":"Marshall","given":"Helen"}],"issued":{"date-parts":[["2023",8]]}}}],"schema":"https://github.com/citation-style-language/schema/raw/master/csl-citation.json"} </w:instrText>
      </w:r>
      <w:r w:rsidRPr="00B1021E">
        <w:rPr>
          <w:rFonts w:ascii="Times New Roman" w:hAnsi="Times New Roman" w:cs="Times New Roman"/>
          <w:sz w:val="18"/>
          <w:szCs w:val="18"/>
        </w:rPr>
        <w:fldChar w:fldCharType="separate"/>
      </w:r>
      <w:r w:rsidRPr="00B1021E">
        <w:rPr>
          <w:rFonts w:ascii="Times New Roman" w:hAnsi="Times New Roman" w:cs="Times New Roman"/>
          <w:noProof/>
          <w:sz w:val="18"/>
          <w:szCs w:val="18"/>
        </w:rPr>
        <w:t>[27]</w:t>
      </w:r>
      <w:r w:rsidRPr="00B1021E">
        <w:rPr>
          <w:rFonts w:ascii="Times New Roman" w:hAnsi="Times New Roman" w:cs="Times New Roman"/>
          <w:sz w:val="18"/>
          <w:szCs w:val="18"/>
        </w:rPr>
        <w:fldChar w:fldCharType="end"/>
      </w:r>
      <w:r w:rsidRPr="00B1021E">
        <w:rPr>
          <w:rFonts w:ascii="Times New Roman" w:hAnsi="Times New Roman" w:cs="Times New Roman"/>
          <w:sz w:val="18"/>
          <w:szCs w:val="18"/>
        </w:rPr>
        <w:t>.</w:t>
      </w:r>
    </w:p>
  </w:footnote>
  <w:footnote w:id="8">
    <w:p w14:paraId="46B8E66B" w14:textId="30F89D76" w:rsidR="00B1021E" w:rsidRPr="00B1021E" w:rsidRDefault="00B1021E" w:rsidP="00145FC1">
      <w:pPr>
        <w:pStyle w:val="FootnoteText"/>
        <w:jc w:val="both"/>
        <w:rPr>
          <w:lang w:val="en-US"/>
        </w:rPr>
      </w:pPr>
      <w:r w:rsidRPr="00B1021E">
        <w:rPr>
          <w:rStyle w:val="FootnoteReference"/>
          <w:rFonts w:ascii="Times New Roman" w:hAnsi="Times New Roman" w:cs="Times New Roman"/>
          <w:sz w:val="18"/>
          <w:szCs w:val="18"/>
        </w:rPr>
        <w:footnoteRef/>
      </w:r>
      <w:r w:rsidRPr="00B1021E">
        <w:rPr>
          <w:rFonts w:ascii="Times New Roman" w:hAnsi="Times New Roman" w:cs="Times New Roman"/>
          <w:sz w:val="18"/>
          <w:szCs w:val="18"/>
        </w:rPr>
        <w:t xml:space="preserve"> </w:t>
      </w:r>
      <w:r w:rsidRPr="00B1021E">
        <w:rPr>
          <w:rFonts w:ascii="Times New Roman" w:hAnsi="Times New Roman" w:cs="Times New Roman"/>
          <w:sz w:val="18"/>
          <w:szCs w:val="18"/>
        </w:rPr>
        <w:t>Moderate protection against both first and subsequent gonococcal infections has been observed for up to 5 years following vaccination, although protection appears to decline over time, with waning becoming evident after 5 years</w:t>
      </w:r>
      <w:r w:rsidRPr="00B1021E">
        <w:rPr>
          <w:rFonts w:ascii="Times New Roman" w:hAnsi="Times New Roman" w:cs="Times New Roman"/>
          <w:sz w:val="18"/>
          <w:szCs w:val="18"/>
        </w:rPr>
        <w:t xml:space="preserve"> </w:t>
      </w:r>
      <w:r w:rsidRPr="00B1021E">
        <w:rPr>
          <w:rFonts w:ascii="Times New Roman" w:hAnsi="Times New Roman" w:cs="Times New Roman"/>
          <w:sz w:val="18"/>
          <w:szCs w:val="18"/>
        </w:rPr>
        <w:fldChar w:fldCharType="begin"/>
      </w:r>
      <w:r w:rsidRPr="00B1021E">
        <w:rPr>
          <w:rFonts w:ascii="Times New Roman" w:hAnsi="Times New Roman" w:cs="Times New Roman"/>
          <w:sz w:val="18"/>
          <w:szCs w:val="18"/>
        </w:rPr>
        <w:instrText xml:space="preserve"> ADDIN ZOTERO_ITEM CSL_CITATION {"citationID":"GdmPKwrT","properties":{"unsorted":false,"formattedCitation":"[28]","plainCitation":"[28]","noteIndex":8},"citationItems":[{"id":461,"uris":["http://zotero.org/users/9663344/items/JQEUC3BQ"],"itemData":{"id":461,"type":"article-journal","abstract":"BACKGROUND: A publicly funded 4CMenB program has been implemented in South Australia since 2018. We aimed to evaluate vaccine effectiveness (VE) and vaccine impact on invasive meningococcal B (MenB) disease and gonococcal infections 5 years after the program introduction.\nMETHODS: Vaccine impact was assessed using a Poisson or negative binomial regression model, and VE was estimated using both cohort screening and case-control methods. VE against the subsequent gonococcal infection was measured using a Cox regression model.\nRESULTS: Relative reductions of 72.7% (95% confidence interval [CI], 38.0%-88.0%) and 76.2% (41.6%-90.3%) in the incidence of MenB disease were observed in infants aged &lt;1 year and adolescents aged 15-18 years, respectively. VE against MenB disease for the 3-dose schedule was 98.5% (95% CI, 81.9%-99.9%) in children and 92.3% (34.3%-99.1%) for the 2-dose vaccination in adolescents. VE for 2-dose vaccination against gonococcal infections in adolescents was 39.1% (95% CI, 31.3%-46.0%). Lower VE estimates were demonstrated in those &gt;5 years compared to within 5 years since vaccination (-6.3% (95% CI, -44.5% to 21.8%) vs 41.8% (34.0%-48.7%). The VE against the subsequent gonococcal infection was 27.0% (adjusted hazard ratio, 0.730 [95% CI, .540-.988]), comparing fully vaccinated with unvaccinated case patients.\nCONCLUSIONS: 4CMenB demonstrates high protection against MenB disease in children and adolescents at 5 years. Moderate protection against the first and subsequent gonococcal infections in adolescents was observed up to 5 years after vaccination, with waning evident after 5 years.","container-title":"Clinical Infectious Diseases: An Official Publication of the Infectious Diseases Society of America","DOI":"10.1093/cid/ciaf372","ISSN":"1537-6591","issue":"4","journalAbbreviation":"Clin Infect Dis","language":"eng","page":"e202-e210","PMID":"40644358","PMCID":"PMC12596398","source":"PubMed","title":"Long-Term Protection Against Invasive Meningococcal B Disease and Gonococcal Infection 5 Years After Implementation of Funded Childhood and Adolescent 4CMenB Vaccination Program in South Australia: An Observational Cohort and Case-Control Study","title-short":"Long-Term Protection Against Invasive Meningococcal B Disease and Gonococcal Infection 5 Years After Implementation of Funded Childhood and Adolescent 4CMenB Vaccination Program in South Australia","volume":"81","author":[{"family":"Wang","given":"Bing"},{"family":"Giles","given":"Lynne"},{"family":"Andraweera","given":"Prabha"},{"family":"McMillan","given":"Mark"},{"family":"Beazley","given":"Rebecca"},{"family":"Almond","given":"Sara"},{"family":"Lally","given":"Noel"},{"family":"Bell","given":"Charlotte"},{"family":"Flood","given":"Louise"},{"family":"Ward","given":"James"},{"family":"Marshall","given":"Helen"}],"issued":{"date-parts":[["2025",11,6]]}}}],"schema":"https://github.com/citation-style-language/schema/raw/master/csl-citation.json"} </w:instrText>
      </w:r>
      <w:r w:rsidRPr="00B1021E">
        <w:rPr>
          <w:rFonts w:ascii="Times New Roman" w:hAnsi="Times New Roman" w:cs="Times New Roman"/>
          <w:sz w:val="18"/>
          <w:szCs w:val="18"/>
        </w:rPr>
        <w:fldChar w:fldCharType="separate"/>
      </w:r>
      <w:r w:rsidRPr="00B1021E">
        <w:rPr>
          <w:rFonts w:ascii="Times New Roman" w:hAnsi="Times New Roman" w:cs="Times New Roman"/>
          <w:noProof/>
          <w:sz w:val="18"/>
          <w:szCs w:val="18"/>
        </w:rPr>
        <w:t>[28]</w:t>
      </w:r>
      <w:r w:rsidRPr="00B1021E">
        <w:rPr>
          <w:rFonts w:ascii="Times New Roman" w:hAnsi="Times New Roman" w:cs="Times New Roman"/>
          <w:sz w:val="18"/>
          <w:szCs w:val="18"/>
        </w:rPr>
        <w:fldChar w:fldCharType="end"/>
      </w:r>
      <w:r w:rsidRPr="00B1021E">
        <w:rPr>
          <w:rFonts w:ascii="Times New Roman" w:hAnsi="Times New Roman" w:cs="Times New Roman"/>
          <w:sz w:val="18"/>
          <w:szCs w:val="18"/>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279"/>
    <w:multiLevelType w:val="hybridMultilevel"/>
    <w:tmpl w:val="D83AE364"/>
    <w:lvl w:ilvl="0" w:tplc="FFFFFFFF">
      <w:start w:val="1"/>
      <w:numFmt w:val="lowerLetter"/>
      <w:lvlText w:val="%1."/>
      <w:lvlJc w:val="left"/>
      <w:pPr>
        <w:ind w:left="720" w:hanging="360"/>
      </w:pPr>
      <w:rPr>
        <w:rFonts w:hint="default"/>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4"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FF472A"/>
    <w:multiLevelType w:val="hybridMultilevel"/>
    <w:tmpl w:val="72DE3DC2"/>
    <w:lvl w:ilvl="0" w:tplc="165AD0DE">
      <w:start w:val="1"/>
      <w:numFmt w:val="lowerLetter"/>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722562">
    <w:abstractNumId w:val="2"/>
  </w:num>
  <w:num w:numId="2" w16cid:durableId="40520125">
    <w:abstractNumId w:val="4"/>
  </w:num>
  <w:num w:numId="3" w16cid:durableId="1504318238">
    <w:abstractNumId w:val="1"/>
  </w:num>
  <w:num w:numId="4" w16cid:durableId="1606230246">
    <w:abstractNumId w:val="3"/>
  </w:num>
  <w:num w:numId="5" w16cid:durableId="734740861">
    <w:abstractNumId w:val="5"/>
  </w:num>
  <w:num w:numId="6" w16cid:durableId="11938783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367"/>
    <w:rsid w:val="00000B87"/>
    <w:rsid w:val="000011E7"/>
    <w:rsid w:val="00027E42"/>
    <w:rsid w:val="00050497"/>
    <w:rsid w:val="0005212D"/>
    <w:rsid w:val="00054123"/>
    <w:rsid w:val="000619E7"/>
    <w:rsid w:val="00065E5D"/>
    <w:rsid w:val="00075D2F"/>
    <w:rsid w:val="00083C2D"/>
    <w:rsid w:val="00085099"/>
    <w:rsid w:val="00087DCE"/>
    <w:rsid w:val="00091063"/>
    <w:rsid w:val="00092D96"/>
    <w:rsid w:val="000A58B6"/>
    <w:rsid w:val="000B0C7C"/>
    <w:rsid w:val="000B2196"/>
    <w:rsid w:val="000B68AF"/>
    <w:rsid w:val="000D0539"/>
    <w:rsid w:val="000D1389"/>
    <w:rsid w:val="000D3B8B"/>
    <w:rsid w:val="000D472A"/>
    <w:rsid w:val="000E2764"/>
    <w:rsid w:val="000E3930"/>
    <w:rsid w:val="000E4D10"/>
    <w:rsid w:val="000F2664"/>
    <w:rsid w:val="001010DC"/>
    <w:rsid w:val="001037C7"/>
    <w:rsid w:val="00103DD6"/>
    <w:rsid w:val="00117036"/>
    <w:rsid w:val="001208FB"/>
    <w:rsid w:val="00133CB1"/>
    <w:rsid w:val="001418F7"/>
    <w:rsid w:val="00145FC1"/>
    <w:rsid w:val="0014609D"/>
    <w:rsid w:val="0015330D"/>
    <w:rsid w:val="001607B0"/>
    <w:rsid w:val="0016421E"/>
    <w:rsid w:val="0016426E"/>
    <w:rsid w:val="00166618"/>
    <w:rsid w:val="001725A7"/>
    <w:rsid w:val="0017364B"/>
    <w:rsid w:val="001A06DF"/>
    <w:rsid w:val="001A3A09"/>
    <w:rsid w:val="001B42F2"/>
    <w:rsid w:val="001B74CC"/>
    <w:rsid w:val="001C0CAA"/>
    <w:rsid w:val="001C2A98"/>
    <w:rsid w:val="001C3AEF"/>
    <w:rsid w:val="001C49F2"/>
    <w:rsid w:val="001C5B10"/>
    <w:rsid w:val="001C72D5"/>
    <w:rsid w:val="001D18D4"/>
    <w:rsid w:val="001D4FFF"/>
    <w:rsid w:val="001E4905"/>
    <w:rsid w:val="001F071A"/>
    <w:rsid w:val="001F6852"/>
    <w:rsid w:val="002007DE"/>
    <w:rsid w:val="00204018"/>
    <w:rsid w:val="00220104"/>
    <w:rsid w:val="002234CF"/>
    <w:rsid w:val="00223F73"/>
    <w:rsid w:val="00230338"/>
    <w:rsid w:val="0023165B"/>
    <w:rsid w:val="00243D2B"/>
    <w:rsid w:val="0025496A"/>
    <w:rsid w:val="00256035"/>
    <w:rsid w:val="00263500"/>
    <w:rsid w:val="00276DCE"/>
    <w:rsid w:val="00284461"/>
    <w:rsid w:val="00284E15"/>
    <w:rsid w:val="00287C10"/>
    <w:rsid w:val="002A0863"/>
    <w:rsid w:val="002A0AB1"/>
    <w:rsid w:val="002A1438"/>
    <w:rsid w:val="002B358A"/>
    <w:rsid w:val="002C1836"/>
    <w:rsid w:val="002C1F75"/>
    <w:rsid w:val="002C3F2C"/>
    <w:rsid w:val="002C711F"/>
    <w:rsid w:val="002D209E"/>
    <w:rsid w:val="002D65F1"/>
    <w:rsid w:val="002E7667"/>
    <w:rsid w:val="002F1936"/>
    <w:rsid w:val="00307F2B"/>
    <w:rsid w:val="00316933"/>
    <w:rsid w:val="00326421"/>
    <w:rsid w:val="003300DF"/>
    <w:rsid w:val="00331A4D"/>
    <w:rsid w:val="003323E8"/>
    <w:rsid w:val="00332AD8"/>
    <w:rsid w:val="00336842"/>
    <w:rsid w:val="00337290"/>
    <w:rsid w:val="00343145"/>
    <w:rsid w:val="00354E6D"/>
    <w:rsid w:val="003561F6"/>
    <w:rsid w:val="00362BD9"/>
    <w:rsid w:val="00366B64"/>
    <w:rsid w:val="00373D9B"/>
    <w:rsid w:val="00381301"/>
    <w:rsid w:val="00382719"/>
    <w:rsid w:val="00382F63"/>
    <w:rsid w:val="00393D45"/>
    <w:rsid w:val="003A66F0"/>
    <w:rsid w:val="003B6AF3"/>
    <w:rsid w:val="003C154F"/>
    <w:rsid w:val="003C1DA1"/>
    <w:rsid w:val="003C1F45"/>
    <w:rsid w:val="003C574C"/>
    <w:rsid w:val="003E7919"/>
    <w:rsid w:val="004033EF"/>
    <w:rsid w:val="00422602"/>
    <w:rsid w:val="004229CD"/>
    <w:rsid w:val="00424CFE"/>
    <w:rsid w:val="004338C0"/>
    <w:rsid w:val="00434D86"/>
    <w:rsid w:val="004357BD"/>
    <w:rsid w:val="004455A5"/>
    <w:rsid w:val="004546A0"/>
    <w:rsid w:val="0045755C"/>
    <w:rsid w:val="00466C02"/>
    <w:rsid w:val="00482565"/>
    <w:rsid w:val="0048457F"/>
    <w:rsid w:val="004E2A7F"/>
    <w:rsid w:val="004E49BA"/>
    <w:rsid w:val="004E5A57"/>
    <w:rsid w:val="004F1CFD"/>
    <w:rsid w:val="004F3D14"/>
    <w:rsid w:val="004F4B9C"/>
    <w:rsid w:val="00506AFF"/>
    <w:rsid w:val="00507315"/>
    <w:rsid w:val="00511992"/>
    <w:rsid w:val="0051618A"/>
    <w:rsid w:val="00521FE0"/>
    <w:rsid w:val="00523A73"/>
    <w:rsid w:val="0053170E"/>
    <w:rsid w:val="00535D63"/>
    <w:rsid w:val="005368DE"/>
    <w:rsid w:val="005411A9"/>
    <w:rsid w:val="00545B96"/>
    <w:rsid w:val="0054651B"/>
    <w:rsid w:val="005473E4"/>
    <w:rsid w:val="0055619E"/>
    <w:rsid w:val="00556849"/>
    <w:rsid w:val="00577E90"/>
    <w:rsid w:val="005B07EA"/>
    <w:rsid w:val="005B15BD"/>
    <w:rsid w:val="005B2DA0"/>
    <w:rsid w:val="005B3659"/>
    <w:rsid w:val="005C1307"/>
    <w:rsid w:val="005D0C68"/>
    <w:rsid w:val="005D5687"/>
    <w:rsid w:val="005D7DAD"/>
    <w:rsid w:val="005E0B1D"/>
    <w:rsid w:val="005E4A82"/>
    <w:rsid w:val="005F0A0A"/>
    <w:rsid w:val="00600B13"/>
    <w:rsid w:val="006108A8"/>
    <w:rsid w:val="006173E0"/>
    <w:rsid w:val="00620092"/>
    <w:rsid w:val="00624970"/>
    <w:rsid w:val="00630081"/>
    <w:rsid w:val="006300FE"/>
    <w:rsid w:val="00630BF1"/>
    <w:rsid w:val="006425C4"/>
    <w:rsid w:val="00666618"/>
    <w:rsid w:val="00667406"/>
    <w:rsid w:val="0067174C"/>
    <w:rsid w:val="0067361D"/>
    <w:rsid w:val="00673DDD"/>
    <w:rsid w:val="00680986"/>
    <w:rsid w:val="00690AB2"/>
    <w:rsid w:val="0069221B"/>
    <w:rsid w:val="00694DF0"/>
    <w:rsid w:val="006A2A59"/>
    <w:rsid w:val="006A5D60"/>
    <w:rsid w:val="006B564D"/>
    <w:rsid w:val="006B5BE6"/>
    <w:rsid w:val="006B751E"/>
    <w:rsid w:val="006C0BE4"/>
    <w:rsid w:val="006C157E"/>
    <w:rsid w:val="006C3307"/>
    <w:rsid w:val="006E4C38"/>
    <w:rsid w:val="006F3684"/>
    <w:rsid w:val="007024DB"/>
    <w:rsid w:val="00720BC0"/>
    <w:rsid w:val="00727618"/>
    <w:rsid w:val="0073291E"/>
    <w:rsid w:val="007329A5"/>
    <w:rsid w:val="00743CE1"/>
    <w:rsid w:val="00756C05"/>
    <w:rsid w:val="00756FF7"/>
    <w:rsid w:val="0075770A"/>
    <w:rsid w:val="00757D3F"/>
    <w:rsid w:val="00776D62"/>
    <w:rsid w:val="007864C5"/>
    <w:rsid w:val="0079342B"/>
    <w:rsid w:val="007966E6"/>
    <w:rsid w:val="007A6006"/>
    <w:rsid w:val="007C1062"/>
    <w:rsid w:val="007C39C6"/>
    <w:rsid w:val="007D28FF"/>
    <w:rsid w:val="007E5D03"/>
    <w:rsid w:val="007F5429"/>
    <w:rsid w:val="00802477"/>
    <w:rsid w:val="00804703"/>
    <w:rsid w:val="00806315"/>
    <w:rsid w:val="00813523"/>
    <w:rsid w:val="008235D5"/>
    <w:rsid w:val="008241F9"/>
    <w:rsid w:val="0084213D"/>
    <w:rsid w:val="008550FB"/>
    <w:rsid w:val="008576F9"/>
    <w:rsid w:val="00864286"/>
    <w:rsid w:val="00870795"/>
    <w:rsid w:val="00877A9C"/>
    <w:rsid w:val="008925D7"/>
    <w:rsid w:val="008C079B"/>
    <w:rsid w:val="008C2AAA"/>
    <w:rsid w:val="008D037C"/>
    <w:rsid w:val="008E5752"/>
    <w:rsid w:val="008F09CA"/>
    <w:rsid w:val="008F1059"/>
    <w:rsid w:val="00900927"/>
    <w:rsid w:val="0090359A"/>
    <w:rsid w:val="00910847"/>
    <w:rsid w:val="00911EE4"/>
    <w:rsid w:val="00912190"/>
    <w:rsid w:val="00914662"/>
    <w:rsid w:val="00921697"/>
    <w:rsid w:val="00930553"/>
    <w:rsid w:val="00930B14"/>
    <w:rsid w:val="009324AB"/>
    <w:rsid w:val="00932C73"/>
    <w:rsid w:val="00941308"/>
    <w:rsid w:val="009662DC"/>
    <w:rsid w:val="009701A4"/>
    <w:rsid w:val="00973822"/>
    <w:rsid w:val="009758E2"/>
    <w:rsid w:val="00976368"/>
    <w:rsid w:val="00976A2C"/>
    <w:rsid w:val="00986483"/>
    <w:rsid w:val="009A302F"/>
    <w:rsid w:val="009C0A6F"/>
    <w:rsid w:val="009D5228"/>
    <w:rsid w:val="009E1546"/>
    <w:rsid w:val="009E6324"/>
    <w:rsid w:val="009F77D3"/>
    <w:rsid w:val="00A03255"/>
    <w:rsid w:val="00A05668"/>
    <w:rsid w:val="00A219CE"/>
    <w:rsid w:val="00A21F28"/>
    <w:rsid w:val="00A21F6D"/>
    <w:rsid w:val="00A26C1F"/>
    <w:rsid w:val="00A37609"/>
    <w:rsid w:val="00A42434"/>
    <w:rsid w:val="00A60259"/>
    <w:rsid w:val="00A6038C"/>
    <w:rsid w:val="00A64C35"/>
    <w:rsid w:val="00A96A92"/>
    <w:rsid w:val="00A97EEB"/>
    <w:rsid w:val="00AA2F44"/>
    <w:rsid w:val="00AA3D24"/>
    <w:rsid w:val="00AA5371"/>
    <w:rsid w:val="00AA5C7A"/>
    <w:rsid w:val="00AB02ED"/>
    <w:rsid w:val="00AB3080"/>
    <w:rsid w:val="00AC07E2"/>
    <w:rsid w:val="00AD0C45"/>
    <w:rsid w:val="00AD417C"/>
    <w:rsid w:val="00AE4378"/>
    <w:rsid w:val="00AF17D8"/>
    <w:rsid w:val="00B06488"/>
    <w:rsid w:val="00B1021E"/>
    <w:rsid w:val="00B11432"/>
    <w:rsid w:val="00B15A39"/>
    <w:rsid w:val="00B15DD7"/>
    <w:rsid w:val="00B26C1F"/>
    <w:rsid w:val="00B31011"/>
    <w:rsid w:val="00B32B88"/>
    <w:rsid w:val="00B603C7"/>
    <w:rsid w:val="00B6206E"/>
    <w:rsid w:val="00B62B04"/>
    <w:rsid w:val="00B65A11"/>
    <w:rsid w:val="00B71524"/>
    <w:rsid w:val="00BA2AB7"/>
    <w:rsid w:val="00BA61F4"/>
    <w:rsid w:val="00BC52CE"/>
    <w:rsid w:val="00BC6C09"/>
    <w:rsid w:val="00BD15B2"/>
    <w:rsid w:val="00BD217F"/>
    <w:rsid w:val="00BF1374"/>
    <w:rsid w:val="00BF183C"/>
    <w:rsid w:val="00BF327B"/>
    <w:rsid w:val="00BF4E96"/>
    <w:rsid w:val="00BF5996"/>
    <w:rsid w:val="00BF6FF4"/>
    <w:rsid w:val="00BF7575"/>
    <w:rsid w:val="00C052D4"/>
    <w:rsid w:val="00C066BD"/>
    <w:rsid w:val="00C17699"/>
    <w:rsid w:val="00C2176F"/>
    <w:rsid w:val="00C22D10"/>
    <w:rsid w:val="00C2470F"/>
    <w:rsid w:val="00C252ED"/>
    <w:rsid w:val="00C3364D"/>
    <w:rsid w:val="00C54EE3"/>
    <w:rsid w:val="00C60BB5"/>
    <w:rsid w:val="00CA08CF"/>
    <w:rsid w:val="00CA321D"/>
    <w:rsid w:val="00CA550C"/>
    <w:rsid w:val="00CD1078"/>
    <w:rsid w:val="00CD1329"/>
    <w:rsid w:val="00CD3E9D"/>
    <w:rsid w:val="00CD493A"/>
    <w:rsid w:val="00CD5894"/>
    <w:rsid w:val="00CD73B1"/>
    <w:rsid w:val="00CE173A"/>
    <w:rsid w:val="00CE1D02"/>
    <w:rsid w:val="00CE437E"/>
    <w:rsid w:val="00CE782C"/>
    <w:rsid w:val="00CF7B21"/>
    <w:rsid w:val="00D03073"/>
    <w:rsid w:val="00D036DA"/>
    <w:rsid w:val="00D06293"/>
    <w:rsid w:val="00D12B13"/>
    <w:rsid w:val="00D12E24"/>
    <w:rsid w:val="00D21988"/>
    <w:rsid w:val="00D32E21"/>
    <w:rsid w:val="00D337FB"/>
    <w:rsid w:val="00D47058"/>
    <w:rsid w:val="00D73050"/>
    <w:rsid w:val="00D76A07"/>
    <w:rsid w:val="00D77A83"/>
    <w:rsid w:val="00D803EF"/>
    <w:rsid w:val="00D817F5"/>
    <w:rsid w:val="00D81981"/>
    <w:rsid w:val="00D83ED0"/>
    <w:rsid w:val="00D95BD9"/>
    <w:rsid w:val="00DA5AB2"/>
    <w:rsid w:val="00DB0475"/>
    <w:rsid w:val="00DB3DC4"/>
    <w:rsid w:val="00DB4F61"/>
    <w:rsid w:val="00DD1B60"/>
    <w:rsid w:val="00DD1CCA"/>
    <w:rsid w:val="00DD5329"/>
    <w:rsid w:val="00E020F1"/>
    <w:rsid w:val="00E11A11"/>
    <w:rsid w:val="00E14D5D"/>
    <w:rsid w:val="00E15449"/>
    <w:rsid w:val="00E168B3"/>
    <w:rsid w:val="00E5154E"/>
    <w:rsid w:val="00E51E5A"/>
    <w:rsid w:val="00E536A7"/>
    <w:rsid w:val="00E5498B"/>
    <w:rsid w:val="00E54A4D"/>
    <w:rsid w:val="00E62364"/>
    <w:rsid w:val="00E716CC"/>
    <w:rsid w:val="00E7338C"/>
    <w:rsid w:val="00E96FBA"/>
    <w:rsid w:val="00E97704"/>
    <w:rsid w:val="00EA3640"/>
    <w:rsid w:val="00EB17DD"/>
    <w:rsid w:val="00EB61FB"/>
    <w:rsid w:val="00EC2699"/>
    <w:rsid w:val="00EC3110"/>
    <w:rsid w:val="00EC410B"/>
    <w:rsid w:val="00ED37A4"/>
    <w:rsid w:val="00EE1CFB"/>
    <w:rsid w:val="00EE4B38"/>
    <w:rsid w:val="00F00AFE"/>
    <w:rsid w:val="00F02256"/>
    <w:rsid w:val="00F14CE2"/>
    <w:rsid w:val="00F176A5"/>
    <w:rsid w:val="00F36509"/>
    <w:rsid w:val="00F41837"/>
    <w:rsid w:val="00F477CC"/>
    <w:rsid w:val="00F5221A"/>
    <w:rsid w:val="00F55D78"/>
    <w:rsid w:val="00F63B65"/>
    <w:rsid w:val="00F66957"/>
    <w:rsid w:val="00F7254F"/>
    <w:rsid w:val="00F729B0"/>
    <w:rsid w:val="00F9466C"/>
    <w:rsid w:val="00FA15F7"/>
    <w:rsid w:val="00FA41BC"/>
    <w:rsid w:val="00FB7950"/>
    <w:rsid w:val="00FC6BB2"/>
    <w:rsid w:val="00FD2D8F"/>
    <w:rsid w:val="00FE282D"/>
    <w:rsid w:val="00FE3A6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021E"/>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 w:type="paragraph" w:styleId="FootnoteText">
    <w:name w:val="footnote text"/>
    <w:basedOn w:val="Normal"/>
    <w:link w:val="FootnoteTextChar"/>
    <w:uiPriority w:val="99"/>
    <w:semiHidden/>
    <w:unhideWhenUsed/>
    <w:rsid w:val="00BA2A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AB7"/>
    <w:rPr>
      <w:sz w:val="20"/>
      <w:szCs w:val="20"/>
    </w:rPr>
  </w:style>
  <w:style w:type="character" w:styleId="FootnoteReference">
    <w:name w:val="footnote reference"/>
    <w:basedOn w:val="DefaultParagraphFont"/>
    <w:uiPriority w:val="99"/>
    <w:semiHidden/>
    <w:unhideWhenUsed/>
    <w:rsid w:val="00BA2A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1D0C4-30F2-BE4A-B03D-DCBEC80C7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TotalTime>
  <Pages>19</Pages>
  <Words>21847</Words>
  <Characters>124532</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57</cp:revision>
  <cp:lastPrinted>2026-02-27T06:07:00Z</cp:lastPrinted>
  <dcterms:created xsi:type="dcterms:W3CDTF">2026-02-10T07:13:00Z</dcterms:created>
  <dcterms:modified xsi:type="dcterms:W3CDTF">2026-03-16T15:59:00Z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id="XFUvnlgZ"/&gt;&lt;style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