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B026B" w14:textId="39E32A2A" w:rsidR="00796744" w:rsidRPr="0092025F" w:rsidRDefault="001112A9" w:rsidP="0060134A">
      <w:pPr>
        <w:spacing w:line="276" w:lineRule="auto"/>
        <w:jc w:val="center"/>
        <w:rPr>
          <w:rFonts w:ascii="Times New Roman" w:hAnsi="Times New Roman" w:cs="Times New Roman"/>
          <w:b/>
          <w:bCs/>
          <w:kern w:val="0"/>
          <w:sz w:val="28"/>
          <w:szCs w:val="28"/>
          <w:lang w:val="en-GB"/>
        </w:rPr>
      </w:pPr>
      <w:r w:rsidRPr="0092025F">
        <w:rPr>
          <w:rFonts w:ascii="Times New Roman" w:hAnsi="Times New Roman" w:cs="Times New Roman"/>
          <w:b/>
          <w:bCs/>
          <w:kern w:val="0"/>
          <w:sz w:val="28"/>
          <w:szCs w:val="28"/>
          <w:lang w:val="en-GB"/>
        </w:rPr>
        <w:t xml:space="preserve">Long-Run Public Health </w:t>
      </w:r>
      <w:r w:rsidR="00E90C52" w:rsidRPr="0092025F">
        <w:rPr>
          <w:rFonts w:ascii="Times New Roman" w:hAnsi="Times New Roman" w:cs="Times New Roman"/>
          <w:b/>
          <w:bCs/>
          <w:kern w:val="0"/>
          <w:sz w:val="28"/>
          <w:szCs w:val="28"/>
          <w:lang w:val="en-GB"/>
        </w:rPr>
        <w:t xml:space="preserve">Impact </w:t>
      </w:r>
      <w:r w:rsidRPr="0092025F">
        <w:rPr>
          <w:rFonts w:ascii="Times New Roman" w:hAnsi="Times New Roman" w:cs="Times New Roman"/>
          <w:b/>
          <w:bCs/>
          <w:kern w:val="0"/>
          <w:sz w:val="28"/>
          <w:szCs w:val="28"/>
          <w:lang w:val="en-GB"/>
        </w:rPr>
        <w:t>of Doxycycline Post-Exposure Prophylaxis for Syphilis Prevention: A Modelling Study in Singapore</w:t>
      </w:r>
    </w:p>
    <w:p w14:paraId="0318E722" w14:textId="77777777" w:rsidR="00FC1637" w:rsidRPr="0092025F" w:rsidRDefault="00965F09" w:rsidP="00FC1637">
      <w:pPr>
        <w:pStyle w:val="NormalWeb"/>
        <w:spacing w:line="276" w:lineRule="auto"/>
        <w:jc w:val="both"/>
      </w:pPr>
      <w:r w:rsidRPr="0092025F">
        <w:t>Sexually transmitted infections (STIs) are among the most prevalent communicable diseases, impacting global health and well-being. Over 30 different pathogens can be transmitted through sexual contact, and individuals may carry multiple infections simultaneously</w:t>
      </w:r>
      <w:r w:rsidR="00EC3E3C" w:rsidRPr="0092025F">
        <w:t xml:space="preserve"> </w:t>
      </w:r>
      <w:r w:rsidR="00EC3E3C" w:rsidRPr="0092025F">
        <w:fldChar w:fldCharType="begin"/>
      </w:r>
      <w:r w:rsidR="00424B19" w:rsidRPr="0092025F">
        <w:instrText xml:space="preserve"> ADDIN ZOTERO_ITEM CSL_CITATION {"citationID":"krysgH7f","properties":{"formattedCitation":"[1]","plainCitation":"[1]","noteIndex":0},"citationItems":[{"id":356,"uris":["http://zotero.org/users/9663344/items/YN3TTYFY"],"itemData":{"id":356,"type":"webpage","abstract":"Sexually Transmitted Infections: Data on syphilis","container-title":"World Health Organization","language":"en","title":"Global and regional STI estimates","URL":"https://www.who.int/data/gho/data/themes/topics/global-and-regional-sti-estimates","accessed":{"date-parts":[["2025",2,8]]}}}],"schema":"https://github.com/citation-style-language/schema/raw/master/csl-citation.json"} </w:instrText>
      </w:r>
      <w:r w:rsidR="00EC3E3C" w:rsidRPr="0092025F">
        <w:fldChar w:fldCharType="separate"/>
      </w:r>
      <w:r w:rsidR="00EC3E3C" w:rsidRPr="0092025F">
        <w:rPr>
          <w:noProof/>
        </w:rPr>
        <w:t>[1]</w:t>
      </w:r>
      <w:r w:rsidR="00EC3E3C" w:rsidRPr="0092025F">
        <w:fldChar w:fldCharType="end"/>
      </w:r>
      <w:r w:rsidRPr="0092025F">
        <w:t>.</w:t>
      </w:r>
      <w:r w:rsidR="00EC3E3C" w:rsidRPr="0092025F">
        <w:t xml:space="preserve"> </w:t>
      </w:r>
      <w:r w:rsidRPr="0092025F">
        <w:t>Many STIs are asymptomatic, allowing infections to spread unknowingly while increasing the risk of severe complications such as cancer, chronic pelvic pain, ectopic pregnancy, and infertility</w:t>
      </w:r>
      <w:r w:rsidR="00EC3E3C" w:rsidRPr="0092025F">
        <w:t xml:space="preserve"> </w:t>
      </w:r>
      <w:r w:rsidR="00EC3E3C" w:rsidRPr="0092025F">
        <w:fldChar w:fldCharType="begin"/>
      </w:r>
      <w:r w:rsidR="00424B19" w:rsidRPr="0092025F">
        <w:instrText xml:space="preserve"> ADDIN ZOTERO_ITEM CSL_CITATION {"citationID":"r6XMPHwg","properties":{"formattedCitation":"[1]","plainCitation":"[1]","noteIndex":0},"citationItems":[{"id":356,"uris":["http://zotero.org/users/9663344/items/YN3TTYFY"],"itemData":{"id":356,"type":"webpage","abstract":"Sexually Transmitted Infections: Data on syphilis","container-title":"World Health Organization","language":"en","title":"Global and regional STI estimates","URL":"https://www.who.int/data/gho/data/themes/topics/global-and-regional-sti-estimates","accessed":{"date-parts":[["2025",2,8]]}}}],"schema":"https://github.com/citation-style-language/schema/raw/master/csl-citation.json"} </w:instrText>
      </w:r>
      <w:r w:rsidR="00EC3E3C" w:rsidRPr="0092025F">
        <w:fldChar w:fldCharType="separate"/>
      </w:r>
      <w:r w:rsidR="00EC3E3C" w:rsidRPr="0092025F">
        <w:rPr>
          <w:noProof/>
        </w:rPr>
        <w:t>[1]</w:t>
      </w:r>
      <w:r w:rsidR="00EC3E3C" w:rsidRPr="0092025F">
        <w:fldChar w:fldCharType="end"/>
      </w:r>
      <w:r w:rsidRPr="0092025F">
        <w:t>.</w:t>
      </w:r>
      <w:r w:rsidR="00EC3E3C" w:rsidRPr="0092025F">
        <w:t xml:space="preserve"> </w:t>
      </w:r>
      <w:r w:rsidR="00AD1A48">
        <w:t>Syphilis</w:t>
      </w:r>
      <w:r w:rsidR="00BA2F7F" w:rsidRPr="0092025F">
        <w:t xml:space="preserve"> </w:t>
      </w:r>
      <w:r w:rsidR="00AD1A48">
        <w:t>is</w:t>
      </w:r>
      <w:r w:rsidR="00BA2F7F" w:rsidRPr="0092025F">
        <w:t xml:space="preserve"> among </w:t>
      </w:r>
      <w:r w:rsidR="00AD1A48">
        <w:t xml:space="preserve">one of </w:t>
      </w:r>
      <w:r w:rsidR="00BA2F7F" w:rsidRPr="0092025F">
        <w:t>the most concerning STIs today, particularly among men who have sex with men (MSM)</w:t>
      </w:r>
      <w:r w:rsidR="004F1238" w:rsidRPr="0092025F">
        <w:t xml:space="preserve">, who are estimated to comprise between 0.03% and 6.5% of the male population across various studies </w:t>
      </w:r>
      <w:r w:rsidR="004F1238" w:rsidRPr="0092025F">
        <w:fldChar w:fldCharType="begin"/>
      </w:r>
      <w:r w:rsidR="004F1238" w:rsidRPr="0092025F">
        <w:instrText xml:space="preserve"> ADDIN ZOTERO_ITEM CSL_CITATION {"citationID":"9aEksZYy","properties":{"formattedCitation":"[2]","plainCitation":"[2]","noteIndex":0},"citationItems":[{"id":437,"uris":["http://zotero.org/users/9663344/items/EBXRMM57"],"itemData":{"id":437,"type":"article-journal","abstract":"The objective of this systematic review was to summarize population-based methods (i.e., methods that used representative data from populations) for estimating the population size of men who have sex with men (MSM), a high-risk group for human immunodeficiency virus (HIV) and other sexually transmitted infections (STI). Studies using population-based methods to estimate the number or percent of MSM or gay men were included. Twenty-eight studies met inclusion criteria. Seven studies used surveillance data, eighteen studies used survey data, and six studies used census data. Sixteen studies were conducted in the United States, five in European countries, two in Canada, three in Australia, one in Israel, and one in Kenya. Men who have sex with men accounted for 0.03% to 6.5% of men among all studies and ranged from 3.8% to 6.4% in the US, 7,000 to 39,100 in Canada, 0.03% to 6.5% in European countries, and 127,947 to 182,624 in Australia. Studies using surveillance data obtained the highest estimates of the MSM population size while those using survey data obtained the lowest estimates. Studies also estimated the MSM population size by dimensions of sexual orientation. In studies examining these dimensions, fewer people identified as MSM than reported experience with or attraction to other men. Selection bias, differences in recall periods/sampling, or stigma could affect the estimate. It is important to have an estimate of the number of MSM to calculate disease rates, plan HIV/STI prevention efforts, and allocate resources for this group.","container-title":"Sexual health","DOI":"10.1071/SH18172","ISSN":"1448-5028","issue":"6","journalAbbreviation":"Sex Health","note":"PMID: 31658435\nPMCID: PMC7085112","page":"527-538","source":"PubMed Central","title":"Population-based methods for estimating the number of men who have sex with men: A systematic review","title-short":"Population-based methods for estimating the number of men who have sex with men","volume":"16","author":[{"family":"Mauck","given":"Daniel E."},{"family":"Gebrezgi","given":"Merhawi T."},{"family":"Sheehan","given":"Diana M."},{"family":"Fennie","given":"Kristopher P."},{"family":"Ibañez","given":"Gladys E."},{"family":"Fenkl","given":"Eric A."},{"family":"Trepka","given":"Mary Jo"}],"issued":{"date-parts":[["2019",11]]}}}],"schema":"https://github.com/citation-style-language/schema/raw/master/csl-citation.json"} </w:instrText>
      </w:r>
      <w:r w:rsidR="004F1238" w:rsidRPr="0092025F">
        <w:fldChar w:fldCharType="separate"/>
      </w:r>
      <w:r w:rsidR="004F1238" w:rsidRPr="0092025F">
        <w:rPr>
          <w:noProof/>
        </w:rPr>
        <w:t>[2]</w:t>
      </w:r>
      <w:r w:rsidR="004F1238" w:rsidRPr="0092025F">
        <w:fldChar w:fldCharType="end"/>
      </w:r>
      <w:r w:rsidR="00BA2F7F" w:rsidRPr="0092025F">
        <w:t xml:space="preserve">. </w:t>
      </w:r>
      <w:r w:rsidR="00CE6024" w:rsidRPr="0092025F">
        <w:rPr>
          <w:i/>
          <w:iCs/>
        </w:rPr>
        <w:t>Treponema pallidum</w:t>
      </w:r>
      <w:r w:rsidR="00CE6024" w:rsidRPr="0092025F">
        <w:t>, the causative agent of syphilis, is primarily transmitted through unprotected vaginal, anal, or oral intercourse, as well as congenital transmission. The infection progresses in stages</w:t>
      </w:r>
      <w:r w:rsidR="00AD1A48">
        <w:t>.</w:t>
      </w:r>
      <w:r w:rsidR="00AD1A48" w:rsidRPr="00AD1A48">
        <w:t xml:space="preserve"> </w:t>
      </w:r>
      <w:r w:rsidR="00AD1A48">
        <w:t xml:space="preserve">The </w:t>
      </w:r>
      <w:r w:rsidR="00AD1A48" w:rsidRPr="00AD1A48">
        <w:rPr>
          <w:rStyle w:val="Strong"/>
          <w:rFonts w:eastAsiaTheme="majorEastAsia"/>
          <w:b w:val="0"/>
          <w:bCs w:val="0"/>
        </w:rPr>
        <w:t>primary stage</w:t>
      </w:r>
      <w:r w:rsidR="00AD1A48">
        <w:t xml:space="preserve"> presents as a painless sore (chancre) at the infection site, healing within weeks. The </w:t>
      </w:r>
      <w:r w:rsidR="00AD1A48" w:rsidRPr="00AD1A48">
        <w:rPr>
          <w:rStyle w:val="Strong"/>
          <w:rFonts w:eastAsiaTheme="majorEastAsia"/>
          <w:b w:val="0"/>
          <w:bCs w:val="0"/>
        </w:rPr>
        <w:t>secondary stage</w:t>
      </w:r>
      <w:r w:rsidR="00AD1A48">
        <w:t xml:space="preserve"> appears weeks later with a rash, flu-like symptoms, and mucous membrane lesions. The </w:t>
      </w:r>
      <w:r w:rsidR="00AD1A48" w:rsidRPr="00AD1A48">
        <w:rPr>
          <w:rStyle w:val="Strong"/>
          <w:rFonts w:eastAsiaTheme="majorEastAsia"/>
          <w:b w:val="0"/>
          <w:bCs w:val="0"/>
        </w:rPr>
        <w:t>latent stage</w:t>
      </w:r>
      <w:r w:rsidR="00AD1A48">
        <w:t xml:space="preserve"> follows, where early latent syphilis (&lt;1 year) remains infectious, while late latent (&gt;1 year) is typically non-infectious. The </w:t>
      </w:r>
      <w:r w:rsidR="00AD1A48" w:rsidRPr="00AD1A48">
        <w:rPr>
          <w:rStyle w:val="Strong"/>
          <w:rFonts w:eastAsiaTheme="majorEastAsia"/>
          <w:b w:val="0"/>
          <w:bCs w:val="0"/>
        </w:rPr>
        <w:t>tertiary stage</w:t>
      </w:r>
      <w:r w:rsidR="00AD1A48">
        <w:t xml:space="preserve"> can develop years later, causing severe complications like neurological damage, cardiovascular disease, and organ failure</w:t>
      </w:r>
      <w:r w:rsidR="00AD1A48" w:rsidRPr="00AD1A48">
        <w:t xml:space="preserve"> </w:t>
      </w:r>
      <w:r w:rsidR="00253FFF" w:rsidRPr="0092025F">
        <w:fldChar w:fldCharType="begin"/>
      </w:r>
      <w:r w:rsidR="000B72A0">
        <w:instrText xml:space="preserve"> ADDIN ZOTERO_ITEM CSL_CITATION {"citationID":"aoa73wgZ","properties":{"formattedCitation":"[3]","plainCitation":"[3]","noteIndex":0},"citationItems":[{"id":343,"uris":["http://zotero.org/users/9663344/items/EAS8VYJM"],"itemData":{"id":343,"type":"article-journal","container-title":"Nature Reviews Disease Primers","DOI":"10.1038/nrdp.2017.73","ISSN":"2056-676X","issue":"1","journalAbbreviation":"Nat Rev Dis Primers","language":"en","page":"17073","source":"DOI.org (Crossref)","title":"Syphilis","volume":"3","author":[{"family":"Peeling","given":"Rosanna W."},{"family":"Mabey","given":"David"},{"family":"Kamb","given":"Mary L."},{"family":"Chen","given":"Xiang-Sheng"},{"family":"Radolf","given":"Justin D."},{"family":"Benzaken","given":"Adele S."}],"issued":{"date-parts":[["2017",10,12]]}}}],"schema":"https://github.com/citation-style-language/schema/raw/master/csl-citation.json"} </w:instrText>
      </w:r>
      <w:r w:rsidR="00253FFF" w:rsidRPr="0092025F">
        <w:fldChar w:fldCharType="separate"/>
      </w:r>
      <w:r w:rsidR="000B72A0">
        <w:rPr>
          <w:noProof/>
        </w:rPr>
        <w:t>[3]</w:t>
      </w:r>
      <w:r w:rsidR="00253FFF" w:rsidRPr="0092025F">
        <w:fldChar w:fldCharType="end"/>
      </w:r>
      <w:r w:rsidR="00CE6024" w:rsidRPr="0092025F">
        <w:t xml:space="preserve">. </w:t>
      </w:r>
      <w:r w:rsidR="00FC1637" w:rsidRPr="0092025F">
        <w:t xml:space="preserve">For men, </w:t>
      </w:r>
      <w:r w:rsidR="00FC1637" w:rsidRPr="0092025F">
        <w:rPr>
          <w:rStyle w:val="Strong"/>
          <w:rFonts w:eastAsiaTheme="majorEastAsia"/>
          <w:b w:val="0"/>
          <w:bCs w:val="0"/>
        </w:rPr>
        <w:t>primary</w:t>
      </w:r>
      <w:r w:rsidR="00FC1637">
        <w:rPr>
          <w:rStyle w:val="Strong"/>
          <w:rFonts w:eastAsiaTheme="majorEastAsia"/>
          <w:b w:val="0"/>
          <w:bCs w:val="0"/>
        </w:rPr>
        <w:t xml:space="preserve">, </w:t>
      </w:r>
      <w:r w:rsidR="00FC1637" w:rsidRPr="0092025F">
        <w:rPr>
          <w:rStyle w:val="Strong"/>
          <w:rFonts w:eastAsiaTheme="majorEastAsia"/>
          <w:b w:val="0"/>
          <w:bCs w:val="0"/>
        </w:rPr>
        <w:t>secondary</w:t>
      </w:r>
      <w:r w:rsidR="00FC1637">
        <w:rPr>
          <w:rStyle w:val="Strong"/>
          <w:rFonts w:eastAsiaTheme="majorEastAsia"/>
          <w:b w:val="0"/>
          <w:bCs w:val="0"/>
        </w:rPr>
        <w:t xml:space="preserve">, and tertiary </w:t>
      </w:r>
      <w:r w:rsidR="00FC1637" w:rsidRPr="0092025F">
        <w:rPr>
          <w:rStyle w:val="Strong"/>
          <w:rFonts w:eastAsiaTheme="majorEastAsia"/>
          <w:b w:val="0"/>
          <w:bCs w:val="0"/>
        </w:rPr>
        <w:t>stages are symptomatic</w:t>
      </w:r>
      <w:r w:rsidR="00FC1637" w:rsidRPr="0092025F">
        <w:t>, but the</w:t>
      </w:r>
      <w:r w:rsidR="00FC1637" w:rsidRPr="0092025F">
        <w:rPr>
          <w:b/>
          <w:bCs/>
        </w:rPr>
        <w:t xml:space="preserve"> </w:t>
      </w:r>
      <w:r w:rsidR="00FC1637" w:rsidRPr="0092025F">
        <w:rPr>
          <w:rStyle w:val="Strong"/>
          <w:rFonts w:eastAsiaTheme="majorEastAsia"/>
          <w:b w:val="0"/>
          <w:bCs w:val="0"/>
        </w:rPr>
        <w:t>latent stage is asymptomatic</w:t>
      </w:r>
      <w:r w:rsidR="00FC1637" w:rsidRPr="0092025F">
        <w:rPr>
          <w:b/>
          <w:bCs/>
        </w:rPr>
        <w:t xml:space="preserve"> </w:t>
      </w:r>
      <w:r w:rsidR="00FC1637" w:rsidRPr="0092025F">
        <w:fldChar w:fldCharType="begin"/>
      </w:r>
      <w:r w:rsidR="00FC1637">
        <w:instrText xml:space="preserve"> ADDIN ZOTERO_ITEM CSL_CITATION {"citationID":"vt5hm1jT","properties":{"formattedCitation":"[3], [4]","plainCitation":"[3], [4]","noteIndex":0},"citationItems":[{"id":343,"uris":["http://zotero.org/users/9663344/items/EAS8VYJM"],"itemData":{"id":343,"type":"article-journal","container-title":"Nature Reviews Disease Primers","DOI":"10.1038/nrdp.2017.73","ISSN":"2056-676X","issue":"1","journalAbbreviation":"Nat Rev Dis Primers","language":"en","page":"17073","source":"DOI.org (Crossref)","title":"Syphilis","volume":"3","author":[{"family":"Peeling","given":"Rosanna W."},{"family":"Mabey","given":"David"},{"family":"Kamb","given":"Mary L."},{"family":"Chen","given":"Xiang-Sheng"},{"family":"Radolf","given":"Justin D."},{"family":"Benzaken","given":"Adele S."}],"issued":{"date-parts":[["2017",10,12]]}}},{"id":353,"uris":["http://zotero.org/users/9663344/items/TICNC429"],"itemData":{"id":353,"type":"article-journal","container-title":"JAMA","DOI":"10.1001/jama.2016.7073","ISSN":"0098-7484","issue":"21","journalAbbreviation":"JAMA","language":"en","page":"2281","source":"DOI.org (Crossref)","title":"Syphilis on the Rise: What Went Wrong?","title-short":"Syphilis on the Rise","volume":"315","author":[{"family":"Clement","given":"Meredith E."},{"family":"Hicks","given":"Charles B."}],"issued":{"date-parts":[["2016",6,7]]}}}],"schema":"https://github.com/citation-style-language/schema/raw/master/csl-citation.json"} </w:instrText>
      </w:r>
      <w:r w:rsidR="00FC1637" w:rsidRPr="0092025F">
        <w:fldChar w:fldCharType="separate"/>
      </w:r>
      <w:r w:rsidR="00FC1637">
        <w:rPr>
          <w:noProof/>
        </w:rPr>
        <w:t>[3], [4]</w:t>
      </w:r>
      <w:r w:rsidR="00FC1637" w:rsidRPr="0092025F">
        <w:fldChar w:fldCharType="end"/>
      </w:r>
      <w:r w:rsidR="00FC1637" w:rsidRPr="0092025F">
        <w:t xml:space="preserve">. </w:t>
      </w:r>
      <w:r w:rsidR="00FC1637">
        <w:t xml:space="preserve">Moreover, </w:t>
      </w:r>
      <w:r w:rsidR="00FC1637">
        <w:rPr>
          <w:rStyle w:val="Strong"/>
          <w:rFonts w:eastAsiaTheme="majorEastAsia"/>
          <w:b w:val="0"/>
          <w:bCs w:val="0"/>
        </w:rPr>
        <w:t>e</w:t>
      </w:r>
      <w:r w:rsidR="00FC1637" w:rsidRPr="00AD1A48">
        <w:rPr>
          <w:rStyle w:val="Strong"/>
          <w:rFonts w:eastAsiaTheme="majorEastAsia"/>
          <w:b w:val="0"/>
          <w:bCs w:val="0"/>
        </w:rPr>
        <w:t>arly stages (primary</w:t>
      </w:r>
      <w:r w:rsidR="00FC1637">
        <w:rPr>
          <w:rStyle w:val="Strong"/>
          <w:rFonts w:eastAsiaTheme="majorEastAsia"/>
          <w:b w:val="0"/>
          <w:bCs w:val="0"/>
        </w:rPr>
        <w:t xml:space="preserve">, </w:t>
      </w:r>
      <w:r w:rsidR="00FC1637" w:rsidRPr="00AD1A48">
        <w:rPr>
          <w:rStyle w:val="Strong"/>
          <w:rFonts w:eastAsiaTheme="majorEastAsia"/>
          <w:b w:val="0"/>
          <w:bCs w:val="0"/>
        </w:rPr>
        <w:t xml:space="preserve"> secondary</w:t>
      </w:r>
      <w:r w:rsidR="00FC1637">
        <w:rPr>
          <w:rStyle w:val="Strong"/>
          <w:rFonts w:eastAsiaTheme="majorEastAsia"/>
          <w:b w:val="0"/>
          <w:bCs w:val="0"/>
        </w:rPr>
        <w:t>, and early latent</w:t>
      </w:r>
      <w:r w:rsidR="00FC1637" w:rsidRPr="00AD1A48">
        <w:rPr>
          <w:rStyle w:val="Strong"/>
          <w:rFonts w:eastAsiaTheme="majorEastAsia"/>
          <w:b w:val="0"/>
          <w:bCs w:val="0"/>
        </w:rPr>
        <w:t>) are highly contagious</w:t>
      </w:r>
      <w:r w:rsidR="00FC1637">
        <w:t xml:space="preserve">, whereas late-stage (late latent and tertiary) syphilis is </w:t>
      </w:r>
      <w:r w:rsidR="00FC1637" w:rsidRPr="00AD1A48">
        <w:rPr>
          <w:rStyle w:val="Strong"/>
          <w:rFonts w:eastAsiaTheme="majorEastAsia"/>
          <w:b w:val="0"/>
          <w:bCs w:val="0"/>
        </w:rPr>
        <w:t>not infectious</w:t>
      </w:r>
      <w:r w:rsidR="00FC1637">
        <w:t xml:space="preserve"> but can cause severe complications.</w:t>
      </w:r>
    </w:p>
    <w:p w14:paraId="51C54259" w14:textId="40D9A38A" w:rsidR="00FC1637" w:rsidRPr="00FC1637" w:rsidRDefault="00CE6024" w:rsidP="00FC1637">
      <w:pPr>
        <w:pStyle w:val="NormalWeb"/>
        <w:spacing w:line="276" w:lineRule="auto"/>
        <w:jc w:val="both"/>
      </w:pPr>
      <w:r w:rsidRPr="00FC1637">
        <w:t xml:space="preserve">Unlike many bacterial STIs, </w:t>
      </w:r>
      <w:r w:rsidR="001B0FBD">
        <w:t xml:space="preserve">syphilis progresses through four main stages, each with distinct clinical characteristics. Some stages are </w:t>
      </w:r>
      <w:r w:rsidR="001B0FBD" w:rsidRPr="001B0FBD">
        <w:rPr>
          <w:rStyle w:val="Strong"/>
          <w:rFonts w:eastAsiaTheme="majorEastAsia"/>
          <w:b w:val="0"/>
          <w:bCs w:val="0"/>
        </w:rPr>
        <w:t>symptomatic</w:t>
      </w:r>
      <w:r w:rsidR="001B0FBD">
        <w:t xml:space="preserve">, while others are </w:t>
      </w:r>
      <w:r w:rsidR="001B0FBD" w:rsidRPr="001B0FBD">
        <w:rPr>
          <w:rStyle w:val="Strong"/>
          <w:rFonts w:eastAsiaTheme="majorEastAsia"/>
          <w:b w:val="0"/>
          <w:bCs w:val="0"/>
        </w:rPr>
        <w:t>asymptomatic</w:t>
      </w:r>
      <w:r w:rsidR="001B0FBD" w:rsidRPr="001B0FBD">
        <w:t xml:space="preserve">, </w:t>
      </w:r>
      <w:r w:rsidR="001B0FBD">
        <w:t xml:space="preserve">making detection and treatment challenging. </w:t>
      </w:r>
      <w:r w:rsidR="00AD1A48" w:rsidRPr="00FC1637">
        <w:t xml:space="preserve">In Singapore, syphilis screening involves </w:t>
      </w:r>
      <w:r w:rsidR="00AD1A48" w:rsidRPr="00FC1637">
        <w:rPr>
          <w:rStyle w:val="Strong"/>
          <w:rFonts w:eastAsiaTheme="majorEastAsia"/>
          <w:b w:val="0"/>
          <w:bCs w:val="0"/>
        </w:rPr>
        <w:t>nontreponemal tests</w:t>
      </w:r>
      <w:r w:rsidR="001B0FBD">
        <w:rPr>
          <w:rStyle w:val="FootnoteReference"/>
          <w:rFonts w:eastAsiaTheme="majorEastAsia"/>
        </w:rPr>
        <w:footnoteReference w:id="1"/>
      </w:r>
      <w:r w:rsidR="00AD1A48" w:rsidRPr="00FC1637">
        <w:t xml:space="preserve"> (e.g., </w:t>
      </w:r>
      <w:r w:rsidR="00FC1637" w:rsidRPr="00FC1637">
        <w:t>Rapid Plasma Reagin (</w:t>
      </w:r>
      <w:r w:rsidR="00AD1A48" w:rsidRPr="00FC1637">
        <w:t>RPR</w:t>
      </w:r>
      <w:r w:rsidR="00FC1637" w:rsidRPr="00FC1637">
        <w:t>) test</w:t>
      </w:r>
      <w:r w:rsidR="00AD1A48" w:rsidRPr="00FC1637">
        <w:t xml:space="preserve">, </w:t>
      </w:r>
      <w:r w:rsidR="00FC1637" w:rsidRPr="00FC1637">
        <w:t>Venereal Disease Research Laboratory (VDRL) test</w:t>
      </w:r>
      <w:r w:rsidR="00AD1A48" w:rsidRPr="00FC1637">
        <w:t xml:space="preserve">) for initial detection and disease activity monitoring, followed by </w:t>
      </w:r>
      <w:r w:rsidR="00AD1A48" w:rsidRPr="00FC1637">
        <w:rPr>
          <w:rStyle w:val="Strong"/>
          <w:rFonts w:eastAsiaTheme="majorEastAsia"/>
          <w:b w:val="0"/>
          <w:bCs w:val="0"/>
        </w:rPr>
        <w:t>treponemal tests</w:t>
      </w:r>
      <w:r w:rsidR="001B0FBD">
        <w:rPr>
          <w:rStyle w:val="FootnoteReference"/>
          <w:rFonts w:eastAsiaTheme="majorEastAsia"/>
        </w:rPr>
        <w:footnoteReference w:id="2"/>
      </w:r>
      <w:r w:rsidR="00AD1A48" w:rsidRPr="00FC1637">
        <w:rPr>
          <w:b/>
          <w:bCs/>
        </w:rPr>
        <w:t xml:space="preserve"> </w:t>
      </w:r>
      <w:r w:rsidR="00AD1A48" w:rsidRPr="00FC1637">
        <w:t xml:space="preserve">(e.g., </w:t>
      </w:r>
      <w:r w:rsidR="00FC1637" w:rsidRPr="00FC1637">
        <w:t>Treponema Pallidum Particle Agglutination (TPPA)</w:t>
      </w:r>
      <w:r w:rsidR="00AD1A48" w:rsidRPr="00FC1637">
        <w:t xml:space="preserve">, </w:t>
      </w:r>
      <w:r w:rsidR="00FC1637" w:rsidRPr="00FC1637">
        <w:t>Fluorescent Treponemal Antibody-Absorption (FTA-ABS)</w:t>
      </w:r>
      <w:r w:rsidR="00AD1A48" w:rsidRPr="00FC1637">
        <w:t xml:space="preserve">, </w:t>
      </w:r>
      <w:r w:rsidR="00FC1637" w:rsidRPr="00FC1637">
        <w:t>Enzyme Immunoassay (EIA), Chemiluminescent Immunoassay (CIA)</w:t>
      </w:r>
      <w:r w:rsidR="00AD1A48" w:rsidRPr="00FC1637">
        <w:t>) for confirmation</w:t>
      </w:r>
      <w:r w:rsidR="003B7189">
        <w:t xml:space="preserve"> </w:t>
      </w:r>
      <w:r w:rsidR="003B7189">
        <w:fldChar w:fldCharType="begin"/>
      </w:r>
      <w:r w:rsidR="003B7189">
        <w:instrText xml:space="preserve"> ADDIN ZOTERO_ITEM CSL_CITATION {"citationID":"jtnTkI33","properties":{"formattedCitation":"[5]","plainCitation":"[5]","noteIndex":0},"citationItems":[{"id":451,"uris":["http://zotero.org/users/9663344/items/DVQW6Z4P"],"itemData":{"id":451,"type":"webpage","container-title":"National Skin Centre","title":"Syphilis | DSC Clinic - Department of STI Control Singapore","URL":"https://www.nsc.com.sg/dsc/prevention-education/sexually-transmitted-infection/types-of-STIs/Pages/Syphilis.aspx?utm_source=chatgpt.com","accessed":{"date-parts":[["2025",2,27]]}}}],"schema":"https://github.com/citation-style-language/schema/raw/master/csl-citation.json"} </w:instrText>
      </w:r>
      <w:r w:rsidR="003B7189">
        <w:fldChar w:fldCharType="separate"/>
      </w:r>
      <w:r w:rsidR="003B7189">
        <w:rPr>
          <w:noProof/>
        </w:rPr>
        <w:t>[5]</w:t>
      </w:r>
      <w:r w:rsidR="003B7189">
        <w:fldChar w:fldCharType="end"/>
      </w:r>
      <w:r w:rsidR="00AD1A48" w:rsidRPr="00FC1637">
        <w:t>.</w:t>
      </w:r>
      <w:r w:rsidR="00FC1637" w:rsidRPr="00FC1637">
        <w:t xml:space="preserve"> Since treponemal tests (e.g., TPPA, FTA-ABS, EIA) remain positive for life due to a “serological scar,” doctors use nontreponemal tests (e.g., RPR, VDRL) to determine current syphilis infection and disease activity. If both treponemal and nontreponemal tests are positive, it suggests an active or recent syphilis infection. If the treponemal test is positive but the nontreponemal test is negative, it may indicate a past, treated infection rather than an active one. If the nontreponemal test has a high titer (e.g., RPR</w:t>
      </w:r>
      <w:r w:rsidR="003B7189">
        <w:t xml:space="preserve"> </w:t>
      </w:r>
      <m:oMath>
        <m:r>
          <w:rPr>
            <w:rFonts w:ascii="Cambria Math" w:hAnsi="Cambria Math"/>
          </w:rPr>
          <m:t>≥</m:t>
        </m:r>
      </m:oMath>
      <w:r w:rsidR="003B7189">
        <w:t xml:space="preserve"> </w:t>
      </w:r>
      <w:r w:rsidR="00FC1637" w:rsidRPr="00FC1637">
        <w:t>1</w:t>
      </w:r>
      <w:r w:rsidR="003B7189">
        <w:t>:</w:t>
      </w:r>
      <w:r w:rsidR="00FC1637" w:rsidRPr="00FC1637">
        <w:t xml:space="preserve">8), it suggests active infection, while a low titer (e.g., </w:t>
      </w:r>
      <m:oMath>
        <m:r>
          <w:rPr>
            <w:rFonts w:ascii="Cambria Math" w:hAnsi="Cambria Math"/>
          </w:rPr>
          <m:t>≤</m:t>
        </m:r>
      </m:oMath>
      <w:r w:rsidR="003B7189">
        <w:t xml:space="preserve"> </w:t>
      </w:r>
      <w:r w:rsidR="00FC1637" w:rsidRPr="00FC1637">
        <w:t>1</w:t>
      </w:r>
      <w:r w:rsidR="003B7189">
        <w:t>:</w:t>
      </w:r>
      <w:r w:rsidR="00FC1637" w:rsidRPr="00FC1637">
        <w:t>4) may indicate past infection or low disease activity. In unclear cases, patient history, symptoms, risk factors, and follow-up testing help determine whether treatment is needed.</w:t>
      </w:r>
    </w:p>
    <w:p w14:paraId="55A6B276" w14:textId="592A50E7" w:rsidR="009D47ED" w:rsidRPr="0092025F" w:rsidRDefault="00793783" w:rsidP="0060134A">
      <w:pPr>
        <w:pStyle w:val="NormalWeb"/>
        <w:spacing w:line="276" w:lineRule="auto"/>
        <w:jc w:val="both"/>
      </w:pPr>
      <w:r w:rsidRPr="0092025F">
        <w:lastRenderedPageBreak/>
        <w:t xml:space="preserve">In </w:t>
      </w:r>
      <w:r w:rsidR="006F3C0F">
        <w:t>Singapore</w:t>
      </w:r>
      <w:r w:rsidRPr="0092025F">
        <w:t>,</w:t>
      </w:r>
      <w:r w:rsidR="009D47ED" w:rsidRPr="0092025F">
        <w:t xml:space="preserve"> syphilis incidence remained consistently high, fluctuating between 32.5 and 38.1 per 100,000 population </w:t>
      </w:r>
      <w:r w:rsidR="006F3C0F" w:rsidRPr="0092025F">
        <w:t xml:space="preserve">from 2004 to 2018 </w:t>
      </w:r>
      <w:r w:rsidR="009D47ED" w:rsidRPr="0092025F">
        <w:fldChar w:fldCharType="begin"/>
      </w:r>
      <w:r w:rsidR="003B7189">
        <w:instrText xml:space="preserve"> ADDIN ZOTERO_ITEM CSL_CITATION {"citationID":"Ae4kqH1p","properties":{"formattedCitation":"[6], [7]","plainCitation":"[6], [7]","noteIndex":0},"citationItems":[{"id":361,"uris":["http://zotero.org/users/9663344/items/HW9E75QE"],"itemData":{"id":361,"type":"webpage","container-title":"Ministry of Health","language":"en","title":"The Communicable Disease Surveillance in Singapore 2004","URL":"https://www.moh.gov.sg/others/resources-and-statistics/reports-communicable-disease-surveillance-in-singapore-2004/","accessed":{"date-parts":[["2025",2,8]]}}},{"id":359,"uris":["http://zotero.org/users/9663344/items/GHI8W3VT"],"itemData":{"id":359,"type":"webpage","container-title":"Ministry of Health","language":"en","title":"The Communicable Diseases Surveillance in Singapore 2018","URL":"https://www.moh.gov.sg/others/resources-and-statistics/the-communicable-diseases-surveillance-in-singapore-2018/","accessed":{"date-parts":[["2025",2,8]]}}}],"schema":"https://github.com/citation-style-language/schema/raw/master/csl-citation.json"} </w:instrText>
      </w:r>
      <w:r w:rsidR="009D47ED" w:rsidRPr="0092025F">
        <w:fldChar w:fldCharType="separate"/>
      </w:r>
      <w:r w:rsidR="003B7189">
        <w:rPr>
          <w:noProof/>
        </w:rPr>
        <w:t>[6], [7]</w:t>
      </w:r>
      <w:r w:rsidR="009D47ED" w:rsidRPr="0092025F">
        <w:fldChar w:fldCharType="end"/>
      </w:r>
      <w:r w:rsidR="009D47ED" w:rsidRPr="0092025F">
        <w:t xml:space="preserve">. </w:t>
      </w:r>
      <w:r w:rsidR="000165A7" w:rsidRPr="0092025F">
        <w:t xml:space="preserve">Even </w:t>
      </w:r>
      <w:r w:rsidR="006F3C0F">
        <w:t xml:space="preserve">though </w:t>
      </w:r>
      <w:r w:rsidR="009D47ED" w:rsidRPr="0092025F">
        <w:t xml:space="preserve">syphilis incidence showed a decreasing trend during the COVID-19 pandemic, likely due to reduced sexual activity during lockdowns and decreased testing availability </w:t>
      </w:r>
      <w:r w:rsidR="009D47ED" w:rsidRPr="0092025F">
        <w:fldChar w:fldCharType="begin"/>
      </w:r>
      <w:r w:rsidR="003B7189">
        <w:instrText xml:space="preserve"> ADDIN ZOTERO_ITEM CSL_CITATION {"citationID":"i1iblELD","properties":{"formattedCitation":"[8]","plainCitation":"[8]","noteIndex":0},"citationItems":[{"id":365,"uris":["http://zotero.org/users/9663344/items/UCANDUB4"],"itemData":{"id":365,"type":"webpage","container-title":"Ministry of Health","language":"en","title":"COMMUNICABLE DISEASES SURVEILLANCE IN SINGAPORE 2019-2020","URL":"https://www.moh.gov.sg/others/resources-and-statistics/reports-communicable-diseases-surveillance-in-singapore-2019-2020/","accessed":{"date-parts":[["2025",2,8]]}}}],"schema":"https://github.com/citation-style-language/schema/raw/master/csl-citation.json"} </w:instrText>
      </w:r>
      <w:r w:rsidR="009D47ED" w:rsidRPr="0092025F">
        <w:fldChar w:fldCharType="separate"/>
      </w:r>
      <w:r w:rsidR="003B7189">
        <w:rPr>
          <w:noProof/>
        </w:rPr>
        <w:t>[8]</w:t>
      </w:r>
      <w:r w:rsidR="009D47ED" w:rsidRPr="0092025F">
        <w:fldChar w:fldCharType="end"/>
      </w:r>
      <w:r w:rsidR="000165A7" w:rsidRPr="0092025F">
        <w:t xml:space="preserve">, </w:t>
      </w:r>
      <w:r w:rsidR="009D47ED" w:rsidRPr="0092025F">
        <w:t>evidence suggests that transmission rates may now be exceeding pre-pandemic levels as non-pharmaceutical interventions have been lifted</w:t>
      </w:r>
      <w:r w:rsidR="00412161" w:rsidRPr="0092025F">
        <w:t xml:space="preserve"> </w:t>
      </w:r>
      <w:r w:rsidR="009D47ED" w:rsidRPr="0092025F">
        <w:fldChar w:fldCharType="begin"/>
      </w:r>
      <w:r w:rsidR="003B7189">
        <w:instrText xml:space="preserve"> ADDIN ZOTERO_ITEM CSL_CITATION {"citationID":"uBpyey1l","properties":{"formattedCitation":"[9]","plainCitation":"[9]","noteIndex":0},"citationItems":[{"id":363,"uris":["http://zotero.org/users/9663344/items/M5UVPWDA"],"itemData":{"id":363,"type":"article-journal","abstract":"Understanding the global burden of sexually transmitted infections (STIs) is fundamental to being able to address and control these infections and the health harms they cause. The World Health Organization has renewed its global health sector strategy for the prevention and control of STIs. Reducing STIs remains an integral part of HIV prevention and of sexual and reproductive health programs. Data to measure and describe the global burden continue to improve, with systematic reviews and modeling providing global and regional data for the major STIs. Although substantial gaps remain, as many countries have limited data, the measures available demonstrate the scale of the problem for the main curable STIs, gonorrhea, chlamydia, syphilis, and trichomoniasis; the most common viral STIs, human papillomavirus and genital herpes; the interrelation between STIs and HIV; and the substantially unequal burden of these infections globally and among key populations. Regional and global trends in these infections are affected by population changes; the impact and availability of interventions, such as vaccination; changing behaviors that alter the dynamics of STI transmission; and the role of international travel in promulgating STIs in an increasingly interconnected world.","container-title":"Clinics in Dermatology","DOI":"10.1016/j.clindermatol.2023.12.002","ISSN":"1879-1131","issue":"2","journalAbbreviation":"Clin Dermatol","language":"eng","note":"PMID: 38142791","page":"110-118","source":"PubMed","title":"The global burden of sexually transmitted infections","volume":"42","author":[{"family":"Sinka","given":"Katy"}],"issued":{"date-parts":[["2024"]]}}}],"schema":"https://github.com/citation-style-language/schema/raw/master/csl-citation.json"} </w:instrText>
      </w:r>
      <w:r w:rsidR="009D47ED" w:rsidRPr="0092025F">
        <w:fldChar w:fldCharType="separate"/>
      </w:r>
      <w:r w:rsidR="003B7189">
        <w:rPr>
          <w:noProof/>
        </w:rPr>
        <w:t>[9]</w:t>
      </w:r>
      <w:r w:rsidR="009D47ED" w:rsidRPr="0092025F">
        <w:fldChar w:fldCharType="end"/>
      </w:r>
      <w:r w:rsidR="009D47ED" w:rsidRPr="0092025F">
        <w:t>.</w:t>
      </w:r>
      <w:r w:rsidR="00412161" w:rsidRPr="0092025F">
        <w:t xml:space="preserve"> This underscores the need for proactive intervention strategies to address public health concerns.</w:t>
      </w:r>
    </w:p>
    <w:p w14:paraId="6BF2557A" w14:textId="3600353D" w:rsidR="001B075D" w:rsidRPr="0092025F" w:rsidRDefault="00AF10DF" w:rsidP="0060134A">
      <w:pPr>
        <w:pStyle w:val="NormalWeb"/>
        <w:spacing w:line="276" w:lineRule="auto"/>
        <w:jc w:val="both"/>
      </w:pPr>
      <w:r w:rsidRPr="0092025F">
        <w:t xml:space="preserve">Despite the widespread incidence of </w:t>
      </w:r>
      <w:r w:rsidR="00A035D8" w:rsidRPr="0092025F">
        <w:t xml:space="preserve">bacterial </w:t>
      </w:r>
      <w:r w:rsidR="003722C6" w:rsidRPr="0092025F">
        <w:t>STIs</w:t>
      </w:r>
      <w:r w:rsidRPr="0092025F">
        <w:t xml:space="preserve">, </w:t>
      </w:r>
      <w:r w:rsidR="00C43365" w:rsidRPr="0092025F">
        <w:t>t</w:t>
      </w:r>
      <w:r w:rsidR="001E6482" w:rsidRPr="0092025F">
        <w:t xml:space="preserve">here are currently no vaccines and limited chemoprophylaxis options available for preventing </w:t>
      </w:r>
      <w:r w:rsidR="00A035D8" w:rsidRPr="0092025F">
        <w:t xml:space="preserve">them, </w:t>
      </w:r>
      <w:r w:rsidR="000F53D3" w:rsidRPr="0092025F">
        <w:t>especially</w:t>
      </w:r>
      <w:r w:rsidR="00A035D8" w:rsidRPr="0092025F">
        <w:t xml:space="preserve"> syphilis </w:t>
      </w:r>
      <w:r w:rsidR="00F17942" w:rsidRPr="0092025F">
        <w:fldChar w:fldCharType="begin"/>
      </w:r>
      <w:r w:rsidR="003B7189">
        <w:instrText xml:space="preserve"> ADDIN ZOTERO_ITEM CSL_CITATION {"citationID":"lrTTQRiq","properties":{"formattedCitation":"[10]","plainCitation":"[10]","noteIndex":0},"citationItems":[{"id":402,"uris":["http://zotero.org/users/9663344/items/TF22S9V5"],"itemData":{"id":402,"type":"article-journal","abstract":"This report describes a recommendation from CDC for clinicians to use doxy PEP to help reduce incidents of syphilis, chlamydia, and gonorrhea in populations at high risk for these infections.","container-title":"MMWR. Recommendations and Reports","DOI":"10.15585/mmwr.rr7302a1","ISSN":"1057-59871545-8601","journalAbbreviation":"MMWR Recomm Rep","language":"en-us","source":"www.cdc.gov","title":"CDC Clinical Guidelines on the Use of Doxycycline Postexposure Prophylaxis for Bacterial Sexually Transmitted Infection Prevention, United States, 2024","URL":"https://www.cdc.gov/mmwr/volumes/73/rr/rr7302a1.htm","volume":"73","author":[{"family":"Bachmann","given":"Laura H."}],"accessed":{"date-parts":[["2025",2,9]]},"issued":{"date-parts":[["2024"]]}}}],"schema":"https://github.com/citation-style-language/schema/raw/master/csl-citation.json"} </w:instrText>
      </w:r>
      <w:r w:rsidR="00F17942" w:rsidRPr="0092025F">
        <w:fldChar w:fldCharType="separate"/>
      </w:r>
      <w:r w:rsidR="003B7189">
        <w:rPr>
          <w:noProof/>
        </w:rPr>
        <w:t>[10]</w:t>
      </w:r>
      <w:r w:rsidR="00F17942" w:rsidRPr="0092025F">
        <w:fldChar w:fldCharType="end"/>
      </w:r>
      <w:r w:rsidR="001E6482" w:rsidRPr="0092025F">
        <w:t>. These infections have been rising in the world, disproportionately impacting gay, bisexual, and other men who have sex with men as well as transgender women (TGW)</w:t>
      </w:r>
      <w:r w:rsidR="00F17942" w:rsidRPr="0092025F">
        <w:t xml:space="preserve"> </w:t>
      </w:r>
      <w:r w:rsidR="00F17942" w:rsidRPr="0092025F">
        <w:fldChar w:fldCharType="begin"/>
      </w:r>
      <w:r w:rsidR="003B7189">
        <w:instrText xml:space="preserve"> ADDIN ZOTERO_ITEM CSL_CITATION {"citationID":"rbGuTmdg","properties":{"formattedCitation":"[10]","plainCitation":"[10]","noteIndex":0},"citationItems":[{"id":402,"uris":["http://zotero.org/users/9663344/items/TF22S9V5"],"itemData":{"id":402,"type":"article-journal","abstract":"This report describes a recommendation from CDC for clinicians to use doxy PEP to help reduce incidents of syphilis, chlamydia, and gonorrhea in populations at high risk for these infections.","container-title":"MMWR. Recommendations and Reports","DOI":"10.15585/mmwr.rr7302a1","ISSN":"1057-59871545-8601","journalAbbreviation":"MMWR Recomm Rep","language":"en-us","source":"www.cdc.gov","title":"CDC Clinical Guidelines on the Use of Doxycycline Postexposure Prophylaxis for Bacterial Sexually Transmitted Infection Prevention, United States, 2024","URL":"https://www.cdc.gov/mmwr/volumes/73/rr/rr7302a1.htm","volume":"73","author":[{"family":"Bachmann","given":"Laura H."}],"accessed":{"date-parts":[["2025",2,9]]},"issued":{"date-parts":[["2024"]]}}}],"schema":"https://github.com/citation-style-language/schema/raw/master/csl-citation.json"} </w:instrText>
      </w:r>
      <w:r w:rsidR="00F17942" w:rsidRPr="0092025F">
        <w:fldChar w:fldCharType="separate"/>
      </w:r>
      <w:r w:rsidR="003B7189">
        <w:rPr>
          <w:noProof/>
        </w:rPr>
        <w:t>[10]</w:t>
      </w:r>
      <w:r w:rsidR="00F17942" w:rsidRPr="0092025F">
        <w:fldChar w:fldCharType="end"/>
      </w:r>
      <w:r w:rsidR="001E6482" w:rsidRPr="0092025F">
        <w:t>.</w:t>
      </w:r>
      <w:r w:rsidR="00F17942" w:rsidRPr="0092025F">
        <w:t xml:space="preserve"> </w:t>
      </w:r>
      <w:r w:rsidR="00070873" w:rsidRPr="0092025F">
        <w:t>To address this growing concern, doxycycline</w:t>
      </w:r>
      <w:r w:rsidR="00070873" w:rsidRPr="0092025F">
        <w:rPr>
          <w:rStyle w:val="FootnoteReference"/>
        </w:rPr>
        <w:t xml:space="preserve"> </w:t>
      </w:r>
      <w:r w:rsidR="004F1238" w:rsidRPr="0092025F">
        <w:rPr>
          <w:rStyle w:val="FootnoteReference"/>
        </w:rPr>
        <w:footnoteReference w:id="3"/>
      </w:r>
      <w:r w:rsidR="00070873" w:rsidRPr="0092025F">
        <w:t xml:space="preserve"> post-exposure prophylaxis (doxy-PEP) has recently gained attention as a promising biomedical strategy for STI prevention. While still in the early stages of clinical adoption, it is being integrated into healthcare practices in countries like the US </w:t>
      </w:r>
      <w:r w:rsidR="00070873" w:rsidRPr="0092025F">
        <w:fldChar w:fldCharType="begin"/>
      </w:r>
      <w:r w:rsidR="003B7189">
        <w:instrText xml:space="preserve"> ADDIN ZOTERO_ITEM CSL_CITATION {"citationID":"GGG1MOLT","properties":{"formattedCitation":"[12]","plainCitation":"[12]","noteIndex":0},"citationItems":[{"id":443,"uris":["http://zotero.org/users/9663344/items/Q647L6GB"],"itemData":{"id":443,"type":"article-journal","abstract":"Doxycycline postexposure prophylaxis (doxy-PEP) reduces the risk of bacterial sexually transmitted infections among men who have sex with men and transgender women. In the United States, doxy-PEP is in an early stage of integration into clinical practice, and national guidelines for its use were recently released. The goal of this manuscript is to provide practical guidance for clinicians who are considering or currently prescribing doxy-PEP. We address 5 clinical questions using post hoc analyses of data from the DoxyPEP randomized controlled trial and discuss the potential implications and limitations of each question with the goal of informing clinical practice and implementation of doxy-PEP programs. The questions address patient eligibility criteria for doxy-PEP, the expected benefit and associated doxy-PEP doses for the average patient, the initial number of doses prescribed, and laboratory monitoring of persons taking doxy-PEP.","container-title":"Clinical Infectious Diseases","DOI":"10.1093/cid/ciae527","ISSN":"1058-4838","journalAbbreviation":"Clinical Infectious Diseases","page":"ciae527","source":"Silverchair","title":"Evidence-Informed Provision of Doxycycline Postexposure Prophylaxis for Prevention of Bacterial Sexually Transmitted Infections","author":[{"family":"Dombrowski","given":"Julia C"},{"family":"Donnell","given":"Deborah"},{"family":"Grabow","given":"Cole"},{"family":"Cohen","given":"Stephanie E"},{"family":"Cannon","given":"Chase A"},{"family":"Brown","given":"Clare E"},{"family":"Buchbinder","given":"Susan P"},{"family":"Celum","given":"Connie"},{"family":"Luetkemeyer","given":"Anne F"}],"issued":{"date-parts":[["2024",10,30]]}}}],"schema":"https://github.com/citation-style-language/schema/raw/master/csl-citation.json"} </w:instrText>
      </w:r>
      <w:r w:rsidR="00070873" w:rsidRPr="0092025F">
        <w:fldChar w:fldCharType="separate"/>
      </w:r>
      <w:r w:rsidR="003B7189">
        <w:rPr>
          <w:noProof/>
        </w:rPr>
        <w:t>[12]</w:t>
      </w:r>
      <w:r w:rsidR="00070873" w:rsidRPr="0092025F">
        <w:fldChar w:fldCharType="end"/>
      </w:r>
      <w:r w:rsidR="00070873" w:rsidRPr="0092025F">
        <w:t>.</w:t>
      </w:r>
      <w:r w:rsidR="00E76342" w:rsidRPr="0092025F">
        <w:t xml:space="preserve"> This approach involves taking a 200 mg dose of immediate-release doxycycline within 72 hours after condomless sex to reduce the risk of bacterial STIs, including </w:t>
      </w:r>
      <w:r w:rsidR="00941A53" w:rsidRPr="0092025F">
        <w:t>syphilis</w:t>
      </w:r>
      <w:r w:rsidR="00CA553C" w:rsidRPr="0092025F">
        <w:t xml:space="preserve">. A 30- to 90-day supply is typically recommended </w:t>
      </w:r>
      <w:r w:rsidR="006974C5" w:rsidRPr="0092025F">
        <w:t>and clinicians should conduct screenings for HIV</w:t>
      </w:r>
      <w:r w:rsidR="006F3C0F">
        <w:t xml:space="preserve"> and </w:t>
      </w:r>
      <w:r w:rsidR="006974C5" w:rsidRPr="0092025F">
        <w:t xml:space="preserve">syphilis at least every three months for individuals using doxy-PEP </w:t>
      </w:r>
      <w:r w:rsidR="00CA553C" w:rsidRPr="0092025F">
        <w:fldChar w:fldCharType="begin"/>
      </w:r>
      <w:r w:rsidR="003B7189">
        <w:instrText xml:space="preserve"> ADDIN ZOTERO_ITEM CSL_CITATION {"citationID":"C99vQSHW","properties":{"formattedCitation":"[13]","plainCitation":"[13]","noteIndex":0},"citationItems":[{"id":432,"uris":["http://zotero.org/users/9663344/items/GT4FTAFE"],"itemData":{"id":432,"type":"book","call-number":"NBK597440","collection-title":"New York State Department of Health AIDS Institute Clinical Guidelines","event-place":"Baltimore (MD)","language":"eng","note":"PMID: 37988481","publisher":"Johns Hopkins University","publisher-place":"Baltimore (MD)","source":"PubMed","title":"Doxycycline Post-Exposure Prophylaxis to Prevent Bacterial Sexually Transmitted Infections","URL":"http://www.ncbi.nlm.nih.gov/books/NBK597440/","author":[{"family":"DiMarco","given":"Daniela E."},{"family":"Urban","given":"Marguerite A."},{"family":"Vail","given":"Rona M."},{"family":"Shah","given":"Sanjiv S."},{"family":"Fine","given":"Steven M."},{"family":"McGowan","given":"Joseph P."},{"family":"Merrick","given":"Samuel T."},{"family":"Radix","given":"Asa E."},{"family":"Rodrigues","given":"Jessica"},{"family":"Norton","given":"Brianna L."},{"family":"Gonzalez","given":"Charles J."},{"family":"Hoffmann","given":"Christopher J."}],"accessed":{"date-parts":[["2025",2,13]]},"issued":{"date-parts":[["2024"]]}}}],"schema":"https://github.com/citation-style-language/schema/raw/master/csl-citation.json"} </w:instrText>
      </w:r>
      <w:r w:rsidR="00CA553C" w:rsidRPr="0092025F">
        <w:fldChar w:fldCharType="separate"/>
      </w:r>
      <w:r w:rsidR="003B7189">
        <w:rPr>
          <w:noProof/>
        </w:rPr>
        <w:t>[13]</w:t>
      </w:r>
      <w:r w:rsidR="00CA553C" w:rsidRPr="0092025F">
        <w:fldChar w:fldCharType="end"/>
      </w:r>
      <w:r w:rsidR="00CA553C" w:rsidRPr="0092025F">
        <w:t xml:space="preserve">. Additionally, </w:t>
      </w:r>
      <w:r w:rsidR="00F30063" w:rsidRPr="0092025F">
        <w:t>CDC</w:t>
      </w:r>
      <w:r w:rsidR="002615A1" w:rsidRPr="0092025F">
        <w:t xml:space="preserve"> advises that MSM and TGW diagnosed with a bacterial STI (</w:t>
      </w:r>
      <w:r w:rsidR="006F3C0F">
        <w:t xml:space="preserve">e.g., </w:t>
      </w:r>
      <w:r w:rsidR="002615A1" w:rsidRPr="0092025F">
        <w:t>syphilis) within the past 12 months should be informed about doxy-PEP as a post-exposure prophylaxis option to reduce the risk of reinfection</w:t>
      </w:r>
      <w:r w:rsidR="00414D0C" w:rsidRPr="0092025F">
        <w:t xml:space="preserve"> </w:t>
      </w:r>
      <w:r w:rsidR="00414D0C" w:rsidRPr="0092025F">
        <w:fldChar w:fldCharType="begin"/>
      </w:r>
      <w:r w:rsidR="003B7189">
        <w:instrText xml:space="preserve"> ADDIN ZOTERO_ITEM CSL_CITATION {"citationID":"xByoByxt","properties":{"formattedCitation":"[10]","plainCitation":"[10]","noteIndex":0},"citationItems":[{"id":402,"uris":["http://zotero.org/users/9663344/items/TF22S9V5"],"itemData":{"id":402,"type":"article-journal","abstract":"This report describes a recommendation from CDC for clinicians to use doxy PEP to help reduce incidents of syphilis, chlamydia, and gonorrhea in populations at high risk for these infections.","container-title":"MMWR. Recommendations and Reports","DOI":"10.15585/mmwr.rr7302a1","ISSN":"1057-59871545-8601","journalAbbreviation":"MMWR Recomm Rep","language":"en-us","source":"www.cdc.gov","title":"CDC Clinical Guidelines on the Use of Doxycycline Postexposure Prophylaxis for Bacterial Sexually Transmitted Infection Prevention, United States, 2024","URL":"https://www.cdc.gov/mmwr/volumes/73/rr/rr7302a1.htm","volume":"73","author":[{"family":"Bachmann","given":"Laura H."}],"accessed":{"date-parts":[["2025",2,9]]},"issued":{"date-parts":[["2024"]]}}}],"schema":"https://github.com/citation-style-language/schema/raw/master/csl-citation.json"} </w:instrText>
      </w:r>
      <w:r w:rsidR="00414D0C" w:rsidRPr="0092025F">
        <w:fldChar w:fldCharType="separate"/>
      </w:r>
      <w:r w:rsidR="003B7189">
        <w:rPr>
          <w:noProof/>
        </w:rPr>
        <w:t>[10]</w:t>
      </w:r>
      <w:r w:rsidR="00414D0C" w:rsidRPr="0092025F">
        <w:fldChar w:fldCharType="end"/>
      </w:r>
      <w:r w:rsidR="002615A1" w:rsidRPr="0092025F">
        <w:t>.</w:t>
      </w:r>
    </w:p>
    <w:p w14:paraId="14EE2AE4" w14:textId="71D52937" w:rsidR="00770CE9" w:rsidRPr="0092025F" w:rsidRDefault="003B37A4" w:rsidP="0060134A">
      <w:pPr>
        <w:pStyle w:val="NormalWeb"/>
        <w:spacing w:line="276" w:lineRule="auto"/>
        <w:jc w:val="both"/>
      </w:pPr>
      <w:r w:rsidRPr="0092025F">
        <w:t xml:space="preserve">Clinical evidence from </w:t>
      </w:r>
      <w:r w:rsidR="00A82B3B" w:rsidRPr="0092025F">
        <w:t>five</w:t>
      </w:r>
      <w:r w:rsidRPr="0092025F">
        <w:t xml:space="preserve"> open-label randomized trials in France </w:t>
      </w:r>
      <w:r w:rsidR="008D4AC9" w:rsidRPr="0092025F">
        <w:fldChar w:fldCharType="begin"/>
      </w:r>
      <w:r w:rsidR="003B7189">
        <w:instrText xml:space="preserve"> ADDIN ZOTERO_ITEM CSL_CITATION {"citationID":"pXBJFpEx","properties":{"formattedCitation":"[14], [15]","plainCitation":"[14], [15]","noteIndex":0},"citationItems":[{"id":367,"uris":["http://zotero.org/users/9663344/items/GVWCRKFA"],"itemData":{"id":367,"type":"article-journal","abstract":"BACKGROUND: Increased rates of sexually transmitted infections (STIs) have been reported among men who have sex with men. We aimed to assess whether post-exposure prophylaxis (PEP) with doxycycline could reduce the incidence of STIs.\nMETHODS: All participants attending their scheduled visit in the open-label extension of the ANRS IPERGAY trial in France (men aged 18 years or older having condomless sex with men and using pre-exposure prophylaxis for HIV with tenofovir disoproxil fumarate plus emtricitabine) were eligible for inclusion in this open-label randomised study. Participants were randomly assigned (1:1) at a central site to take a single oral dose of 200 mg doxycycline PEP within 24 h after sex or no prophylaxis. The primary endpoint was the occurrence of a first STI (gonorrhoea, chlamydia, or syphilis) during the 10-month follow-up. The cumulative probability of occurrence of the primary endpoint was estimated in each group with the Kaplan-Meier method and compared with the log-rank test. The primary efficacy analysis was done on the intention-to-treat population, comprising all randomised participants. All participants received risk-reduction counselling and condoms, and were tested regularly for HIV. This trial is registered with ClinicalTrials.gov number, NCT01473472.\nFINDINGS: Between July 20, 2015, and Jan 21, 2016, we randomly assigned 232 participants (n=116 in the doxycycline PEP group and n=116 in the no-PEP group) who were followed up for a median of 8·7 months (IQR 7·8-9·7). Participants in the PEP group used a median of 680 mg doxycycline per month (IQR 280-1450). 73 participants presented with a new STI during follow-up, 28 in the PEP group (9-month probability 22%, 95% CI 15-32) and 45 in the no-PEP group (42%, 33-53; log-rank test p=0·007). The occurrence of a first STI in participants taking PEP was lower than in those not taking PEP (hazard ratio [HR] 0·53; 95% CI 0·33-0·85; p=0·008). Similar results were observed for the occurrence of a first episode of chlamydia (HR 0·30; 95% CI 0·13-0·70; p=0·006) and of syphilis (0·27; 0·07-0·98; p=0·047); for a first episode of gonorrhoea the results did not differ significantly (HR 0·83; 0·47-1·47; p=0·52). No HIV seroconversion was observed, and 72 (71%) of all 102 STIs were asymptomatic. Rates of serious adverse events were similar in the two study groups. Gastrointestinal adverse events were reported in 62 (53%) participants in the PEP group and 47 (41%) in the no-PEP group (p=0·05).\nINTERPRETATION: Doxycycline PEP reduced the occurrence of a first episode of bacterial STI in high-risk men who have sex with men.\nFUNDING: France Recherche Nord &amp; Sud Sida-HIV Hépatites (ANRS) and Bill &amp; Melinda Gates Foundation.","container-title":"The Lancet. Infectious Diseases","DOI":"10.1016/S1473-3099(17)30725-9","ISSN":"1474-4457","issue":"3","journalAbbreviation":"Lancet Infect Dis","language":"eng","note":"PMID: 29229440","page":"308-317","source":"PubMed","title":"Post-exposure prophylaxis with doxycycline to prevent sexually transmitted infections in men who have sex with men: an open-label randomised substudy of the ANRS IPERGAY trial","title-short":"Post-exposure prophylaxis with doxycycline to prevent sexually transmitted infections in men who have sex with men","volume":"18","author":[{"family":"Molina","given":"Jean-Michel"},{"family":"Charreau","given":"Isabelle"},{"family":"Chidiac","given":"Christian"},{"family":"Pialoux","given":"Gilles"},{"family":"Cua","given":"Eric"},{"family":"Delaugerre","given":"Constance"},{"family":"Capitant","given":"Catherine"},{"family":"Rojas-Castro","given":"Daniela"},{"family":"Fonsart","given":"Julien"},{"family":"Bercot","given":"Béatrice"},{"family":"Bébéar","given":"Cécile"},{"family":"Cotte","given":"Laurent"},{"family":"Robineau","given":"Olivier"},{"family":"Raffi","given":"François"},{"family":"Charbonneau","given":"Pierre"},{"family":"Aslan","given":"Alexandre"},{"family":"Chas","given":"Julie"},{"family":"Niedbalski","given":"Laurence"},{"family":"Spire","given":"Bruno"},{"family":"Sagaon-Teyssier","given":"Luis"},{"family":"Carette","given":"Diane"},{"family":"Mestre","given":"Soizic Le"},{"family":"Doré","given":"Veronique"},{"family":"Meyer","given":"Laurence"},{"literal":"ANRS IPERGAY Study Group"}],"issued":{"date-parts":[["2018",3]]}}},{"id":341,"uris":["http://zotero.org/users/9663344/items/ZTD6HKJR"],"itemData":{"id":341,"type":"article-journal","abstract":"Background Increased rates of sexually transmitted infections (STIs) are reported among men who have sex with men (MSM) and new interventions are needed. We aimed to assess whether post-exposure prophylaxis (PEP) with doxycycline could reduce the incidence of chlamydia or syphilis (or both) and whether the meningococcal group B vaccine (4CMenB) could reduce the incidence of gonorrhoea in this population.","container-title":"The Lancet Infectious Diseases","DOI":"10.1016/S1473-3099(24)00236-6","ISSN":"14733099","issue":"10","journalAbbreviation":"The Lancet Infectious Diseases","language":"en","page":"1093-1104","source":"DOI.org (Crossref)","title":"Doxycycline prophylaxis and meningococcal group B vaccine to prevent bacterial sexually transmitted infections in France (ANRS 174 DOXYVAC): a multicentre, open-label, randomised trial with a 2 × 2 factorial design","title-short":"Doxycycline prophylaxis and meningococcal group B vaccine to prevent bacterial sexually transmitted infections in France (ANRS 174 DOXYVAC)","volume":"24","author":[{"family":"Molina","given":"Jean-Michel"},{"family":"Bercot","given":"Beatrice"},{"family":"Assoumou","given":"Lambert"},{"family":"Rubenstein","given":"Emma"},{"family":"Algarte-Genin","given":"Michele"},{"family":"Pialoux","given":"Gilles"},{"family":"Katlama","given":"Christine"},{"family":"Surgers","given":"Laure"},{"family":"Bébéar","given":"Cécile"},{"family":"Dupin","given":"Nicolas"},{"family":"Ouattara","given":"Moussa"},{"family":"Slama","given":"Laurence"},{"family":"Pavie","given":"Juliette"},{"family":"Duvivier","given":"Claudine"},{"family":"Loze","given":"Benedicte"},{"family":"Goldwirt","given":"Lauriane"},{"family":"Gibowski","given":"Severine"},{"family":"Ollivier","given":"Manon"},{"family":"Ghosn","given":"Jade"},{"family":"Costagliola","given":"Dominique"},{"family":"Aslan","given":"Alexandre"},{"family":"Pintado","given":"Claire"},{"family":"Delaugerre","given":"Constance"},{"family":"Ponscarme","given":"Diane"},{"family":"Dalle","given":"Eve"},{"family":"Chas","given":"Julie"},{"family":"Siguier","given":"Martin"},{"family":"Palich","given":"Romain"},{"family":"Valentin","given":"Marc-Antoine"},{"family":"Yazdanpanah","given":"Yazdan"},{"family":"Lacombe","given":"Karine"},{"family":"Viard","given":"Jean-Paul"},{"family":"Lourenco","given":"Jeremy"},{"family":"Rachline","given":"Anne"},{"family":"Detruchis","given":"Pierre"},{"family":"Diemer","given":"Myriam"},{"family":"Azemar","given":"Laurene"},{"family":"Landowski","given":"Stephanie"},{"family":"Ometsguine","given":"Philippe"},{"family":"Buisson","given":"Martin"},{"family":"Feliho","given":"Philip"},{"family":"Bachelard","given":"Antoine"},{"family":"Phung","given":"Bao"},{"family":"Rioux","given":"Christophe"},{"family":"Proux","given":"Caroline"},{"family":"Le Gac","given":"Sylvie"},{"family":"Schneider","given":"Luminita"},{"family":"Charmak","given":"Aziza"},{"family":"Ktorza","given":"Nadine"},{"family":"Seang","given":"Sophie"},{"family":"Orriere","given":"Thibaut"},{"family":"Sellem","given":"Baptiste"},{"family":"Palacios","given":"Christia"},{"family":"Mebarki","given":"Soraya"}],"issued":{"date-parts":[["2024",10]]}}}],"schema":"https://github.com/citation-style-language/schema/raw/master/csl-citation.json"} </w:instrText>
      </w:r>
      <w:r w:rsidR="008D4AC9" w:rsidRPr="0092025F">
        <w:fldChar w:fldCharType="separate"/>
      </w:r>
      <w:r w:rsidR="003B7189">
        <w:rPr>
          <w:noProof/>
        </w:rPr>
        <w:t>[14], [15]</w:t>
      </w:r>
      <w:r w:rsidR="008D4AC9" w:rsidRPr="0092025F">
        <w:fldChar w:fldCharType="end"/>
      </w:r>
      <w:r w:rsidR="00A82B3B" w:rsidRPr="0092025F">
        <w:t xml:space="preserve">, </w:t>
      </w:r>
      <w:r w:rsidRPr="0092025F">
        <w:t xml:space="preserve">the USA </w:t>
      </w:r>
      <w:r w:rsidR="00B47608" w:rsidRPr="0092025F">
        <w:fldChar w:fldCharType="begin"/>
      </w:r>
      <w:r w:rsidR="003B7189">
        <w:instrText xml:space="preserve"> ADDIN ZOTERO_ITEM CSL_CITATION {"citationID":"FjdiGRyi","properties":{"formattedCitation":"[16], [17]","plainCitation":"[16], [17]","noteIndex":0},"citationItems":[{"id":393,"uris":["http://zotero.org/users/9663344/items/2AKNH2ZJ"],"itemData":{"id":393,"type":"article-journal","abstract":"BACKGROUND: Incident syphilis infections continue to be especially prevalent among a core group of HIV-infected men who have sex with men (MSM). Because of synergy between syphilis and HIV infections, innovative means for controlling incident syphilis infections are needed.\nMETHODS: Thirty MSM who had syphilis twice or more since their HIV diagnosis were randomized to receive either daily doxycycline prophylaxis or contingency management (CM) with incentive payments for remaining free of sexually transmitted diseases (STDs). Participants were tested for the bacterial STDs gonorrhea (Neisseria gonorrhoeae), chlamydia (Chlamydia trachomatis) and syphilis at weeks 12, 24, 36, and 48 and completed a behavioral risk questionnaire during each visit to assess number of partners, condom use, and drug use since the last visit. Generalized linear mixed models were used to analyze differences between arms in STD incidence and risk behaviors at follow-up.\nRESULTS: Doxycycline arm participants were significantly less likely to test positive for any selected bacterial STD during 48 weeks of follow-up (odds ratio, 0.27; confidence interval, 0.09-0.83) compared with CM arm participants (P = 0.02).There were no significant self-reported risk behavior differences between the doxycycline and CM arms at follow-up.\nCONCLUSIONS: Daily doxycycline taken prophylactically was associated with a decreased incidence of N. gonorrhoeae, C. trachomatis, or syphilis incident infections among a core group of HIV-infected MSM at high risk for these infections. Safe and effective biomedical tools should be included in the efforts to control transmission of syphilis, especially in this population. A randomized clinical trial should be conducted to confirm and extend these findings.","container-title":"Sexually Transmitted Diseases","DOI":"10.1097/OLQ.0000000000000216","ISSN":"1537-4521","issue":"2","journalAbbreviation":"Sex Transm Dis","language":"eng","note":"PMID: 25585069\nPMCID: PMC4295649","page":"98-103","source":"PubMed","title":"Doxycycline prophylaxis to reduce incident syphilis among HIV-infected men who have sex with men who continue to engage in high-risk sex: a randomized, controlled pilot study","title-short":"Doxycycline prophylaxis to reduce incident syphilis among HIV-infected men who have sex with men who continue to engage in high-risk sex","volume":"42","author":[{"family":"Bolan","given":"Robert K."},{"family":"Beymer","given":"Matthew R."},{"family":"Weiss","given":"Robert E."},{"family":"Flynn","given":"Risa P."},{"family":"Leibowitz","given":"Arleen A."},{"family":"Klausner","given":"Jeffrey D."}],"issued":{"date-parts":[["2015",2]]}}},{"id":374,"uris":["http://zotero.org/users/9663344/items/HANL8X6F"],"itemData":{"id":374,"type":"article-journal","abstract":"BACKGROUND: Interventions to reduce sexually transmitted infections (STIs) among men who have sex with men (MSM) are needed.\nMETHODS: We conducted an open-label, randomized study involving MSM and transgender women who were taking preexposure prophylaxis (PrEP) against human immunodeficiency virus (HIV) infection (PrEP cohort) or living with HIV infection (persons living with HIV infection [PLWH] cohort) and who had had Neisseria gonorrhoeae (gonorrhea), Chlamydia trachomatis (chlamydia), or syphilis in the past year. Participants were randomly assigned in a 2:1 ratio to take 200 mg of doxycycline within 72 hours after condomless sex (doxycycline postexposure prophylaxis) or receive standard care without doxycycline. STI testing was performed quarterly. The primary end point was the incidence of at least one STI per follow-up quarter.\nRESULTS: Of 501 participants (327 in the PrEP cohort and 174 in the PLWH cohort), 67% were White, 7% Black, 11% Asian or Pacific Islander, and 30% Hispanic or Latino. In the PrEP cohort, an STI was diagnosed in 61 of 570 quarterly visits (10.7%) in the doxycycline group and 82 of 257 quarterly visits (31.9%) in the standard-care group, for an absolute difference of -21.2 percentage points and a relative risk of 0.34 (95% confidence interval [CI], 0.24 to 0.46; P&lt;0.001). In the PLWH cohort, an STI was diagnosed in 36 of 305 quarterly visits (11.8%) in the doxycycline group and 39 of 128 quarterly visits (30.5%) in the standard-care group, for an absolute difference of -18.7 percentage points and a relative risk of 0.38 (95% CI, 0.24 to 0.60; P&lt;0.001). The incidences of the three evaluated STIs were lower with doxycycline than with standard care; in the PrEP cohort, the relative risks were 0.45 (95% CI, 0.32 to 0.65) for gonorrhea, 0.12 (95% CI, 0.05 to 0.25) for chlamydia, and 0.13 (95% CI, 0.03 to 0.59) for syphilis, and in the PLWH cohort, the relative risks were 0.43 (95% CI, 0.26 to 0.71), 0.26 (95% CI, 0.12 to 0.57), and 0.23 (95% CI, 0.04 to 1.29), respectively. Five grade 3 adverse events and no serious adverse events were attributed to doxycycline. Of the participants with gonorrhea culture available, tetracycline-resistant gonorrhea occurred in 5 of 13 in the doxycycline groups and 2 of 16 in the standard-care groups.\nCONCLUSIONS: The combined incidence of gonorrhea, chlamydia, and syphilis was lower by two thirds with doxycycline postexposure prophylaxis than with standard care, a finding that supports its use among MSM with recent bacterial STIs. (Funded by the National Institutes of Health; DoxyPEP ClinicalTrials.gov number, NCT03980223.).","container-title":"The New England Journal of Medicine","DOI":"10.1056/NEJMoa2211934","ISSN":"1533-4406","issue":"14","journalAbbreviation":"N Engl J Med","language":"eng","note":"PMID: 37018493\nPMCID: PMC10140182","page":"1296-1306","source":"PubMed","title":"Postexposure Doxycycline to Prevent Bacterial Sexually Transmitted Infections","volume":"388","author":[{"family":"Luetkemeyer","given":"Anne F."},{"family":"Donnell","given":"Deborah"},{"family":"Dombrowski","given":"Julia C."},{"family":"Cohen","given":"Stephanie"},{"family":"Grabow","given":"Cole"},{"family":"Brown","given":"Clare E."},{"family":"Malinski","given":"Cheryl"},{"family":"Perkins","given":"Rodney"},{"family":"Nasser","given":"Melody"},{"family":"Lopez","given":"Carolina"},{"family":"Vittinghoff","given":"Eric"},{"family":"Buchbinder","given":"Susan P."},{"family":"Scott","given":"Hyman"},{"family":"Charlebois","given":"Edwin D."},{"family":"Havlir","given":"Diane V."},{"family":"Soge","given":"Olusegun O."},{"family":"Celum","given":"Connie"},{"literal":"DoxyPEP Study Team"}],"issued":{"date-parts":[["2023",4,6]]}}}],"schema":"https://github.com/citation-style-language/schema/raw/master/csl-citation.json"} </w:instrText>
      </w:r>
      <w:r w:rsidR="00B47608" w:rsidRPr="0092025F">
        <w:fldChar w:fldCharType="separate"/>
      </w:r>
      <w:r w:rsidR="003B7189">
        <w:rPr>
          <w:noProof/>
        </w:rPr>
        <w:t>[16], [17]</w:t>
      </w:r>
      <w:r w:rsidR="00B47608" w:rsidRPr="0092025F">
        <w:fldChar w:fldCharType="end"/>
      </w:r>
      <w:r w:rsidR="00A82B3B" w:rsidRPr="0092025F">
        <w:t xml:space="preserve">, and Kenya </w:t>
      </w:r>
      <w:r w:rsidR="00A82B3B" w:rsidRPr="0092025F">
        <w:fldChar w:fldCharType="begin"/>
      </w:r>
      <w:r w:rsidR="003B7189">
        <w:instrText xml:space="preserve"> ADDIN ZOTERO_ITEM CSL_CITATION {"citationID":"QBZYzjZ7","properties":{"formattedCitation":"[18]","plainCitation":"[18]","noteIndex":0},"citationItems":[{"id":422,"uris":["http://zotero.org/users/9663344/items/UMWAMKDS"],"itemData":{"id":422,"type":"article-journal","abstract":"BACKGROUND: Doxycycline postexposure prophylaxis (PEP) has been shown to prevent sexually transmitted infections (STIs) among cisgender men and transgender women, but data from trials involving cisgender women are lacking.\nMETHODS: We conducted a randomized, open-label trial comparing doxycycline PEP (doxycycline hyclate, 200 mg taken within 72 hours after condomless sex) with standard care among Kenyan women 18 to 30 years of age who were receiving preexposure prophylaxis against human immunodeficiency virus (HIV). The primary end point was any incident infection with Chlamydia trachomatis, Neisseria gonorrhoeae, or Treponema pallidum. Hair samples were collected quarterly for objective assessment of doxycycline use.\nRESULTS: A total of 449 participants underwent randomization; 224 were assigned to the doxycycline-PEP group and 225 to the standard-care group. Participants were followed quarterly over 12 months. A total of 109 incident STIs occurred (50 in the doxycycline-PEP group [25.1 per 100 person-years] and 59 in the standard-care group [29.0 per 100 person-years]), with no significant between-group difference in incidence (relative risk, 0.88; 95% confidence interval [CI], 0.60 to 1.29; P = 0.51). Among the 109 incident STIs, chlamydia accounted for 85 (78.0%) (35 in the doxycycline-PEP group and 50 in the standard-care group; relative risk, 0.73; 95% CI, 0.47 to 1.13). No serious adverse events were considered by the trial investigators to be related to doxycycline, and there were no incident HIV infections. Among 50 randomly selected participants in the doxycycline-PEP group, doxycycline was detected in 58 of 200 hair samples (29.0%). All N. gonorrhoeae-positive isolates were resistant to doxycycline.\nCONCLUSIONS: Among cisgender women, the incidence of STIs was not significantly lower with doxycycline PEP than with standard care. According to hair-sample analysis, the use of doxycycline PEP among those assigned to receive it was low. (Funded by the National Institutes of Health; dPEP ClinicalTrials.gov number, NCT04050540.).","container-title":"The New England Journal of Medicine","DOI":"10.1056/NEJMoa2304007","ISSN":"1533-4406","issue":"25","journalAbbreviation":"N Engl J Med","language":"eng","note":"PMID: 38118022\nPMCID: PMC10805625","page":"2331-2340","source":"PubMed","title":"Doxycycline Prophylaxis to Prevent Sexually Transmitted Infections in Women","volume":"389","author":[{"family":"Stewart","given":"Jenell"},{"family":"Oware","given":"Kevin"},{"family":"Donnell","given":"Deborah"},{"family":"Violette","given":"Lauren R."},{"family":"Odoyo","given":"Josephine"},{"family":"Soge","given":"Olusegun O."},{"family":"Scoville","given":"Caitlin W."},{"family":"Omollo","given":"Victor"},{"family":"Mogaka","given":"Felix O."},{"family":"Sesay","given":"Fredericka A."},{"family":"McClelland","given":"R. Scott"},{"family":"Spinelli","given":"Matthew"},{"family":"Gandhi","given":"Monica"},{"family":"Bukusi","given":"Elizabeth A."},{"family":"Baeten","given":"Jared M."},{"literal":"dPEP Kenya Study Team"}],"issued":{"date-parts":[["2023",12,21]]}}}],"schema":"https://github.com/citation-style-language/schema/raw/master/csl-citation.json"} </w:instrText>
      </w:r>
      <w:r w:rsidR="00A82B3B" w:rsidRPr="0092025F">
        <w:fldChar w:fldCharType="separate"/>
      </w:r>
      <w:r w:rsidR="003B7189">
        <w:rPr>
          <w:noProof/>
        </w:rPr>
        <w:t>[18]</w:t>
      </w:r>
      <w:r w:rsidR="00A82B3B" w:rsidRPr="0092025F">
        <w:fldChar w:fldCharType="end"/>
      </w:r>
      <w:r w:rsidR="00A82B3B" w:rsidRPr="0092025F">
        <w:t xml:space="preserve"> </w:t>
      </w:r>
      <w:r w:rsidRPr="0092025F">
        <w:t>ha</w:t>
      </w:r>
      <w:r w:rsidR="00211291" w:rsidRPr="0092025F">
        <w:t>s</w:t>
      </w:r>
      <w:r w:rsidRPr="0092025F">
        <w:t xml:space="preserve"> demonstrated its high efficacy in lowering the incidence of syphilis among MSM</w:t>
      </w:r>
      <w:r w:rsidR="00A82B3B" w:rsidRPr="0092025F">
        <w:t xml:space="preserve"> and cisgender women</w:t>
      </w:r>
      <w:r w:rsidR="005D77AD" w:rsidRPr="0092025F">
        <w:t xml:space="preserve">. </w:t>
      </w:r>
      <w:r w:rsidR="00370844" w:rsidRPr="0092025F">
        <w:t>Additionally</w:t>
      </w:r>
      <w:r w:rsidR="001B46FD" w:rsidRPr="0092025F">
        <w:t xml:space="preserve">, the implementation of doxy-PEP guidelines </w:t>
      </w:r>
      <w:r w:rsidR="003867E3" w:rsidRPr="0092025F">
        <w:t xml:space="preserve">in San Francisco, California, </w:t>
      </w:r>
      <w:r w:rsidR="001B46FD" w:rsidRPr="0092025F">
        <w:t xml:space="preserve">was linked to a decline in reported cases of early syphilis </w:t>
      </w:r>
      <w:r w:rsidR="005520F2" w:rsidRPr="0092025F">
        <w:t xml:space="preserve">among MSM and </w:t>
      </w:r>
      <w:r w:rsidR="00A95C03" w:rsidRPr="0092025F">
        <w:t xml:space="preserve">transgender women </w:t>
      </w:r>
      <w:r w:rsidR="001B46FD" w:rsidRPr="0092025F">
        <w:fldChar w:fldCharType="begin"/>
      </w:r>
      <w:r w:rsidR="003B7189">
        <w:instrText xml:space="preserve"> ADDIN ZOTERO_ITEM CSL_CITATION {"citationID":"uWCOrylf","properties":{"formattedCitation":"[19]","plainCitation":"[19]","noteIndex":0},"citationItems":[{"id":397,"uris":["http://zotero.org/users/9663344/items/PFNR5NPJ"],"itemData":{"id":397,"type":"article-journal","abstract":"Increasing rates of sexually transmitted infections (STIs) have been associated with rises in serious morbidity. While doxycycline postexposure prophylaxis (doxyPEP), a strategy in which individuals take doxycycline, 200 mg, after condomless sex to prevent bacterial STIs, has been shown to be efficacious in randomized clinical trials, doxyPEP’s potential effect on population-level STI incidence is unknown.To assess the association of citywide doxyPEP guideline release with reported chlamydia, gonorrhea, and early syphilis cases in men who have sex with men (MSM) and in transgender women in San Francisco, California.This population-level interrupted time series analysis of reported San Francisco STI cases measured monthly cases of chlamydia, gonorrhea, and early syphilis prior to (July 2021-October 2022) and after (November 2022-November 2023) release of citywide doxyPEP guidelines in October 2022. All reported chlamydia, gonorrhea, and early syphilis cases among MSM and transgender women in San Francisco during the period of analysis were included. Data were analyzed November 2023 to July 2024.Release of doxyPEP citywide guidelines.The primary outcome was the percentage change between projected and observed chlamydia, gonorrhea, and early syphilis cases in the 13-month postexposure period.Citywide, there were 6694 cases of chlamydia, 9603 cases of gonorrhea, and 2121 cases of early syphilis among MSM and transgender women during the analytic period. STI cases among MSM and transgender women decreased significantly compared with model projections for chlamydia (−6.58% per month; 95% CI, −7.99% to −5.16%) and early syphilis (−2.68% per month; 95% CI, −3.75% to −1.60%) after doxyPEP implementation. By the end of the 13-month postperiod in November 2023, chlamydia and early syphilis cases decreased −49.64% (95% CI, −59.05% to −38.06%) and −51.39% (95% CI, −58.21% to −43.46%), respectively, compared with projected cases. There was a significant increase in monthly gonorrhea cases compared with projections (1.77% per month; 95% CI, 0.87% to 2.67%).This study suggests that San Francisco’s doxyPEP guideline release was associated with decreases in reported cases of chlamydia and early syphilis, but not gonorrhea, among MSM and transgender women in San Francisco. Further analyses are needed to assess whether declines are sustained and monitor for adverse consequences, including antimicrobial resistance. Supporting doxyPEP implementation for MSM and transgender women at risk for STIs could have a significant impact on the nationwide STI epidemic.","container-title":"JAMA Internal Medicine","DOI":"10.1001/jamainternmed.2024.7178","ISSN":"2168-6106","journalAbbreviation":"JAMA Internal Medicine","source":"Silverchair","title":"Doxycycline Postexposure Prophylaxis and Sexually Transmitted Infection Trends","URL":"https://doi.org/10.1001/jamainternmed.2024.7178","author":[{"family":"Sankaran","given":"Madeline"},{"family":"Glidden","given":"David V."},{"family":"Kohn","given":"Robert P."},{"family":"Nguyen","given":"Trang Q."},{"family":"Bacon","given":"Oliver"},{"family":"Buchbinder","given":"Susan P."},{"family":"Gandhi","given":"Monica"},{"family":"Havlir","given":"Diane V."},{"family":"Liebi","given":"Courtney"},{"family":"Luetkemeyer","given":"Anne F."},{"family":"Nguyen","given":"Janet Q."},{"family":"Roman","given":"Jorge"},{"family":"Scott","given":"Hyman"},{"family":"Torres","given":"Thiago S."},{"family":"Cohen","given":"Stephanie E."}],"accessed":{"date-parts":[["2025",2,9]]},"issued":{"date-parts":[["2025",1,6]]}}}],"schema":"https://github.com/citation-style-language/schema/raw/master/csl-citation.json"} </w:instrText>
      </w:r>
      <w:r w:rsidR="001B46FD" w:rsidRPr="0092025F">
        <w:fldChar w:fldCharType="separate"/>
      </w:r>
      <w:r w:rsidR="003B7189">
        <w:rPr>
          <w:noProof/>
        </w:rPr>
        <w:t>[19]</w:t>
      </w:r>
      <w:r w:rsidR="001B46FD" w:rsidRPr="0092025F">
        <w:fldChar w:fldCharType="end"/>
      </w:r>
      <w:r w:rsidR="002861C7" w:rsidRPr="0092025F">
        <w:t xml:space="preserve">. </w:t>
      </w:r>
      <w:r w:rsidR="00E37098" w:rsidRPr="0092025F">
        <w:t>A retrospective cohort study at Kaiser Permanente Northern California</w:t>
      </w:r>
      <w:r w:rsidR="009C5758" w:rsidRPr="0092025F">
        <w:t xml:space="preserve"> </w:t>
      </w:r>
      <w:r w:rsidR="00E37098" w:rsidRPr="0092025F">
        <w:t xml:space="preserve">further found that doxy-PEP use was linked to significant reductions in syphilis incidence among </w:t>
      </w:r>
      <w:r w:rsidR="005412D7" w:rsidRPr="0092025F">
        <w:t xml:space="preserve">HIV </w:t>
      </w:r>
      <w:r w:rsidR="00ED6FFD" w:rsidRPr="0092025F">
        <w:t>pre-exposure prophylaxis (PrEP)</w:t>
      </w:r>
      <w:r w:rsidR="00E37098" w:rsidRPr="0092025F">
        <w:t xml:space="preserve"> users</w:t>
      </w:r>
      <w:r w:rsidR="005412D7" w:rsidRPr="0092025F">
        <w:t xml:space="preserve"> </w:t>
      </w:r>
      <w:r w:rsidR="005412D7" w:rsidRPr="0092025F">
        <w:fldChar w:fldCharType="begin"/>
      </w:r>
      <w:r w:rsidR="003B7189">
        <w:instrText xml:space="preserve"> ADDIN ZOTERO_ITEM CSL_CITATION {"citationID":"WwVqnZUS","properties":{"formattedCitation":"[20]","plainCitation":"[20]","noteIndex":0},"citationItems":[{"id":399,"uris":["http://zotero.org/users/9663344/items/MTJW2Y3G"],"itemData":{"id":399,"type":"article-journal","abstract":"Doxycycline postexposure prophylaxis (doxyPEP) has been shown to decrease the incidence of bacterial sexually transmitted infections (STIs) among people assigned male sex at birth in clinical trials, but data from clinical practice are limited.To describe early uptake of doxyPEP and evaluate changes in STI incidence following doxyPEP initiation.This retrospective cohort study of adults (aged ≥18 years) dispensed HIV preexposure prophylaxis (PrEP) at Kaiser Permanente Northern California during November 1, 2022, to December 31, 2023, examined electronic health record data to compare HIV PrEP users dispensed and not dispensed doxyPEP and rates of bacterial STIs before and after starting doxyPEP. Individuals were followed up from their first recorded STI test on or after November 1, 2020, until December 31, 2023, or discontinuation of health plan membership.Pharmacy dispensing data were used to define doxyPEP recipients.Demographic and clinical characteristics were compared between individuals dispensed and not dispensed doxyPEP. Primary outcomes were incident chlamydia, gonorrhea, or infectious syphilis measured as quarterly STI positivity (proportion of individuals testing positive at least once per quarter). Among doxyPEP recipients, rate ratios (RRs) compared mean quarterly STI positivity from 24 months before to 12 months after starting doxyPEP. In an exploratory analysis, STI trends were evaluated for the full cohort, stratified by receipt of doxyPEP.Among 11 551 HIV PrEP users (mean [SD] age, 39.9 [12.1] years; 95.1% male), 2253 (19.5%) were dispensed doxyPEP, of whom 2228 (98.9%) were male and 1096 (48.6%) had an STI in the year before starting doxyPEP. Compared with individuals not dispensed doxyPEP, doxyPEP recipients were older (mean [SD] age, 40.4 [10.8] vs 39.8 [12.4] years; P = .04) and had used HIV PrEP longer (mean [SD], 4.2 [2.8] vs 3.4 [2.6] years; P &amp;lt; .001), and a higher proportion were commercially insured (2091 [92.8%] vs 8270 [88.9%]; P &amp;lt; .001). Among doxyPEP recipients, quarterly chlamydia positivity decreased from 9.6% (95% CI, 9.0%-10.3%) before starting doxyPEP to 2.0% (95% CI, 1.5%-2.6%) after starting doxyPEP (RR, 0.21; 95% CI, 0.16-0.27; P &amp;lt; .001), with significant declines for each anatomic site of infection. Quarterly gonorrhea positivity decreased from 10.2% (95% CI, 9.6%-10.9%) before starting doxyPEP to 9.0% (95% CI, 8.0%-10.1%) after starting doxyPEP (RR, 0.88; 95% CI, 0.77-1.00; P = .048); site-specific declines were significant for rectal (RR, 0.81; 95% CI, 0.67-0.97; P = .02) and urethral (RR, 0.56; 95% CI, 0.40-0.79; P = .001) gonorrhea, but not pharyngeal gonorrhea. Quarterly syphilis positivity decreased from 1.7% (95% CI, 1.4%-1.9%) before starting doxyPEP to 0.3% (95% CI, 0.2%-0.6%) after starting doxyPEP (RR, 0.20; 95% CI, 0.11-0.37; P &amp;lt; .001). Positivity for STIs remained stable in individuals not dispensed doxyPEP.This study found that receipt of doxyPEP was associated with substantial declines in chlamydia and syphilis incidence and modest declines in urethral and rectal gonorrhea incidence among individuals using HIV PrEP. These findings suggest that doxyPEP may offer substantial benefits for reducing population-level STI transmission with broader implementation.","container-title":"JAMA Internal Medicine","DOI":"10.1001/jamainternmed.2024.7186","ISSN":"2168-6106","journalAbbreviation":"JAMA Internal Medicine","source":"Silverchair","title":"Doxycycline Postexposure Prophylaxis and Bacterial Sexually Transmitted Infections Among Individuals Using HIV Preexposure Prophylaxis","URL":"https://doi.org/10.1001/jamainternmed.2024.7186","author":[{"family":"Traeger","given":"Michael W."},{"family":"Leyden","given":"Wendy A."},{"family":"Volk","given":"Jonathan E."},{"family":"Silverberg","given":"Michael J."},{"family":"Horberg","given":"Michael A."},{"family":"Davis","given":"Teaniese L."},{"family":"Mayer","given":"Kenneth H."},{"family":"Krakower","given":"Douglas S."},{"family":"Young","given":"Jessica G."},{"family":"Jenness","given":"Samuel M."},{"family":"Marcus","given":"Julia L."}],"accessed":{"date-parts":[["2025",2,9]]},"issued":{"date-parts":[["2025",1,6]]}}}],"schema":"https://github.com/citation-style-language/schema/raw/master/csl-citation.json"} </w:instrText>
      </w:r>
      <w:r w:rsidR="005412D7" w:rsidRPr="0092025F">
        <w:fldChar w:fldCharType="separate"/>
      </w:r>
      <w:r w:rsidR="003B7189">
        <w:rPr>
          <w:noProof/>
        </w:rPr>
        <w:t>[20]</w:t>
      </w:r>
      <w:r w:rsidR="005412D7" w:rsidRPr="0092025F">
        <w:fldChar w:fldCharType="end"/>
      </w:r>
      <w:r w:rsidR="00E37098" w:rsidRPr="0092025F">
        <w:t xml:space="preserve">. </w:t>
      </w:r>
      <w:r w:rsidR="005D77AD" w:rsidRPr="0092025F">
        <w:t>Ongoing studies in Canada and Australia aim to further evaluate its effectiveness and broader implications</w:t>
      </w:r>
      <w:r w:rsidR="00096D4A" w:rsidRPr="0092025F">
        <w:t xml:space="preserve"> </w:t>
      </w:r>
      <w:r w:rsidR="00096D4A" w:rsidRPr="0092025F">
        <w:fldChar w:fldCharType="begin"/>
      </w:r>
      <w:r w:rsidR="003B7189">
        <w:instrText xml:space="preserve"> ADDIN ZOTERO_ITEM CSL_CITATION {"citationID":"3BRTuGqV","properties":{"formattedCitation":"[21], [22]","plainCitation":"[21], [22]","noteIndex":0},"citationItems":[{"id":388,"uris":["http://zotero.org/users/9663344/items/VLL9BCGH"],"itemData":{"id":388,"type":"article-journal","abstract":"Bacterial sexually transmitted infections (STIs) have been increasing over the past 2 decades in gay, bisexual, and other men who have sex with men. With the widespread use of early human immunodeficiency virus (HIV) treatment, which virtually eliminates transmission risk, and the availability of HIV pre-exposure prophylaxis, there have been attitudinal changes regarding HIV infection with resultant increases in sexual contact and declines in condom use. Doxycycline is used for primary prophylaxis in a number of infectious diseases. We conducted a state-of-the-art review to examine the current state of research, knowledge gaps, and challenges around the use of doxycycline prophylaxis to prevent syphilis and other STIs. International academic and government experts met in March 2019 to frame the initial inquiry, which was supplemented by focused literature searches. Two small short-term randomized controlled trials examining doxycycline prophylaxis found high efficacy. Five additional clinical studies are underway or in development. Studies differed in design, population, outcomes, and safety measures. Doxycycline prophylaxis for bacterial STIs shows promise. Better and more robust data are needed on efficacy; target population; community acceptability; behavioral risk compensation; doxycycline dose, regimen, and formulation; long-term safety; antimicrobial resistance; cost-effectiveness; and risk–benefit.","container-title":"Clinical Infectious Diseases","DOI":"10.1093/cid/ciz866","ISSN":"1058-4838","issue":"6","journalAbbreviation":"Clinical Infectious Diseases","page":"1247-1253","source":"Silverchair","title":"Doxycycline Prophylaxis for Bacterial Sexually Transmitted Infections","volume":"70","author":[{"family":"Grant","given":"Juliana S"},{"family":"Stafylis","given":"Chrysovalantis"},{"family":"Celum","given":"Connie"},{"family":"Grennan","given":"Troy"},{"family":"Haire","given":"Bridget"},{"family":"Kaldor","given":"John"},{"family":"Luetkemeyer","given":"Anne F"},{"family":"Saunders","given":"John M"},{"family":"Molina","given":"Jean-Michel"},{"family":"Klausner","given":"Jeffrey D"}],"issued":{"date-parts":[["2020",3,3]]}}},{"id":396,"uris":["http://zotero.org/users/9663344/items/8PMTAJBP"],"itemData":{"id":396,"type":"article-journal","abstract":"Over the past 2 decades, cases of sexually transmitted infections (STIs) from syphilis, gonorrhea, and chlamydia have been rising in the United States, disproportionately among gay, bisexual, and other men who have sex with men, as well as racial and ethnic minorities of all genders. In this review, we address updates about the evidence on doxycycline postexposure prophylaxis for prevention of bacterial STIs, including efficacy, safety, antimicrobial resistance, acceptability, modeling population impact, and evolving guidelines for use. Equitable implementation of doxycycline postexposure prophylaxis will require evaluation of who is offered and initiates it, understanding patterns of use and longer term STI incidence and antimicrobial resistance, provider training, and tailored community education.","container-title":"Clinical Infectious Diseases","DOI":"10.1093/cid/ciae062","ISSN":"1058-4838","journalAbbreviation":"Clinical Infectious Diseases","page":"ciae062","source":"Silverchair","title":"Filling in the Gaps: Updates on Doxycycline Prophylaxis for Bacterial Sexually Transmitted Infections","title-short":"Filling in the Gaps","author":[{"family":"Hazra","given":"Aniruddha"},{"family":"McNulty","given":"Moira C"},{"family":"Pyra","given":"Maria"},{"family":"Pagkas-Bather","given":"Jade"},{"family":"Gutierrez","given":"Jose I"},{"family":"Pickett","given":"Jim"},{"family":"Stewart","given":"Jenell"},{"family":"Bolan","given":"Robert K"},{"family":"Molina","given":"Jean-Michel"},{"family":"Celum","given":"Connie"},{"family":"Luetkemeyer","given":"Anne F"},{"family":"Klausner","given":"Jeffrey D"}],"issued":{"date-parts":[["2024",2,9]]}}}],"schema":"https://github.com/citation-style-language/schema/raw/master/csl-citation.json"} </w:instrText>
      </w:r>
      <w:r w:rsidR="00096D4A" w:rsidRPr="0092025F">
        <w:fldChar w:fldCharType="separate"/>
      </w:r>
      <w:r w:rsidR="003B7189">
        <w:rPr>
          <w:noProof/>
        </w:rPr>
        <w:t>[21], [22]</w:t>
      </w:r>
      <w:r w:rsidR="00096D4A" w:rsidRPr="0092025F">
        <w:fldChar w:fldCharType="end"/>
      </w:r>
      <w:r w:rsidRPr="0092025F">
        <w:t>.</w:t>
      </w:r>
      <w:r w:rsidR="00BF5C85" w:rsidRPr="0092025F">
        <w:t xml:space="preserve"> </w:t>
      </w:r>
      <w:r w:rsidR="00F665A1" w:rsidRPr="0092025F">
        <w:t xml:space="preserve">Moreover, a </w:t>
      </w:r>
      <w:r w:rsidR="00B76E1B" w:rsidRPr="0092025F">
        <w:t>preli</w:t>
      </w:r>
      <w:r w:rsidR="0075145D" w:rsidRPr="0092025F">
        <w:t>minary</w:t>
      </w:r>
      <w:r w:rsidR="00B76E1B" w:rsidRPr="0092025F">
        <w:t xml:space="preserve"> </w:t>
      </w:r>
      <w:r w:rsidR="00F665A1" w:rsidRPr="0092025F">
        <w:t>m</w:t>
      </w:r>
      <w:r w:rsidR="0004249C" w:rsidRPr="0092025F">
        <w:t>odelling stud</w:t>
      </w:r>
      <w:r w:rsidR="00F665A1" w:rsidRPr="0092025F">
        <w:t>y</w:t>
      </w:r>
      <w:r w:rsidR="0004249C" w:rsidRPr="0092025F">
        <w:t xml:space="preserve"> indicate</w:t>
      </w:r>
      <w:r w:rsidR="00F665A1" w:rsidRPr="0092025F">
        <w:t>s</w:t>
      </w:r>
      <w:r w:rsidR="0004249C" w:rsidRPr="0092025F">
        <w:t xml:space="preserve"> that doxy-PEP could have a significant impact on reducing bacterial STI incidence. An analysis of electronic health records estimated that implementing doxy-PEP for individuals with bacterial STIs, particularly those with concurrent or recurrent infections, could substantially lower overall STI rates among gay, bisexual, and other men who have sex with men (GBM), transgender women, and nonbinary individuals assigned male at birth who accessed STI testing at a community health centre </w:t>
      </w:r>
      <w:r w:rsidR="00597BA4" w:rsidRPr="0092025F">
        <w:t>in Boston, Ma</w:t>
      </w:r>
      <w:r w:rsidR="007F4E48" w:rsidRPr="0092025F">
        <w:t xml:space="preserve">ssachusetts </w:t>
      </w:r>
      <w:r w:rsidR="00044A68" w:rsidRPr="0092025F">
        <w:fldChar w:fldCharType="begin"/>
      </w:r>
      <w:r w:rsidR="003B7189">
        <w:instrText xml:space="preserve"> ADDIN ZOTERO_ITEM CSL_CITATION {"citationID":"Qh5bNSMC","properties":{"formattedCitation":"[23]","plainCitation":"[23]","noteIndex":0},"citationItems":[{"id":383,"uris":["http://zotero.org/users/9663344/items/GVDWMHDY"],"itemData":{"id":383,"type":"article-journal","abstract":"Doxycycline post-exposure prophylaxis (doxyPEP) reduces bacterial sexually transmitted infection (STI) incidence in people with HIV (PWH) or using HIV pre-exposure prophylaxis (PrEP). Given concerns about widespread antibiotic use, we identified doxyPEP prescribing strategies to minimize use while maximizing impact on STIs.We used electronic health records of gay and bisexual men (GBM), transgender women, and nonbinary people assigned male sex at birth with ≥2 STI tests (chlamydia, gonorrhea, syphilis) at an LGBTQ-focused health center during 2015–2020. We defined 10 hypothetical doxyPEP prescribing strategies based on PrEP use, HIV status, or STI history. We estimated doxyPEP use and STI diagnoses averted in counterfactual scenarios in which people meeting prescribing criteria received doxyPEP, assuming STI rates during use would have been reduced by clinical trial efficacy estimates.Among 10 546 individuals (94% GBM), rate of any STI was 35.9/100 person-years. Prescribing doxyPEP to all individuals would have averted 71% of STI diagnoses (number needed to treat for one year to avert one STI diagnosis [NNT] = 3.9); prescribing to PrEP users/PWH (52%/12% of individuals) would have averted 60% of STI diagnoses (NNT = 2.9). Prescribing doxyPEP for 12 months after STI diagnosis would have reduced the proportion using doxyPEP to 38% and averted 39% of STI diagnoses (NNT = 2.4). Prescribing after concurrent or repeated STIs maximized efficiency (lowest NNTs) but prevented fewer STIs.Prescribing doxyPEP to individuals with STIs, particularly concurrent or repeated STIs, could avert a substantial proportion of all STI diagnoses. The most efficient prescribing strategies are based on STI history rather than HIV status or PrEP use.","container-title":"Clinical Infectious Diseases","DOI":"10.1093/cid/ciad488","ISSN":"1058-4838","journalAbbreviation":"Clinical Infectious Diseases","page":"ciad488","source":"Silverchair","title":"Potential Impact of Doxycycline Post-exposure Prophylaxis Prescribing Strategies on Incidence of Bacterial Sexually Transmitted Infections","author":[{"family":"Traeger","given":"Michael W"},{"family":"Mayer","given":"Kenneth H"},{"family":"Krakower","given":"Douglas S"},{"family":"Gitin","given":"Sy"},{"family":"Jenness","given":"Samuel M"},{"family":"Marcus","given":"Julia L"}],"issued":{"date-parts":[["2023",8,18]]}}}],"schema":"https://github.com/citation-style-language/schema/raw/master/csl-citation.json"} </w:instrText>
      </w:r>
      <w:r w:rsidR="00044A68" w:rsidRPr="0092025F">
        <w:fldChar w:fldCharType="separate"/>
      </w:r>
      <w:r w:rsidR="003B7189">
        <w:rPr>
          <w:noProof/>
        </w:rPr>
        <w:t>[23]</w:t>
      </w:r>
      <w:r w:rsidR="00044A68" w:rsidRPr="0092025F">
        <w:fldChar w:fldCharType="end"/>
      </w:r>
      <w:r w:rsidR="00C931E4" w:rsidRPr="0092025F">
        <w:t>.</w:t>
      </w:r>
    </w:p>
    <w:p w14:paraId="45AAA514" w14:textId="4193184C" w:rsidR="00285F0F" w:rsidRPr="0092025F" w:rsidRDefault="00285F0F" w:rsidP="0060134A">
      <w:pPr>
        <w:pStyle w:val="NormalWeb"/>
        <w:spacing w:line="276" w:lineRule="auto"/>
        <w:jc w:val="both"/>
      </w:pPr>
      <w:r w:rsidRPr="0092025F">
        <w:t xml:space="preserve">International studies have examined the acceptability and usage of doxy-PEP among MSM. In Australia, a survey found that 75.8% of participants viewed doxy-PEP as an acceptable STI </w:t>
      </w:r>
      <w:r w:rsidRPr="0092025F">
        <w:lastRenderedPageBreak/>
        <w:t xml:space="preserve">prevention strategy, with 7.5% reporting prior antibiotic use for this purpose </w:t>
      </w:r>
      <w:r w:rsidRPr="0092025F">
        <w:fldChar w:fldCharType="begin"/>
      </w:r>
      <w:r w:rsidR="003B7189">
        <w:instrText xml:space="preserve"> ADDIN ZOTERO_ITEM CSL_CITATION {"citationID":"603WbVSf","properties":{"formattedCitation":"[24]","plainCitation":"[24]","noteIndex":0},"citationItems":[{"id":428,"uris":["http://zotero.org/users/9663344/items/8RIMPTL6"],"itemData":{"id":428,"type":"article-journal","abstract":"BACKGROUND: There is growing interest in novel sexually transmissible infection (STI) prevention strategies, including doxycycline postexposure prophylaxis (doxy-PEP). We assessed interest in doxy-PEP and other STI prevention strategies among gay and bisexual men and nonbinary people in Australia, as well as prior antibiotic use for STI prevention, and knowledge of antimicrobial resistance (AMR).\nMETHODS: We conducted a national, online survey in June to July 2023. Multivariable logistic regression was used to identify factors associated with the acceptability of doxy-PEP.\nRESULTS: Of 2046 participants, 26.9% had been diagnosed with an STI in the previous year. Condoms were rated as an acceptable STI prevention strategy by 45.1% of the sample, STI preexposure prophylaxis by 54.0%, and doxy-PEP by 75.8%. Previous antibiotic use for STI prevention was reported by 7.5% of the sample, and 2.6% were currently using antibiotics for STI prevention. Over half the sample (62.1%) had some knowledge of AMR. Of those who knew something about AMR, 76.2% were concerned about it. Interest in using doxy-PEP was independently associated with previous use of antibiotics for STI prevention (adjusted odds ratio, 3.09; 95% confidence interval, 1.78-5.35; P &lt; 0.001), whereas those who were concerned about AMR were less interested in it (adjusted odds ratio, 0.51; 95% confidence interval, 0.36-0.72; P &lt; 0.001).\nCONCLUSIONS: Doxycycline postexposure prophylaxis was highly acceptable to gay and bisexual men and nonbinary people in Australia, and few factors distinguished between interest in using it or not. We recommend community and professional discussion and education about the effective use of doxy-PEP, AMR, and who would most benefit from doxy-PEP.","container-title":"Sexually Transmitted Diseases","DOI":"10.1097/OLQ.0000000000002079","ISSN":"1537-4521","issue":"2","journalAbbreviation":"Sex Transm Dis","language":"eng","note":"PMID: 39316034\nPMCID: PMC11723483","page":"73-80","source":"PubMed","title":"Acceptability of Doxycycline Prophylaxis, Prior Antibiotic Use, and Knowledge of Antimicrobial Resistance Among Australian Gay and Bisexual Men and Nonbinary People","volume":"52","author":[{"family":"Holt","given":"Martin"},{"family":"Bavinton","given":"Benjamin R."},{"family":"Calabrese","given":"Sarah K."},{"family":"Broady","given":"Timothy R."},{"family":"Clackett","given":"Shawn"},{"family":"Cornelisse","given":"Vincent J."},{"family":"Yu","given":"Simin"},{"family":"Gordon","given":"Tina"},{"family":"Heath-Paynter","given":"Dash"},{"family":"Wit","given":"John B. F.","non-dropping-particle":"de"},{"family":"MacGibbon","given":"James"}],"issued":{"date-parts":[["2025",2,1]]}}}],"schema":"https://github.com/citation-style-language/schema/raw/master/csl-citation.json"} </w:instrText>
      </w:r>
      <w:r w:rsidRPr="0092025F">
        <w:fldChar w:fldCharType="separate"/>
      </w:r>
      <w:r w:rsidR="003B7189">
        <w:rPr>
          <w:noProof/>
        </w:rPr>
        <w:t>[24]</w:t>
      </w:r>
      <w:r w:rsidRPr="0092025F">
        <w:fldChar w:fldCharType="end"/>
      </w:r>
      <w:r w:rsidRPr="0092025F">
        <w:t xml:space="preserve">. By comparison, condoms were considered acceptable by 45.1% of respondents, while STI PrEP was rated acceptable by 54.0% </w:t>
      </w:r>
      <w:r w:rsidRPr="0092025F">
        <w:fldChar w:fldCharType="begin"/>
      </w:r>
      <w:r w:rsidR="003B7189">
        <w:instrText xml:space="preserve"> ADDIN ZOTERO_ITEM CSL_CITATION {"citationID":"O4EfEO8J","properties":{"formattedCitation":"[24]","plainCitation":"[24]","noteIndex":0},"citationItems":[{"id":428,"uris":["http://zotero.org/users/9663344/items/8RIMPTL6"],"itemData":{"id":428,"type":"article-journal","abstract":"BACKGROUND: There is growing interest in novel sexually transmissible infection (STI) prevention strategies, including doxycycline postexposure prophylaxis (doxy-PEP). We assessed interest in doxy-PEP and other STI prevention strategies among gay and bisexual men and nonbinary people in Australia, as well as prior antibiotic use for STI prevention, and knowledge of antimicrobial resistance (AMR).\nMETHODS: We conducted a national, online survey in June to July 2023. Multivariable logistic regression was used to identify factors associated with the acceptability of doxy-PEP.\nRESULTS: Of 2046 participants, 26.9% had been diagnosed with an STI in the previous year. Condoms were rated as an acceptable STI prevention strategy by 45.1% of the sample, STI preexposure prophylaxis by 54.0%, and doxy-PEP by 75.8%. Previous antibiotic use for STI prevention was reported by 7.5% of the sample, and 2.6% were currently using antibiotics for STI prevention. Over half the sample (62.1%) had some knowledge of AMR. Of those who knew something about AMR, 76.2% were concerned about it. Interest in using doxy-PEP was independently associated with previous use of antibiotics for STI prevention (adjusted odds ratio, 3.09; 95% confidence interval, 1.78-5.35; P &lt; 0.001), whereas those who were concerned about AMR were less interested in it (adjusted odds ratio, 0.51; 95% confidence interval, 0.36-0.72; P &lt; 0.001).\nCONCLUSIONS: Doxycycline postexposure prophylaxis was highly acceptable to gay and bisexual men and nonbinary people in Australia, and few factors distinguished between interest in using it or not. We recommend community and professional discussion and education about the effective use of doxy-PEP, AMR, and who would most benefit from doxy-PEP.","container-title":"Sexually Transmitted Diseases","DOI":"10.1097/OLQ.0000000000002079","ISSN":"1537-4521","issue":"2","journalAbbreviation":"Sex Transm Dis","language":"eng","note":"PMID: 39316034\nPMCID: PMC11723483","page":"73-80","source":"PubMed","title":"Acceptability of Doxycycline Prophylaxis, Prior Antibiotic Use, and Knowledge of Antimicrobial Resistance Among Australian Gay and Bisexual Men and Nonbinary People","volume":"52","author":[{"family":"Holt","given":"Martin"},{"family":"Bavinton","given":"Benjamin R."},{"family":"Calabrese","given":"Sarah K."},{"family":"Broady","given":"Timothy R."},{"family":"Clackett","given":"Shawn"},{"family":"Cornelisse","given":"Vincent J."},{"family":"Yu","given":"Simin"},{"family":"Gordon","given":"Tina"},{"family":"Heath-Paynter","given":"Dash"},{"family":"Wit","given":"John B. F.","non-dropping-particle":"de"},{"family":"MacGibbon","given":"James"}],"issued":{"date-parts":[["2025",2,1]]}}}],"schema":"https://github.com/citation-style-language/schema/raw/master/csl-citation.json"} </w:instrText>
      </w:r>
      <w:r w:rsidRPr="0092025F">
        <w:fldChar w:fldCharType="separate"/>
      </w:r>
      <w:r w:rsidR="003B7189">
        <w:rPr>
          <w:noProof/>
        </w:rPr>
        <w:t>[24]</w:t>
      </w:r>
      <w:r w:rsidRPr="0092025F">
        <w:fldChar w:fldCharType="end"/>
      </w:r>
      <w:r w:rsidRPr="0092025F">
        <w:t xml:space="preserve">. Similarly, a </w:t>
      </w:r>
      <w:r w:rsidR="000F474F" w:rsidRPr="0092025F">
        <w:t>US</w:t>
      </w:r>
      <w:r w:rsidRPr="0092025F">
        <w:t xml:space="preserve"> study revealed that 84% of participants were interested in trying doxy-PEP, and 13% had used it within the past year </w:t>
      </w:r>
      <w:r w:rsidRPr="0092025F">
        <w:fldChar w:fldCharType="begin"/>
      </w:r>
      <w:r w:rsidR="003B7189">
        <w:instrText xml:space="preserve"> ADDIN ZOTERO_ITEM CSL_CITATION {"citationID":"zoPRMg6O","properties":{"formattedCitation":"[25], [26]","plainCitation":"[25], [26]","noteIndex":0},"citationItems":[{"id":425,"uris":["http://zotero.org/users/9663344/items/6698QW4S"],"itemData":{"id":425,"type":"article-journal","abstract":"Current strategies to prevent sexually transmitted infections (STIs) are not controlling the epidemic. The efficacy of doxycycline STI postexposure prophylaxis shows promise in pilot studies, but wider acceptability is unknown. A majority (84%) of diverse individuals using a gay social networking application were interested in doxycycline STI postexposure prophylaxis. Doxycycline STI postexposure prophylaxis should be examined in larger trials.","container-title":"Sexually Transmitted Diseases","DOI":"10.1097/OLQ.0000000000000942","ISSN":"1537-4521","issue":"4","journalAbbreviation":"Sex Transm Dis","language":"eng","note":"PMID: 30870327\nPMCID: PMC6425754","page":"e32-e34","source":"PubMed","title":"High Interest in Doxycycline for Sexually Transmitted Infection Postexposure Prophylaxis in a Multicity Survey of Men Who Have Sex With Men Using a Social Networking Application","volume":"46","author":[{"family":"Spinelli","given":"Matthew A."},{"family":"Scott","given":"Hyman M."},{"family":"Vittinghoff","given":"Eric"},{"family":"Liu","given":"Albert Y."},{"family":"Coleman","given":"Kenneth"},{"family":"Buchbinder","given":"Susan P."}],"issued":{"date-parts":[["2019",4]]}}},{"id":430,"uris":["http://zotero.org/users/9663344/items/C9TZYUQW"],"itemData":{"id":430,"type":"article-journal","abstract":"Background \n          Doxycycline used as postexposure prophylaxis (doxyPEP) within 72 hours of sex reduces the risk of bacterial sexually transmitted infections (STIs) in people assigned male sex at birth. Little is known about current use of antibiotics as STI prophylaxis in US populations likely to benefit from doxyPEP.\n          Methods \n          We conducted an online survey in September 2023 of US adults recruited via sexual networking apps used mainly by gay and bisexual men (GBM). Respondents were asked about the use of antibiotics around the time of sex to prevent bacterial STIs.\n          Results \n          Of 903 respondents, most (96.2%) identified as GBM; 19.0% were living with HIV and 42.5% were using HIV preexposure prophylaxis (PrEP). Half (49.1%) had heard of using antibiotics to prevent STIs, and 95.6% were interested in use. Overall, 21.0% had used antibiotic STI prophylaxis, and 15.9% had done so in the past year. Among those reporting any use, most (78.1%) had used doxycycline; some used amoxicillin (16.7%), azithromycin (14.5%), or other antibiotics (14.1%). Among those reporting use in the past year, 46.9% used it for some, 28.1% for most, and 25.0% for all sex acts with casual partners during that period. Most (78.3%) of STI prophylaxis users reported their condom use did not change during periods of STI prophylaxis use, 17.2% indicated their condom use declined, and 4.5% indicated their condom use increased. For doxyPEP specifically, 35.7% had heard of it, and 13.0% had used it in the past year, of whom 21.0% had used a dosage other than the 200-mg dose shown to be effective.\n          Conclusions \n          In this sample of primarily GBM, interest in bacterial STI prophylaxis was nearly universal. However, some of the use was not informed by current clinical guidance or evidence from research studies. Efforts are needed to increase awareness of effective dosing and monitor real-world use.","container-title":"Sexually Transmitted Diseases","DOI":"10.1097/OLQ.0000000000002061","ISSN":"0148-5717","issue":"12","language":"en-US","page":"763","source":"journals.lww.com","title":"Use of Doxycycline and Other Antibiotics as Bacterial Sexually Transmitted Infection Prophylaxis in a US Sample of Primarily Gay and Bisexual Men","volume":"51","author":[{"family":"Traeger","given":"Michael W."},{"family":"Krakower","given":"Douglas S."},{"family":"Mayer","given":"Kenneth H."},{"family":"Jenness","given":"Samuel M."},{"family":"Marcus","given":"Julia L."}],"issued":{"date-parts":[["2024",12]]}}}],"schema":"https://github.com/citation-style-language/schema/raw/master/csl-citation.json"} </w:instrText>
      </w:r>
      <w:r w:rsidRPr="0092025F">
        <w:fldChar w:fldCharType="separate"/>
      </w:r>
      <w:r w:rsidR="003B7189">
        <w:rPr>
          <w:noProof/>
        </w:rPr>
        <w:t>[25], [26]</w:t>
      </w:r>
      <w:r w:rsidRPr="0092025F">
        <w:fldChar w:fldCharType="end"/>
      </w:r>
      <w:r w:rsidRPr="0092025F">
        <w:t>.</w:t>
      </w:r>
    </w:p>
    <w:p w14:paraId="5A2B3507" w14:textId="119FD72B" w:rsidR="00986523" w:rsidRPr="00CD1BB4" w:rsidRDefault="00581C40" w:rsidP="00CD1BB4">
      <w:pPr>
        <w:pStyle w:val="NormalWeb"/>
        <w:spacing w:line="276" w:lineRule="auto"/>
        <w:jc w:val="both"/>
      </w:pPr>
      <w:r w:rsidRPr="00CD1BB4">
        <w:t xml:space="preserve">Despite over five decades of doxycycline use without reported resistance in </w:t>
      </w:r>
      <w:r w:rsidRPr="00CD1BB4">
        <w:rPr>
          <w:rStyle w:val="Emphasis"/>
          <w:rFonts w:eastAsiaTheme="majorEastAsia"/>
        </w:rPr>
        <w:t xml:space="preserve">Treponema pallidum </w:t>
      </w:r>
      <w:r w:rsidR="00986523" w:rsidRPr="00CD1BB4">
        <w:fldChar w:fldCharType="begin"/>
      </w:r>
      <w:r w:rsidR="00986523" w:rsidRPr="00CD1BB4">
        <w:instrText xml:space="preserve"> ADDIN ZOTERO_ITEM CSL_CITATION {"citationID":"jPSpR8SX","properties":{"formattedCitation":"[27], [28]","plainCitation":"[27], [28]","noteIndex":0},"citationItems":[{"id":377,"uris":["http://zotero.org/users/9663344/items/X7W342T2"],"itemData":{"id":377,"type":"article-journal","abstract":"The Chlamydiaceae are widespread pathogens of both humans and animals. Chlamydia trachomatis infection causes blinding trachoma and reproductive complications in humans. Chlamydia pneumoniae causes human respiratory tract infections and atypical pneumonia. Chlamydia suis infection is associated with conjunctivitis, diarrhea, and failure to gain weight in domestic swine. Chlamydial infections in humans and domesticated animals are generally controlled by antibiotic treatment-particularly macrolides (usually azithromycin) and tetracyclines (tetracycline and doxycycline). Tetracycline-containing feed has also been used to limit infections and promote growth in livestock populations, although its use has decreased because of growing concerns about antimicrobial resistance development. Because Sandoz and Rockey published an elegant review of chlamydial anti-microbial resistance in 2010, we will review the following: (i) antibiotic resistance in C. suis, (ii) recent evidence for acquired resistance in human chlamydial infections, and (iii) recent non-genetic mechanisms of antibiotic resistance that may contribute to treatment failure.","container-title":"Current Clinical Microbiology Reports","DOI":"10.1007/s40588-016-0028-4","ISSN":"2196-5471","journalAbbreviation":"Curr Clin Microbiol Rep","language":"eng","note":"PMID: 27218014\nPMCID: PMC4845085","page":"10-18","source":"PubMed","title":"Chlamydial Antibiotic Resistance and Treatment Failure in Veterinary and Human Medicine","volume":"3","author":[{"family":"Borel","given":"Nicole"},{"family":"Leonard","given":"Cory"},{"family":"Slade","given":"Jessica"},{"family":"Schoborg","given":"Robert V."}],"issued":{"date-parts":[["2016"]]}}},{"id":380,"uris":["http://zotero.org/users/9663344/items/XCI8RUYQ"],"itemData":{"id":380,"type":"article-journal","abstract":"Benzathine penicillin G (BPG) is the reference treatment for early syphilis, but shortages have recently been reported, highlighting a need for the validation of alternative treatments. The aim of this study was to evaluate the genomic resistance of Treponema pallidum subspecies pallidum (TPA) to macrolides and doxycycline in France. Swabs from genital, anal, oral and cutaneous lesions were obtained from 146 patients with early syphilis in France. They were screened for mutations conferring resistance to macrolides and doxycycline by nested PCR and sequencing. Resistance to macrolides was detected in 85% of the isolates, but no point mutations conferring doxycycline resistance were detected. These findings confirm that, in France, resistance to macrolides is widespread. Moreover, we confirmed the absence of genomic resistance to doxycycline in the TPA strains. Therefore, doxycycline could be safely recommended as an alternative to BPG for the treatment of early syphilis.","container-title":"Acta Dermato-Venereologica","DOI":"10.2340/00015555-3589","ISSN":"1651-2057","issue":"14","journalAbbreviation":"Acta Derm Venereol","language":"eng","note":"PMID: 32618352\nPMCID: PMC9199928","page":"adv00221","source":"PubMed","title":"Surveillance of Antibiotic Resistance Genes in Treponema Pallidum Subspecies Pallidum from Patients with Early Syphilis in France","volume":"100","author":[{"family":"Sanchez","given":"Adrien"},{"family":"Mayslich","given":"Constance"},{"family":"Malet","given":"Isabelle"},{"family":"Grange","given":"Philippe Alain"},{"family":"Janier","given":"Michel"},{"family":"Saule","given":"Julie"},{"family":"Martinet","given":"Pervenche"},{"family":"Robert","given":"Jean-Luc"},{"family":"Moulene","given":"Dominique"},{"family":"Truchetet","given":"François"},{"family":"Pinault","given":"Anne-Lise"},{"family":"Vermersch-Langlin","given":"Annie"},{"family":"Benhaddou","given":"Nadjet"},{"family":"Chanal","given":"Johan"},{"family":"Dupin","given":"Nicolas"}],"issued":{"date-parts":[["2020",7,28]]}}}],"schema":"https://github.com/citation-style-language/schema/raw/master/csl-citation.json"} </w:instrText>
      </w:r>
      <w:r w:rsidR="00986523" w:rsidRPr="00CD1BB4">
        <w:fldChar w:fldCharType="separate"/>
      </w:r>
      <w:r w:rsidR="00986523" w:rsidRPr="00CD1BB4">
        <w:rPr>
          <w:noProof/>
        </w:rPr>
        <w:t>[27], [28]</w:t>
      </w:r>
      <w:r w:rsidR="00986523" w:rsidRPr="00CD1BB4">
        <w:fldChar w:fldCharType="end"/>
      </w:r>
      <w:r w:rsidR="00986523" w:rsidRPr="00CD1BB4">
        <w:t xml:space="preserve">, </w:t>
      </w:r>
      <w:r w:rsidRPr="00CD1BB4">
        <w:t xml:space="preserve">concerns remain regarding potential risks. These include theoretical microbiome disruption and the emergence of antimicrobial resistance (AMR) in other common bacterial pathogens, such as </w:t>
      </w:r>
      <w:r w:rsidRPr="00CD1BB4">
        <w:rPr>
          <w:rStyle w:val="Emphasis"/>
          <w:rFonts w:eastAsiaTheme="majorEastAsia"/>
        </w:rPr>
        <w:t xml:space="preserve">Staphylococcus aureus </w:t>
      </w:r>
      <w:r w:rsidR="00986523" w:rsidRPr="00CD1BB4">
        <w:fldChar w:fldCharType="begin"/>
      </w:r>
      <w:r w:rsidR="00986523" w:rsidRPr="00CD1BB4">
        <w:instrText xml:space="preserve"> ADDIN ZOTERO_ITEM CSL_CITATION {"citationID":"VHeNta4g","properties":{"formattedCitation":"[29]","plainCitation":"[29]","noteIndex":0},"citationItems":[{"id":456,"uris":["http://zotero.org/users/9663344/items/4QZGFH2N"],"itemData":{"id":456,"type":"article-journal","abstract":"The degree of resistance of Haemophilus influenzae, pneumococci, group A streptococci and Staphylococcus aureus to phenoxymethylpenicillin, ampicillin, doxycycline, erythromycin and chloramphenicol was investigated with the MIC-method (plate-dilution technique). Each bacterial group consisted of 100 outpatient strains. Seven strains of H. influenzae were beta-lactamase-producing. Of the 100 haemophilus strains, 58% were sensitive and the rest intermediate sensitive to erythromycin. 99% were sensitive to doxycycline and all strains were sensitive to chloramphenicol. Essentially all pneumococcal strains were sensitive to the antibiotics tested. However, a few strains demonstrated diminished sensitivity to penicillins. All group A streptococci were sensitive to ampicillin, penicillin and chloramphenicol, and 98% were sensitive to erythromycin. Approximately 1 strain out of 5 was resistant to doxycycline. 75% of S. aureus were beta-lactamase producers. Four of the S., aureus strains were resistant to erythromycin and 8 to doxycycline. The results presented indicate a better antibiotic situation than in some other countries, but suggest the need for a more extensive antibiotic sensitivity examination of isolated bacteria.","container-title":"Scandinavian Journal of Infectious Diseases","DOI":"10.3109/inf.1982.14.issue-1.08","ISSN":"0036-5548","issue":"1","journalAbbreviation":"Scand J Infect Dis","language":"eng","note":"PMID: 7041247","page":"39-43","source":"PubMed","title":"Haemophilus influenzae, Pneumococci, group A streptococci and Staphylococcus aureus: sensitivity of outpatient strains to commonly prescribed antibiotics","title-short":"Haemophilus influenzae, Pneumococci, group A streptococci and Staphylococcus aureus","volume":"14","author":[{"family":"Forsgren","given":"A."},{"family":"Walder","given":"M."}],"issued":{"date-parts":[["1982"]]}}}],"schema":"https://github.com/citation-style-language/schema/raw/master/csl-citation.json"} </w:instrText>
      </w:r>
      <w:r w:rsidR="00986523" w:rsidRPr="00CD1BB4">
        <w:fldChar w:fldCharType="separate"/>
      </w:r>
      <w:r w:rsidR="00986523" w:rsidRPr="00CD1BB4">
        <w:rPr>
          <w:noProof/>
        </w:rPr>
        <w:t>[29]</w:t>
      </w:r>
      <w:r w:rsidR="00986523" w:rsidRPr="00CD1BB4">
        <w:fldChar w:fldCharType="end"/>
      </w:r>
      <w:r w:rsidRPr="00CD1BB4">
        <w:t>,</w:t>
      </w:r>
      <w:r w:rsidRPr="00CD1BB4">
        <w:rPr>
          <w:rStyle w:val="Emphasis"/>
          <w:rFonts w:eastAsiaTheme="majorEastAsia"/>
        </w:rPr>
        <w:t xml:space="preserve"> </w:t>
      </w:r>
      <w:r w:rsidR="00986523" w:rsidRPr="00CD1BB4">
        <w:rPr>
          <w:rStyle w:val="Emphasis"/>
          <w:rFonts w:eastAsiaTheme="majorEastAsia"/>
        </w:rPr>
        <w:t>Streptococcus pneumoniae</w:t>
      </w:r>
      <w:r w:rsidR="00986523" w:rsidRPr="00CD1BB4">
        <w:t xml:space="preserve"> and </w:t>
      </w:r>
      <w:bookmarkStart w:id="0" w:name="_Hlk191919233"/>
      <w:r w:rsidR="00986523" w:rsidRPr="00CD1BB4">
        <w:rPr>
          <w:rStyle w:val="Emphasis"/>
          <w:rFonts w:eastAsiaTheme="majorEastAsia"/>
        </w:rPr>
        <w:t>Haemophilus influenzae</w:t>
      </w:r>
      <w:bookmarkEnd w:id="0"/>
      <w:r w:rsidR="00986523" w:rsidRPr="00CD1BB4">
        <w:rPr>
          <w:rStyle w:val="Emphasis"/>
          <w:rFonts w:eastAsiaTheme="majorEastAsia"/>
        </w:rPr>
        <w:t xml:space="preserve"> </w:t>
      </w:r>
      <w:r w:rsidR="00986523" w:rsidRPr="00CD1BB4">
        <w:rPr>
          <w:rStyle w:val="Emphasis"/>
          <w:rFonts w:eastAsiaTheme="majorEastAsia"/>
          <w:i w:val="0"/>
          <w:iCs w:val="0"/>
        </w:rPr>
        <w:fldChar w:fldCharType="begin"/>
      </w:r>
      <w:r w:rsidR="00986523" w:rsidRPr="00CD1BB4">
        <w:rPr>
          <w:rStyle w:val="Emphasis"/>
          <w:rFonts w:eastAsiaTheme="majorEastAsia"/>
          <w:i w:val="0"/>
          <w:iCs w:val="0"/>
        </w:rPr>
        <w:instrText xml:space="preserve"> ADDIN ZOTERO_ITEM CSL_CITATION {"citationID":"j6oUMenr","properties":{"formattedCitation":"[29]","plainCitation":"[29]","noteIndex":0},"citationItems":[{"id":456,"uris":["http://zotero.org/users/9663344/items/4QZGFH2N"],"itemData":{"id":456,"type":"article-journal","abstract":"The degree of resistance of Haemophilus influenzae, pneumococci, group A streptococci and Staphylococcus aureus to phenoxymethylpenicillin, ampicillin, doxycycline, erythromycin and chloramphenicol was investigated with the MIC-method (plate-dilution technique). Each bacterial group consisted of 100 outpatient strains. Seven strains of H. influenzae were beta-lactamase-producing. Of the 100 haemophilus strains, 58% were sensitive and the rest intermediate sensitive to erythromycin. 99% were sensitive to doxycycline and all strains were sensitive to chloramphenicol. Essentially all pneumococcal strains were sensitive to the antibiotics tested. However, a few strains demonstrated diminished sensitivity to penicillins. All group A streptococci were sensitive to ampicillin, penicillin and chloramphenicol, and 98% were sensitive to erythromycin. Approximately 1 strain out of 5 was resistant to doxycycline. 75% of S. aureus were beta-lactamase producers. Four of the S., aureus strains were resistant to erythromycin and 8 to doxycycline. The results presented indicate a better antibiotic situation than in some other countries, but suggest the need for a more extensive antibiotic sensitivity examination of isolated bacteria.","container-title":"Scandinavian Journal of Infectious Diseases","DOI":"10.3109/inf.1982.14.issue-1.08","ISSN":"0036-5548","issue":"1","journalAbbreviation":"Scand J Infect Dis","language":"eng","note":"PMID: 7041247","page":"39-43","source":"PubMed","title":"Haemophilus influenzae, Pneumococci, group A streptococci and Staphylococcus aureus: sensitivity of outpatient strains to commonly prescribed antibiotics","title-short":"Haemophilus influenzae, Pneumococci, group A streptococci and Staphylococcus aureus","volume":"14","author":[{"family":"Forsgren","given":"A."},{"family":"Walder","given":"M."}],"issued":{"date-parts":[["1982"]]}}}],"schema":"https://github.com/citation-style-language/schema/raw/master/csl-citation.json"} </w:instrText>
      </w:r>
      <w:r w:rsidR="00986523" w:rsidRPr="00CD1BB4">
        <w:rPr>
          <w:rStyle w:val="Emphasis"/>
          <w:rFonts w:eastAsiaTheme="majorEastAsia"/>
          <w:i w:val="0"/>
          <w:iCs w:val="0"/>
        </w:rPr>
        <w:fldChar w:fldCharType="separate"/>
      </w:r>
      <w:r w:rsidR="00986523" w:rsidRPr="00CD1BB4">
        <w:rPr>
          <w:rStyle w:val="Emphasis"/>
          <w:rFonts w:eastAsiaTheme="majorEastAsia"/>
          <w:i w:val="0"/>
          <w:iCs w:val="0"/>
          <w:noProof/>
        </w:rPr>
        <w:t>[29]</w:t>
      </w:r>
      <w:r w:rsidR="00986523" w:rsidRPr="00CD1BB4">
        <w:rPr>
          <w:rStyle w:val="Emphasis"/>
          <w:rFonts w:eastAsiaTheme="majorEastAsia"/>
          <w:i w:val="0"/>
          <w:iCs w:val="0"/>
        </w:rPr>
        <w:fldChar w:fldCharType="end"/>
      </w:r>
      <w:r w:rsidR="00986523" w:rsidRPr="00CD1BB4">
        <w:rPr>
          <w:rStyle w:val="Emphasis"/>
          <w:rFonts w:eastAsiaTheme="majorEastAsia"/>
          <w:i w:val="0"/>
          <w:iCs w:val="0"/>
        </w:rPr>
        <w:t>,</w:t>
      </w:r>
      <w:r w:rsidR="00986523" w:rsidRPr="00CD1BB4">
        <w:rPr>
          <w:rStyle w:val="Emphasis"/>
          <w:rFonts w:eastAsiaTheme="majorEastAsia"/>
        </w:rPr>
        <w:t xml:space="preserve"> </w:t>
      </w:r>
      <w:r w:rsidR="00986523" w:rsidRPr="00CD1BB4">
        <w:rPr>
          <w:i/>
          <w:iCs/>
        </w:rPr>
        <w:t>Borrelia burgdorferi</w:t>
      </w:r>
      <w:r w:rsidR="00986523" w:rsidRPr="00CD1BB4">
        <w:t xml:space="preserve"> </w:t>
      </w:r>
      <w:r w:rsidR="00986523" w:rsidRPr="00CD1BB4">
        <w:fldChar w:fldCharType="begin"/>
      </w:r>
      <w:r w:rsidR="00986523" w:rsidRPr="00CD1BB4">
        <w:instrText xml:space="preserve"> ADDIN ZOTERO_ITEM CSL_CITATION {"citationID":"rtuLvFXO","properties":{"formattedCitation":"[30]","plainCitation":"[30]","noteIndex":0},"citationItems":[{"id":453,"uris":["http://zotero.org/users/9663344/items/CBRZSL2Q"],"itemData":{"id":453,"type":"article-journal","abstract":"Recent studies have shown that Borrelia burgdorferi can form antibiotic-tolerant persisters in the presence of microbiostatic drugs such as doxycycline. Precisely how this occurs is yet unknown. Our goal was to examine gene transcription by B. burgdorferi following doxycycline treatment in an effort to identify both persister-associated genes and possible targets for antimicrobial intervention. To do so, we performed next-generation RNA sequencing on doxycycline-treated spirochetes and treated spirochetes following regrowth, comparing them to untreated B. burgdorferi. A number of genes were perturbed and most of those which were statistically significant were down-regulated in the treated versus the untreated or treated/re-grown. Genes upregulated in the treated B. burgdorferi included a number of Erp genes and rplU, a 50S ribosomal protein. Among those genes associated with post-treatment regrowth were bba74 (Oms28), bba03, several peptide ABC transporters, ospA, ospB, ospC, dbpA and bba62. Studies are underway to determine if these same genes are perturbed in B. burgdorferi treated with doxycycline in a host environment.","container-title":"Frontiers in Microbiology","DOI":"10.3389/fmicb.2019.00690","ISSN":"1664-302X","journalAbbreviation":"Front Microbiol","note":"PMID: 31057493\nPMCID: PMC6482230","page":"690","source":"PubMed Central","title":"The Functional and Molecular Effects of Doxycycline Treatment on Borrelia burgdorferi Phenotype","volume":"10","author":[{"family":"Caskey","given":"John R."},{"family":"Hasenkampf","given":"Nicole R."},{"family":"Martin","given":"Dale S."},{"family":"Chouljenko","given":"Vladimir N."},{"family":"Subramanian","given":"Ramesh"},{"family":"Cheslock","given":"Mercedes A."},{"family":"Embers","given":"Monica E."}],"issued":{"date-parts":[["2019",4,18]]}}}],"schema":"https://github.com/citation-style-language/schema/raw/master/csl-citation.json"} </w:instrText>
      </w:r>
      <w:r w:rsidR="00986523" w:rsidRPr="00CD1BB4">
        <w:fldChar w:fldCharType="separate"/>
      </w:r>
      <w:r w:rsidR="00986523" w:rsidRPr="00CD1BB4">
        <w:rPr>
          <w:noProof/>
        </w:rPr>
        <w:t>[30]</w:t>
      </w:r>
      <w:r w:rsidR="00986523" w:rsidRPr="00CD1BB4">
        <w:fldChar w:fldCharType="end"/>
      </w:r>
      <w:r w:rsidRPr="00CD1BB4">
        <w:t xml:space="preserve">. At an individual level, prolonged doxycycline use may contribute to AMR in these bacteria, while at a population level, widespread use could drive broader resistance trends </w:t>
      </w:r>
      <w:r w:rsidR="00986523" w:rsidRPr="00CD1BB4">
        <w:fldChar w:fldCharType="begin"/>
      </w:r>
      <w:r w:rsidR="00986523" w:rsidRPr="00CD1BB4">
        <w:instrText xml:space="preserve"> ADDIN ZOTERO_ITEM CSL_CITATION {"citationID":"3BkiYQNO","properties":{"formattedCitation":"[19], [21], [22], [31], [32]","plainCitation":"[19], [21], [22], [31], [32]","noteIndex":0},"citationItems":[{"id":371,"uris":["http://zotero.org/users/9663344/items/G2SL489G"],"itemData":{"id":371,"type":"article-journal","abstract":"Introduction Doxycycline post-exposure prophylaxis (doxy-PEP) involves consuming 200 mg of doxycycline up to 72 hours after a condomless sex act to reduce the risk of bacterial sexually transmitted infections (STIs). Recent clinical trials of doxy-PEP have demonstrated significant reductions in syphilis, chlamydia and, to a lesser degree, gonorrhoea among gay, bisexual and other men who have sex with men (GBMSM). There is a high level of interest in doxy-PEP in the GBMSM community and, in response, the Australasian Society for HIV, Viral Hepatitis and Sexual Health Medicine (ASHM) held a national consensus conference with the aim of creating preliminary guidance for clinicians, community, researchers and policy makers. Main recommendations There was broad agreement that doxy-PEP should be considered primarily for the prevention of syphilis in GBMSM who are at risk of this STI, with a secondary benefit of reductions in other bacterial STIs. At the end of the consensus process, there remained some disagreement, as some stakeholders felt strongly that doxy-PEP should be considered only for the prevention of syphilis in GBMSM, and that the risk of increasing antimicrobial resistance outweighed any potential benefit from reductions in other bacterial STIs in the target population. The national roundtable made several other recommendations for clinicians, community, researchers and policy makers, as detailed in this article. ASHM will support the development of detailed clinical guidelines and education materials on doxy-PEP (www.ashm.org.au/doxy-pep). Changes in management as a result of this consensus statement For GBMSM at high risk of syphilis, and perhaps other bacterial STIs, clinicians may consider prescribing doxy-PEP for a limited period of time, followed by a review of ongoing need. Unlike human immunodeficiency virus (HIV) pre-exposure prophylaxis (PrEP), doxy-PEP may not be suitable as a population-level intervention and should instead be used more selectively.","container-title":"Medical Journal of Australia","DOI":"10.5694/mja2.52258","ISSN":"1326-5377","issue":"7","language":"en","license":"© 2024 The Authors. Medical Journal of Australia published by John Wiley &amp; Sons Australia, Ltd on behalf of AMPCo Pty Ltd.","note":"_eprint: https://onlinelibrary.wiley.com/doi/pdf/10.5694/mja2.52258","page":"381-386","source":"Wiley Online Library","title":"Australian consensus statement on doxycycline post-exposure prophylaxis (doxy-PEP) for the prevention of syphilis, chlamydia and gonorrhoea among gay, bisexual and other men who have sex with men","volume":"220","author":[{"family":"Cornelisse","given":"Vincent J"},{"family":"Riley","given":"Benjamin"},{"family":"Medland","given":"Nicholas A"}],"issued":{"date-parts":[["2024"]]}}},{"id":397,"uris":["http://zotero.org/users/9663344/items/PFNR5NPJ"],"itemData":{"id":397,"type":"article-journal","abstract":"Increasing rates of sexually transmitted infections (STIs) have been associated with rises in serious morbidity. While doxycycline postexposure prophylaxis (doxyPEP), a strategy in which individuals take doxycycline, 200 mg, after condomless sex to prevent bacterial STIs, has been shown to be efficacious in randomized clinical trials, doxyPEP’s potential effect on population-level STI incidence is unknown.To assess the association of citywide doxyPEP guideline release with reported chlamydia, gonorrhea, and early syphilis cases in men who have sex with men (MSM) and in transgender women in San Francisco, California.This population-level interrupted time series analysis of reported San Francisco STI cases measured monthly cases of chlamydia, gonorrhea, and early syphilis prior to (July 2021-October 2022) and after (November 2022-November 2023) release of citywide doxyPEP guidelines in October 2022. All reported chlamydia, gonorrhea, and early syphilis cases among MSM and transgender women in San Francisco during the period of analysis were included. Data were analyzed November 2023 to July 2024.Release of doxyPEP citywide guidelines.The primary outcome was the percentage change between projected and observed chlamydia, gonorrhea, and early syphilis cases in the 13-month postexposure period.Citywide, there were 6694 cases of chlamydia, 9603 cases of gonorrhea, and 2121 cases of early syphilis among MSM and transgender women during the analytic period. STI cases among MSM and transgender women decreased significantly compared with model projections for chlamydia (−6.58% per month; 95% CI, −7.99% to −5.16%) and early syphilis (−2.68% per month; 95% CI, −3.75% to −1.60%) after doxyPEP implementation. By the end of the 13-month postperiod in November 2023, chlamydia and early syphilis cases decreased −49.64% (95% CI, −59.05% to −38.06%) and −51.39% (95% CI, −58.21% to −43.46%), respectively, compared with projected cases. There was a significant increase in monthly gonorrhea cases compared with projections (1.77% per month; 95% CI, 0.87% to 2.67%).This study suggests that San Francisco’s doxyPEP guideline release was associated with decreases in reported cases of chlamydia and early syphilis, but not gonorrhea, among MSM and transgender women in San Francisco. Further analyses are needed to assess whether declines are sustained and monitor for adverse consequences, including antimicrobial resistance. Supporting doxyPEP implementation for MSM and transgender women at risk for STIs could have a significant impact on the nationwide STI epidemic.","container-title":"JAMA Internal Medicine","DOI":"10.1001/jamainternmed.2024.7178","ISSN":"2168-6106","journalAbbreviation":"JAMA Internal Medicine","source":"Silverchair","title":"Doxycycline Postexposure Prophylaxis and Sexually Transmitted Infection Trends","URL":"https://doi.org/10.1001/jamainternmed.2024.7178","author":[{"family":"Sankaran","given":"Madeline"},{"family":"Glidden","given":"David V."},{"family":"Kohn","given":"Robert P."},{"family":"Nguyen","given":"Trang Q."},{"family":"Bacon","given":"Oliver"},{"family":"Buchbinder","given":"Susan P."},{"family":"Gandhi","given":"Monica"},{"family":"Havlir","given":"Diane V."},{"family":"Liebi","given":"Courtney"},{"family":"Luetkemeyer","given":"Anne F."},{"family":"Nguyen","given":"Janet Q."},{"family":"Roman","given":"Jorge"},{"family":"Scott","given":"Hyman"},{"family":"Torres","given":"Thiago S."},{"family":"Cohen","given":"Stephanie E."}],"accessed":{"date-parts":[["2025",2,9]]},"issued":{"date-parts":[["2025",1,6]]}}},{"id":388,"uris":["http://zotero.org/users/9663344/items/VLL9BCGH"],"itemData":{"id":388,"type":"article-journal","abstract":"Bacterial sexually transmitted infections (STIs) have been increasing over the past 2 decades in gay, bisexual, and other men who have sex with men. With the widespread use of early human immunodeficiency virus (HIV) treatment, which virtually eliminates transmission risk, and the availability of HIV pre-exposure prophylaxis, there have been attitudinal changes regarding HIV infection with resultant increases in sexual contact and declines in condom use. Doxycycline is used for primary prophylaxis in a number of infectious diseases. We conducted a state-of-the-art review to examine the current state of research, knowledge gaps, and challenges around the use of doxycycline prophylaxis to prevent syphilis and other STIs. International academic and government experts met in March 2019 to frame the initial inquiry, which was supplemented by focused literature searches. Two small short-term randomized controlled trials examining doxycycline prophylaxis found high efficacy. Five additional clinical studies are underway or in development. Studies differed in design, population, outcomes, and safety measures. Doxycycline prophylaxis for bacterial STIs shows promise. Better and more robust data are needed on efficacy; target population; community acceptability; behavioral risk compensation; doxycycline dose, regimen, and formulation; long-term safety; antimicrobial resistance; cost-effectiveness; and risk–benefit.","container-title":"Clinical Infectious Diseases","DOI":"10.1093/cid/ciz866","ISSN":"1058-4838","issue":"6","journalAbbreviation":"Clinical Infectious Diseases","page":"1247-1253","source":"Silverchair","title":"Doxycycline Prophylaxis for Bacterial Sexually Transmitted Infections","volume":"70","author":[{"family":"Grant","given":"Juliana S"},{"family":"Stafylis","given":"Chrysovalantis"},{"family":"Celum","given":"Connie"},{"family":"Grennan","given":"Troy"},{"family":"Haire","given":"Bridget"},{"family":"Kaldor","given":"John"},{"family":"Luetkemeyer","given":"Anne F"},{"family":"Saunders","given":"John M"},{"family":"Molina","given":"Jean-Michel"},{"family":"Klausner","given":"Jeffrey D"}],"issued":{"date-parts":[["2020",3,3]]}}},{"id":396,"uris":["http://zotero.org/users/9663344/items/8PMTAJBP"],"itemData":{"id":396,"type":"article-journal","abstract":"Over the past 2 decades, cases of sexually transmitted infections (STIs) from syphilis, gonorrhea, and chlamydia have been rising in the United States, disproportionately among gay, bisexual, and other men who have sex with men, as well as racial and ethnic minorities of all genders. In this review, we address updates about the evidence on doxycycline postexposure prophylaxis for prevention of bacterial STIs, including efficacy, safety, antimicrobial resistance, acceptability, modeling population impact, and evolving guidelines for use. Equitable implementation of doxycycline postexposure prophylaxis will require evaluation of who is offered and initiates it, understanding patterns of use and longer term STI incidence and antimicrobial resistance, provider training, and tailored community education.","container-title":"Clinical Infectious Diseases","DOI":"10.1093/cid/ciae062","ISSN":"1058-4838","journalAbbreviation":"Clinical Infectious Diseases","page":"ciae062","source":"Silverchair","title":"Filling in the Gaps: Updates on Doxycycline Prophylaxis for Bacterial Sexually Transmitted Infections","title-short":"Filling in the Gaps","author":[{"family":"Hazra","given":"Aniruddha"},{"family":"McNulty","given":"Moira C"},{"family":"Pyra","given":"Maria"},{"family":"Pagkas-Bather","given":"Jade"},{"family":"Gutierrez","given":"Jose I"},{"family":"Pickett","given":"Jim"},{"family":"Stewart","given":"Jenell"},{"family":"Bolan","given":"Robert K"},{"family":"Molina","given":"Jean-Michel"},{"family":"Celum","given":"Connie"},{"family":"Luetkemeyer","given":"Anne F"},{"family":"Klausner","given":"Jeffrey D"}],"issued":{"date-parts":[["2024",2,9]]}}},{"id":404,"uris":["http://zotero.org/users/9663344/items/TJNHDFAE"],"itemData":{"id":404,"type":"article-journal","container-title":"PLOS Pathogens","DOI":"10.1371/journal.ppat.1012575","ISSN":"1553-7374","issue":"9","journalAbbreviation":"PLOS Pathogens","language":"en","note":"publisher: Public Library of Science","page":"e1012575","source":"PLoS Journals","title":"Put a little doxy-PEP in your step: Using doxycycline to prevent chlamydia, syphilis, and gonorrhea infections","title-short":"Put a little doxy-PEP in your step","volume":"20","author":[{"family":"Meyerowitz","given":"Eric A."},{"family":"Liang","given":"Rina"},{"family":"Bishop","given":"Derek"},{"family":"Mullis","given":"Caroline E."}],"issued":{"date-parts":[["2024",9,30]]}}}],"schema":"https://github.com/citation-style-language/schema/raw/master/csl-citation.json"} </w:instrText>
      </w:r>
      <w:r w:rsidR="00986523" w:rsidRPr="00CD1BB4">
        <w:fldChar w:fldCharType="separate"/>
      </w:r>
      <w:r w:rsidR="00986523" w:rsidRPr="00CD1BB4">
        <w:rPr>
          <w:noProof/>
        </w:rPr>
        <w:t>[19], [21], [22], [31], [32]</w:t>
      </w:r>
      <w:r w:rsidR="00986523" w:rsidRPr="00CD1BB4">
        <w:fldChar w:fldCharType="end"/>
      </w:r>
      <w:r w:rsidR="00986523" w:rsidRPr="00CD1BB4">
        <w:t xml:space="preserve">. </w:t>
      </w:r>
      <w:r w:rsidRPr="00CD1BB4">
        <w:t>While current evidence suggests that doxy-PEP provides overall benefits, its implementation requires careful monitoring for potential risks, including AMR development and microbiome alterations</w:t>
      </w:r>
      <w:r w:rsidR="00986523" w:rsidRPr="00CD1BB4">
        <w:t xml:space="preserve"> </w:t>
      </w:r>
      <w:r w:rsidR="00986523" w:rsidRPr="00CD1BB4">
        <w:fldChar w:fldCharType="begin"/>
      </w:r>
      <w:r w:rsidRPr="00CD1BB4">
        <w:instrText xml:space="preserve"> ADDIN ZOTERO_ITEM CSL_CITATION {"citationID":"jfGsD05V","properties":{"formattedCitation":"[10], [33]","plainCitation":"[10], [33]","noteIndex":0},"citationItems":[{"id":402,"uris":["http://zotero.org/users/9663344/items/TF22S9V5"],"itemData":{"id":402,"type":"article-journal","abstract":"This report describes a recommendation from CDC for clinicians to use doxy PEP to help reduce incidents of syphilis, chlamydia, and gonorrhea in populations at high risk for these infections.","container-title":"MMWR. Recommendations and Reports","DOI":"10.15585/mmwr.rr7302a1","ISSN":"1057-59871545-8601","journalAbbreviation":"MMWR Recomm Rep","language":"en-us","source":"www.cdc.gov","title":"CDC Clinical Guidelines on the Use of Doxycycline Postexposure Prophylaxis for Bacterial Sexually Transmitted Infection Prevention, United States, 2024","URL":"https://www.cdc.gov/mmwr/volumes/73/rr/rr7302a1.htm","volume":"73","author":[{"family":"Bachmann","given":"Laura H."}],"accessed":{"date-parts":[["2025",2,9]]},"issued":{"date-parts":[["2024"]]}}},{"id":458,"uris":["http://zotero.org/users/9663344/items/TRM2Y38B"],"itemData":{"id":458,"type":"article-journal","abstract":"Doxycycline post-exposure prophylaxis (doxy-PEP) reduces bacterial sexually transmitted infections among men who have sex with men and transgender women. Although poised for widespread clinical implementation, the impact of doxy-PEP on antimicrobial resistance remains a primary concern as its effects on the gut microbiome and resistome, or the antimicrobial resistance genes (ARGs) present in the gut microbiome, are unknown. To investigate these effects, we studied participants from the DoxyPEP trial, a randomized clinical trial comparing doxy-PEP use, a one-time doxycycline 200-mg dose taken after condomless sex (DP arm, n = 100), to standard of care (SOC arm, n = 50) among men who have sex with men and transgender women. From self-collected rectal swabs at enrollment (day-0) and after 6 months (month-6), we performed metagenomic DNA sequencing (DNA-seq) or metatranscriptomic RNA sequencing (RNA-seq). DNA-seq data were analyzable from 127 samples derived from 89 participants, and RNA-seq data were analyzable from 86 samples derived from 70 participants. We compared the bacterial microbiome and resistome between the two study arms and over time. The median number of doxycycline doses taken since enrollment by participants with DNA-seq data was zero (interquartile range (IQR): 0–7 doses) for the SOC arm and 42 (IQR: 27–64 doses) for the DP arm. Tetracycline ARGs were detected in all day-0 DNA-seq samples and in 85% of day-0 RNA-seq samples. The proportional mass of tetracycline ARGs in the resistome increased between day-0 and month-6 in DP participants from 46% to 51% in the metagenome (P = 2.3 × 10−2) and from 4% to 15% in the metatranscriptome (P = 4.5 × 10−6), but no statistically significant increases in other ARG classes were observed. Exposure to a higher number of doxycycline doses correlated with proportional enrichment of tetracycline ARGs in the metagenome (Spearman’s ρ = 0.23, P = 9.0 × 10−3) and metatranscriptome (Spearman’s ρ = 0.55, P = 3.7 × 10−8). Bacterial microbiome alpha diversity, beta diversity and total bacterial mass did not differ between day-0 and month-6 samples from DP participants when assessed by either DNA-seq or RNA-seq. In an abundance-based correlation analysis, we observed an increase over time in the strength of the correlation between tetracycline ARGs and specific bacterial taxa, including some common human pathogens. In sum, doxy-PEP use over a 6-month period was associated with an increase in the proportion of tetracycline ARGs comprising the gut resistome and an increase in the expression of tetracycline ARGs. At 6 months of doxy-PEP use, no residual differences were observed in alpha and beta diversity or taxonomic composition of the gut microbiome. As doxy-PEP is implemented as a public health strategy, further studies and population-level surveillance of doxycycline-resistant pathogens are needed to understand the implications of these findings. ClinicalTrials.gov registration number: NCT03980223.","container-title":"Nature Medicine","DOI":"10.1038/s41591-024-03274-2","ISSN":"1546-170X","issue":"1","journalAbbreviation":"Nat Med","language":"en","license":"2024 The Author(s)","note":"publisher: Nature Publishing Group","page":"207-217","source":"www.nature.com","title":"Impact of doxycycline post-exposure prophylaxis for sexually transmitted infections on the gut microbiome and antimicrobial resistome","volume":"31","author":[{"family":"Chu","given":"Victoria T."},{"family":"Glascock","given":"Abigail"},{"family":"Donnell","given":"Deborah"},{"family":"Grabow","given":"Cole"},{"family":"Brown","given":"Clare E."},{"family":"Ward","given":"Ryan"},{"family":"Love","given":"Christina"},{"family":"Kalantar","given":"Katrina L."},{"family":"Cohen","given":"Stephanie E."},{"family":"Cannon","given":"Chase"},{"family":"Woodworth","given":"Michael H."},{"family":"Kelley","given":"Colleen F."},{"family":"Celum","given":"Connie"},{"family":"Luetkemeyer","given":"Anne F."},{"family":"Langelier","given":"Charles R."}],"issued":{"date-parts":[["2025",1]]}}}],"schema":"https://github.com/citation-style-language/schema/raw/master/csl-citation.json"} </w:instrText>
      </w:r>
      <w:r w:rsidR="00986523" w:rsidRPr="00CD1BB4">
        <w:fldChar w:fldCharType="separate"/>
      </w:r>
      <w:r w:rsidRPr="00CD1BB4">
        <w:rPr>
          <w:noProof/>
        </w:rPr>
        <w:t>[10], [33]</w:t>
      </w:r>
      <w:r w:rsidR="00986523" w:rsidRPr="00CD1BB4">
        <w:fldChar w:fldCharType="end"/>
      </w:r>
      <w:r w:rsidR="00986523" w:rsidRPr="00CD1BB4">
        <w:t xml:space="preserve">. </w:t>
      </w:r>
      <w:r w:rsidRPr="00CD1BB4">
        <w:t xml:space="preserve">Additionally, individuals taking daily doxycycline may experience an increased risk of gastrointestinal and dermatological side effects </w:t>
      </w:r>
      <w:r w:rsidR="00986523" w:rsidRPr="00CD1BB4">
        <w:fldChar w:fldCharType="begin"/>
      </w:r>
      <w:r w:rsidR="00986523" w:rsidRPr="00CD1BB4">
        <w:instrText xml:space="preserve"> ADDIN ZOTERO_ITEM CSL_CITATION {"citationID":"KaEoRnow","properties":{"formattedCitation":"[10], [13]","plainCitation":"[10], [13]","noteIndex":0},"citationItems":[{"id":402,"uris":["http://zotero.org/users/9663344/items/TF22S9V5"],"itemData":{"id":402,"type":"article-journal","abstract":"This report describes a recommendation from CDC for clinicians to use doxy PEP to help reduce incidents of syphilis, chlamydia, and gonorrhea in populations at high risk for these infections.","container-title":"MMWR. Recommendations and Reports","DOI":"10.15585/mmwr.rr7302a1","ISSN":"1057-59871545-8601","journalAbbreviation":"MMWR Recomm Rep","language":"en-us","source":"www.cdc.gov","title":"CDC Clinical Guidelines on the Use of Doxycycline Postexposure Prophylaxis for Bacterial Sexually Transmitted Infection Prevention, United States, 2024","URL":"https://www.cdc.gov/mmwr/volumes/73/rr/rr7302a1.htm","volume":"73","author":[{"family":"Bachmann","given":"Laura H."}],"accessed":{"date-parts":[["2025",2,9]]},"issued":{"date-parts":[["2024"]]}}},{"id":432,"uris":["http://zotero.org/users/9663344/items/GT4FTAFE"],"itemData":{"id":432,"type":"book","call-number":"NBK597440","collection-title":"New York State Department of Health AIDS Institute Clinical Guidelines","event-place":"Baltimore (MD)","language":"eng","note":"PMID: 37988481","publisher":"Johns Hopkins University","publisher-place":"Baltimore (MD)","source":"PubMed","title":"Doxycycline Post-Exposure Prophylaxis to Prevent Bacterial Sexually Transmitted Infections","URL":"http://www.ncbi.nlm.nih.gov/books/NBK597440/","author":[{"family":"DiMarco","given":"Daniela E."},{"family":"Urban","given":"Marguerite A."},{"family":"Vail","given":"Rona M."},{"family":"Shah","given":"Sanjiv S."},{"family":"Fine","given":"Steven M."},{"family":"McGowan","given":"Joseph P."},{"family":"Merrick","given":"Samuel T."},{"family":"Radix","given":"Asa E."},{"family":"Rodrigues","given":"Jessica"},{"family":"Norton","given":"Brianna L."},{"family":"Gonzalez","given":"Charles J."},{"family":"Hoffmann","given":"Christopher J."}],"accessed":{"date-parts":[["2025",2,13]]},"issued":{"date-parts":[["2024"]]}}}],"schema":"https://github.com/citation-style-language/schema/raw/master/csl-citation.json"} </w:instrText>
      </w:r>
      <w:r w:rsidR="00986523" w:rsidRPr="00CD1BB4">
        <w:fldChar w:fldCharType="separate"/>
      </w:r>
      <w:r w:rsidR="00986523" w:rsidRPr="00CD1BB4">
        <w:rPr>
          <w:noProof/>
        </w:rPr>
        <w:t>[10], [13]</w:t>
      </w:r>
      <w:r w:rsidR="00986523" w:rsidRPr="00CD1BB4">
        <w:fldChar w:fldCharType="end"/>
      </w:r>
      <w:r w:rsidR="00986523" w:rsidRPr="00CD1BB4">
        <w:t xml:space="preserve">. </w:t>
      </w:r>
      <w:r w:rsidRPr="00CD1BB4">
        <w:t>Moreover, modelling studies indicate that for doxy-PEP or STI pre-exposure prophylaxis (PrEP) to have a meaningful population-level impact, a substantial proportion of men who have sex with men (MSM) would need to use it. The greatest effect would be achieved by targeting subpopulations at higher risk of sexually transmitted infections (STIs)</w:t>
      </w:r>
      <w:r w:rsidR="00986523" w:rsidRPr="00CD1BB4">
        <w:t xml:space="preserve"> </w:t>
      </w:r>
      <w:r w:rsidR="00986523" w:rsidRPr="00CD1BB4">
        <w:fldChar w:fldCharType="begin"/>
      </w:r>
      <w:r w:rsidRPr="00CD1BB4">
        <w:instrText xml:space="preserve"> ADDIN ZOTERO_ITEM CSL_CITATION {"citationID":"XXpuO3Nd","properties":{"formattedCitation":"[21], [34], [35]","plainCitation":"[21], [34], [35]","noteIndex":0},"citationItems":[{"id":388,"uris":["http://zotero.org/users/9663344/items/VLL9BCGH"],"itemData":{"id":388,"type":"article-journal","abstract":"Bacterial sexually transmitted infections (STIs) have been increasing over the past 2 decades in gay, bisexual, and other men who have sex with men. With the widespread use of early human immunodeficiency virus (HIV) treatment, which virtually eliminates transmission risk, and the availability of HIV pre-exposure prophylaxis, there have been attitudinal changes regarding HIV infection with resultant increases in sexual contact and declines in condom use. Doxycycline is used for primary prophylaxis in a number of infectious diseases. We conducted a state-of-the-art review to examine the current state of research, knowledge gaps, and challenges around the use of doxycycline prophylaxis to prevent syphilis and other STIs. International academic and government experts met in March 2019 to frame the initial inquiry, which was supplemented by focused literature searches. Two small short-term randomized controlled trials examining doxycycline prophylaxis found high efficacy. Five additional clinical studies are underway or in development. Studies differed in design, population, outcomes, and safety measures. Doxycycline prophylaxis for bacterial STIs shows promise. Better and more robust data are needed on efficacy; target population; community acceptability; behavioral risk compensation; doxycycline dose, regimen, and formulation; long-term safety; antimicrobial resistance; cost-effectiveness; and risk–benefit.","container-title":"Clinical Infectious Diseases","DOI":"10.1093/cid/ciz866","ISSN":"1058-4838","issue":"6","journalAbbreviation":"Clinical Infectious Diseases","page":"1247-1253","source":"Silverchair","title":"Doxycycline Prophylaxis for Bacterial Sexually Transmitted Infections","volume":"70","author":[{"family":"Grant","given":"Juliana S"},{"family":"Stafylis","given":"Chrysovalantis"},{"family":"Celum","given":"Connie"},{"family":"Grennan","given":"Troy"},{"family":"Haire","given":"Bridget"},{"family":"Kaldor","given":"John"},{"family":"Luetkemeyer","given":"Anne F"},{"family":"Saunders","given":"John M"},{"family":"Molina","given":"Jean-Michel"},{"family":"Klausner","given":"Jeffrey D"}],"issued":{"date-parts":[["2020",3,3]]}}},{"id":406,"uris":["http://zotero.org/users/9663344/items/4XJG4MB8"],"itemData":{"id":406,"type":"article-journal","abstract":"BACKGROUND: Over the last decade, syphilis epidemics have resurged around the world, particularly among gay men. An innovative public health response could be the use of chemoprophylaxis. We sought out to determine the acceptability of syphilis chemoprophylaxis and its likely population effectiveness if it were adopted.\nMETHODS: We conducted a mixed-methods study. An online survey (n = 2095 participants) and focus groups (n = 23 participants) were conducted to determine whether syphilis chemoprophylaxis is likely to be acceptable to gay men in Australia. We also developed an individual-based mathematical model that simulated a population of gay men, to explore the potential impact of introducing chemoprophylaxis.\nRESULTS: Of the 2095 gay men surveyed, 52.7% (95% confidence interval, 50.6%-54.8%) indicated that they would be very likely or slightly likely to use chemoprophylaxis to reduce their chance of acquiring syphilis, increasing to 75.8% (95% confidence interval, 74.0%-77.6%) if chemoprophylaxis would help reduce infections in the gay community. In this model, 70% use-effectiveness of chemoprophylaxis used by 50% of gay men is expected to reduce the number of syphilis cases by </w:instrText>
      </w:r>
      <w:r w:rsidRPr="00CD1BB4">
        <w:rPr>
          <w:rFonts w:ascii="Cambria Math" w:hAnsi="Cambria Math" w:cs="Cambria Math"/>
        </w:rPr>
        <w:instrText>∼</w:instrText>
      </w:r>
      <w:r w:rsidRPr="00CD1BB4">
        <w:instrText xml:space="preserve">50% after 12 months and 85% after 10 years. The majority of the prevention efforts can be gained by targeting subpopulations of men with higher sexual activity.\nCONCLUSIONS: Chemoprophylaxis offers promise as an acceptable and effective intervention for mitigating syphilis epidemics. The outcomes of a planned placebo-controlled syphilis chemoprophylaxis trial are eagerly anticipated.","container-title":"Sexually Transmitted Diseases","DOI":"10.1097/OLQ.0b013e31820e64fd","ISSN":"1537-4521","issue":"7","journalAbbreviation":"Sex Transm Dis","language":"eng","note":"PMID: 21343845","page":"573-579","source":"PubMed","title":"Chemoprophylaxis is likely to be acceptable and could mitigate syphilis epidemics among populations of gay men","volume":"38","author":[{"family":"Wilson","given":"David P."},{"family":"Prestage","given":"Garrett P."},{"family":"Gray","given":"Richard T."},{"family":"Hoare","given":"Alexander"},{"family":"McCann","given":"Pol"},{"family":"Down","given":"Ian"},{"family":"Guy","given":"Rebecca J."},{"family":"Drummond","given":"Fraser"},{"family":"Klausner","given":"Jeffrey D."},{"family":"Donovan","given":"Basil"},{"family":"Kaldor","given":"John M."}],"issued":{"date-parts":[["2011",7]]}}},{"id":408,"uris":["http://zotero.org/users/9663344/items/7QY6WWBX"],"itemData":{"id":408,"type":"article-journal","abstract":"OBJECTIVE: High rates of sexually transmitted infections (STIs) have been reported among pre-exposure prophylaxis (PrEP) users. We wished to assess the incidence and risk factors for recurrent STIs.\nDESIGN: The ANRS IPERGAY trial was a prospective study investigating PrEP among MSM and transgender women in outpatient clinics in France and Canada. In all, 429 participants were enrolled, offered up to 4 years of PrEP and screened for bacterial STIs (syphilis, chlamydia and gonorrhea) at baseline and every 6 months.\nMETHODS: STIs incidence was calculated yearly. Cox proportional hazards model regression was used to explore associations between participants characteristics at baseline and recurrent STI during follow-up.\nRESULTS: Over a median follow-up of 23 months, bacterial STI incidence was 75, 33, 13, 32 and 30 per 100 person-years for all STIs, rectal STIs, syphilis, gonorrhea and chlamydia, respectively. STI incidence significantly increased from the first year to the fourth year of the study (55 vs. 90 per 100 person-years, P  &lt; 0.001). During the study period, 167 participants (39%) presented with more than one bacterial STIs which accounted for 86% of all STIs. Baseline risk factors associated with recurrent STIs in a multivariate analysis were an STI at baseline [hazards ratio: 1.48 (95% confidence interval (CI): 1.06-2.07), P  = 0.02], more than eight sexual partners in prior 2 months [hazards ratio: 1.72 (95% CI: 1.21-2.43), P  = 0.002] and the use of gamma-hydroxybutyrate [hazards ratio: 1.66 (95% CI: 1.16-2.38), P  = 0.005].\nCONCLUSION: STI incidence was high and increased over time. Most STIs were concentrated in a high-risk group that should be targeted for future interventions.","container-title":"AIDS (London, England)","DOI":"10.1097/QAD.0000000000003187","ISSN":"1473-5571","issue":"8","journalAbbreviation":"AIDS","language":"eng","note":"PMID: 35142708","page":"1129-1134","source":"PubMed","title":"Incidence and risk factors for recurrent sexually transmitted infections among MSM on HIV pre-exposure prophylaxis","volume":"36","author":[{"family":"Zeggagh","given":"Jérémy"},{"family":"Bauer","given":"Rebecca"},{"family":"Delaugerre","given":"Constance"},{"family":"Carette","given":"Diane"},{"family":"Fressard","given":"Lisa"},{"family":"Charreau","given":"Isabelle"},{"family":"Chidiac","given":"Christian"},{"family":"Pialoux","given":"Gilles"},{"family":"Tremblay","given":"Cécile"},{"family":"Cua","given":"Eric"},{"family":"Robineau","given":"Olivier"},{"family":"Raffi","given":"François"},{"family":"Capitant","given":"Catherine"},{"family":"Spire","given":"Bruno"},{"family":"Meyer","given":"Laurence"},{"family":"Molina","given":"Jean Michel"},{"literal":"Ipergay Study Group"}],"issued":{"date-parts":[["2022",7,1]]}}}],"schema":"https://github.com/citation-style-language/schema/raw/master/csl-citation.json"} </w:instrText>
      </w:r>
      <w:r w:rsidR="00986523" w:rsidRPr="00CD1BB4">
        <w:fldChar w:fldCharType="separate"/>
      </w:r>
      <w:r w:rsidRPr="00CD1BB4">
        <w:rPr>
          <w:noProof/>
        </w:rPr>
        <w:t>[21], [34], [35]</w:t>
      </w:r>
      <w:r w:rsidR="00986523" w:rsidRPr="00CD1BB4">
        <w:fldChar w:fldCharType="end"/>
      </w:r>
      <w:r w:rsidR="00986523" w:rsidRPr="00CD1BB4">
        <w:t xml:space="preserve">. </w:t>
      </w:r>
      <w:r w:rsidRPr="00CD1BB4">
        <w:t>A study i</w:t>
      </w:r>
      <w:r w:rsidR="00986523" w:rsidRPr="00CD1BB4">
        <w:t xml:space="preserve">n </w:t>
      </w:r>
      <w:r w:rsidR="00986523" w:rsidRPr="00CD1BB4">
        <w:fldChar w:fldCharType="begin"/>
      </w:r>
      <w:r w:rsidR="00986523" w:rsidRPr="00CD1BB4">
        <w:instrText xml:space="preserve"> ADDIN ZOTERO_ITEM CSL_CITATION {"citationID":"zgjC6MW8","properties":{"formattedCitation":"[23]","plainCitation":"[23]","noteIndex":0},"citationItems":[{"id":383,"uris":["http://zotero.org/users/9663344/items/GVDWMHDY"],"itemData":{"id":383,"type":"article-journal","abstract":"Doxycycline post-exposure prophylaxis (doxyPEP) reduces bacterial sexually transmitted infection (STI) incidence in people with HIV (PWH) or using HIV pre-exposure prophylaxis (PrEP). Given concerns about widespread antibiotic use, we identified doxyPEP prescribing strategies to minimize use while maximizing impact on STIs.We used electronic health records of gay and bisexual men (GBM), transgender women, and nonbinary people assigned male sex at birth with ≥2 STI tests (chlamydia, gonorrhea, syphilis) at an LGBTQ-focused health center during 2015–2020. We defined 10 hypothetical doxyPEP prescribing strategies based on PrEP use, HIV status, or STI history. We estimated doxyPEP use and STI diagnoses averted in counterfactual scenarios in which people meeting prescribing criteria received doxyPEP, assuming STI rates during use would have been reduced by clinical trial efficacy estimates.Among 10 546 individuals (94% GBM), rate of any STI was 35.9/100 person-years. Prescribing doxyPEP to all individuals would have averted 71% of STI diagnoses (number needed to treat for one year to avert one STI diagnosis [NNT] = 3.9); prescribing to PrEP users/PWH (52%/12% of individuals) would have averted 60% of STI diagnoses (NNT = 2.9). Prescribing doxyPEP for 12 months after STI diagnosis would have reduced the proportion using doxyPEP to 38% and averted 39% of STI diagnoses (NNT = 2.4). Prescribing after concurrent or repeated STIs maximized efficiency (lowest NNTs) but prevented fewer STIs.Prescribing doxyPEP to individuals with STIs, particularly concurrent or repeated STIs, could avert a substantial proportion of all STI diagnoses. The most efficient prescribing strategies are based on STI history rather than HIV status or PrEP use.","container-title":"Clinical Infectious Diseases","DOI":"10.1093/cid/ciad488","ISSN":"1058-4838","journalAbbreviation":"Clinical Infectious Diseases","page":"ciad488","source":"Silverchair","title":"Potential Impact of Doxycycline Post-exposure Prophylaxis Prescribing Strategies on Incidence of Bacterial Sexually Transmitted Infections","author":[{"family":"Traeger","given":"Michael W"},{"family":"Mayer","given":"Kenneth H"},{"family":"Krakower","given":"Douglas S"},{"family":"Gitin","given":"Sy"},{"family":"Jenness","given":"Samuel M"},{"family":"Marcus","given":"Julia L"}],"issued":{"date-parts":[["2023",8,18]]}}}],"schema":"https://github.com/citation-style-language/schema/raw/master/csl-citation.json"} </w:instrText>
      </w:r>
      <w:r w:rsidR="00986523" w:rsidRPr="00CD1BB4">
        <w:fldChar w:fldCharType="separate"/>
      </w:r>
      <w:r w:rsidR="00986523" w:rsidRPr="00CD1BB4">
        <w:rPr>
          <w:noProof/>
        </w:rPr>
        <w:t>[23]</w:t>
      </w:r>
      <w:r w:rsidR="00986523" w:rsidRPr="00CD1BB4">
        <w:fldChar w:fldCharType="end"/>
      </w:r>
      <w:r w:rsidR="00986523" w:rsidRPr="00CD1BB4">
        <w:t xml:space="preserve">, </w:t>
      </w:r>
      <w:r w:rsidRPr="00CD1BB4">
        <w:t>found that prescribing strategies based on STI history were more effective than those based on HIV status or PrEP use. However, as this study was conducted in a community health centre in Boston, Massachusetts, its findings may not be generalizable to broader populations.</w:t>
      </w:r>
    </w:p>
    <w:p w14:paraId="66F3B04C" w14:textId="58230A3D" w:rsidR="00245A8D" w:rsidRPr="0092025F" w:rsidRDefault="00065418" w:rsidP="0060134A">
      <w:pPr>
        <w:pStyle w:val="NormalWeb"/>
        <w:spacing w:line="276" w:lineRule="auto"/>
        <w:jc w:val="both"/>
      </w:pPr>
      <w:r>
        <w:t xml:space="preserve">The goal of </w:t>
      </w:r>
      <w:r w:rsidR="004650EC">
        <w:t>this study</w:t>
      </w:r>
      <w:r>
        <w:t xml:space="preserve"> is to ensure that individuals who would benefit most from the intervention have access to it while minimizing potential adverse effects and preventing the emergence of AMR in common bacterial pathogens, particularly among high-risk MSM populations. To date, no comprehensive population-level modelling study has examined the transmission dynamics of syphilis with doxy-PEP as a prevention strategy. In this study, we aim to assess the efficacy of different doxy-PEP strategies, identify optimal prescribing approaches, and evaluate the feasibility of widespread implementation while mitigating associated risks. For the first time in the literature, we will use a transmission compartmental model to analyse these factors in the contexts of Singapore and the UK. </w:t>
      </w:r>
      <w:r w:rsidR="00E81DAF" w:rsidRPr="0092025F">
        <w:t xml:space="preserve">Specifically, we will assess the long-term public health impact of various </w:t>
      </w:r>
      <w:r w:rsidR="00BD42D0" w:rsidRPr="0092025F">
        <w:t xml:space="preserve">doxy-PEP </w:t>
      </w:r>
      <w:r w:rsidR="00E81DAF" w:rsidRPr="0092025F">
        <w:t>strategies</w:t>
      </w:r>
      <w:r w:rsidR="00A34E07" w:rsidRPr="0092025F">
        <w:t>, including:</w:t>
      </w:r>
      <w:r w:rsidR="00775DAC" w:rsidRPr="0092025F">
        <w:t xml:space="preserve"> (1) </w:t>
      </w:r>
      <w:r w:rsidR="00E54C25" w:rsidRPr="0092025F">
        <w:rPr>
          <w:rStyle w:val="Strong"/>
          <w:rFonts w:eastAsiaTheme="majorEastAsia"/>
        </w:rPr>
        <w:t xml:space="preserve">Doxycycline on </w:t>
      </w:r>
      <w:r w:rsidR="0091632D">
        <w:rPr>
          <w:rStyle w:val="Strong"/>
          <w:rFonts w:eastAsiaTheme="majorEastAsia"/>
        </w:rPr>
        <w:t>Attendance</w:t>
      </w:r>
      <w:r w:rsidR="00B22679" w:rsidRPr="0092025F">
        <w:rPr>
          <w:rStyle w:val="Strong"/>
          <w:rFonts w:eastAsiaTheme="majorEastAsia"/>
        </w:rPr>
        <w:t xml:space="preserve"> </w:t>
      </w:r>
      <w:r w:rsidR="00E54C25" w:rsidRPr="0092025F">
        <w:rPr>
          <w:rStyle w:val="Strong"/>
          <w:rFonts w:eastAsiaTheme="majorEastAsia"/>
        </w:rPr>
        <w:t>(Do</w:t>
      </w:r>
      <w:r w:rsidR="0091632D">
        <w:rPr>
          <w:rStyle w:val="Strong"/>
          <w:rFonts w:eastAsiaTheme="majorEastAsia"/>
        </w:rPr>
        <w:t>A</w:t>
      </w:r>
      <w:r w:rsidR="00E54C25" w:rsidRPr="0092025F">
        <w:rPr>
          <w:rStyle w:val="Strong"/>
          <w:rFonts w:eastAsiaTheme="majorEastAsia"/>
        </w:rPr>
        <w:t>)</w:t>
      </w:r>
      <w:r w:rsidR="00E54C25" w:rsidRPr="0092025F">
        <w:t xml:space="preserve">: </w:t>
      </w:r>
      <w:r w:rsidR="005F504A" w:rsidRPr="0092025F">
        <w:t>p</w:t>
      </w:r>
      <w:r w:rsidR="00E54C25" w:rsidRPr="0092025F">
        <w:t>rovide doxy-PEP to MSM attending sexual health clinics for STI testing</w:t>
      </w:r>
      <w:r w:rsidR="00377B0E" w:rsidRPr="0092025F">
        <w:t xml:space="preserve"> and screening</w:t>
      </w:r>
      <w:r w:rsidR="00E54C25" w:rsidRPr="0092025F">
        <w:t>, regardless of their diagnosis</w:t>
      </w:r>
      <w:r w:rsidR="00775DAC" w:rsidRPr="0092025F">
        <w:t xml:space="preserve">; (2) </w:t>
      </w:r>
      <w:r w:rsidR="00EF7B2D" w:rsidRPr="0092025F">
        <w:rPr>
          <w:rStyle w:val="Strong"/>
          <w:rFonts w:eastAsiaTheme="majorEastAsia"/>
        </w:rPr>
        <w:t>Doxycycline on Diagnosis (DoD)</w:t>
      </w:r>
      <w:r w:rsidR="00EF7B2D" w:rsidRPr="0092025F">
        <w:t xml:space="preserve">: </w:t>
      </w:r>
      <w:r w:rsidR="005F504A" w:rsidRPr="0092025F">
        <w:t>o</w:t>
      </w:r>
      <w:r w:rsidR="00EF7B2D" w:rsidRPr="0092025F">
        <w:t>ffer doxy-PEP to MSM diagnosed with a bacterial STI (e.g., syphilis)</w:t>
      </w:r>
      <w:r w:rsidR="00E42967" w:rsidRPr="0092025F">
        <w:t xml:space="preserve"> at current visit</w:t>
      </w:r>
      <w:r w:rsidR="00775DAC" w:rsidRPr="0092025F">
        <w:t xml:space="preserve">; (3) </w:t>
      </w:r>
      <w:r w:rsidR="00EF7B2D" w:rsidRPr="0092025F">
        <w:rPr>
          <w:rStyle w:val="Strong"/>
          <w:rFonts w:eastAsiaTheme="majorEastAsia"/>
        </w:rPr>
        <w:t>Doxycycline According to Risk (DaR)</w:t>
      </w:r>
      <w:r w:rsidR="00EF7B2D" w:rsidRPr="0092025F">
        <w:t xml:space="preserve">: </w:t>
      </w:r>
      <w:r w:rsidR="005F504A" w:rsidRPr="0092025F">
        <w:t>t</w:t>
      </w:r>
      <w:r w:rsidR="00EF7B2D" w:rsidRPr="0092025F">
        <w:t xml:space="preserve">arget MSM engaging in high-risk behaviours (e.g., </w:t>
      </w:r>
      <w:r w:rsidR="005F504A" w:rsidRPr="0092025F">
        <w:t xml:space="preserve">more than </w:t>
      </w:r>
      <w:r w:rsidR="00EF7B2D" w:rsidRPr="0092025F">
        <w:t>5 partners per year, condomless anal sex, methamphetamine use) or those with a history of prior STIs</w:t>
      </w:r>
      <w:r w:rsidR="00775DAC" w:rsidRPr="0092025F">
        <w:t>; (</w:t>
      </w:r>
      <w:r w:rsidR="0091632D">
        <w:t>4</w:t>
      </w:r>
      <w:r w:rsidR="00775DAC" w:rsidRPr="0092025F">
        <w:t xml:space="preserve">) </w:t>
      </w:r>
      <w:r w:rsidR="00245A8D" w:rsidRPr="0092025F">
        <w:rPr>
          <w:rStyle w:val="Strong"/>
          <w:rFonts w:eastAsiaTheme="majorEastAsia"/>
        </w:rPr>
        <w:t>Doxycycline Before Entry (DbE)</w:t>
      </w:r>
      <w:r w:rsidR="00245A8D" w:rsidRPr="0092025F">
        <w:t xml:space="preserve">: </w:t>
      </w:r>
      <w:r w:rsidR="005F504A" w:rsidRPr="0092025F">
        <w:t>o</w:t>
      </w:r>
      <w:r w:rsidR="00245A8D" w:rsidRPr="0092025F">
        <w:t>ffer doxy-PEP to MSM entering high-risk networks, such as those newly active on dating apps, entering sex work, or relocating to high-incidence areas</w:t>
      </w:r>
      <w:r w:rsidR="00B22679" w:rsidRPr="0092025F">
        <w:t>.</w:t>
      </w:r>
      <w:r w:rsidR="00593F96" w:rsidRPr="0092025F">
        <w:t xml:space="preserve"> We evaluate efficacy by comparing the impact of doxy-PEP against no intervention while keeping behavioural parameters constant. Additionally, we analyse how variations in the following factors influence the effectiveness of each strategy: </w:t>
      </w:r>
      <w:r w:rsidR="00593F96" w:rsidRPr="0092025F">
        <w:lastRenderedPageBreak/>
        <w:t>(1) adherence rate, (2) doxy-PEP efficacy, (3) doxycycline intolerance</w:t>
      </w:r>
      <w:r w:rsidR="00537E94" w:rsidRPr="0092025F">
        <w:t xml:space="preserve"> rate</w:t>
      </w:r>
      <w:r w:rsidR="00593F96" w:rsidRPr="0092025F">
        <w:t>, and (</w:t>
      </w:r>
      <w:r w:rsidR="006F3C0F">
        <w:t>4</w:t>
      </w:r>
      <w:r w:rsidR="00593F96" w:rsidRPr="0092025F">
        <w:t xml:space="preserve">) discontinuation rate </w:t>
      </w:r>
      <w:r w:rsidR="00C447A5" w:rsidRPr="0092025F">
        <w:t xml:space="preserve">due to </w:t>
      </w:r>
      <w:r w:rsidR="00593F96" w:rsidRPr="0092025F">
        <w:t>transition</w:t>
      </w:r>
      <w:r w:rsidR="00C447A5" w:rsidRPr="0092025F">
        <w:t>ing</w:t>
      </w:r>
      <w:r w:rsidR="00593F96" w:rsidRPr="0092025F">
        <w:t xml:space="preserve"> to alternative STI prevention methods.</w:t>
      </w:r>
    </w:p>
    <w:p w14:paraId="0B2FEF0A" w14:textId="1DB566F6" w:rsidR="00E83670" w:rsidRPr="0092025F" w:rsidRDefault="00D44D42" w:rsidP="0060134A">
      <w:pPr>
        <w:pStyle w:val="NormalWeb"/>
        <w:spacing w:line="276" w:lineRule="auto"/>
        <w:jc w:val="both"/>
      </w:pPr>
      <w:r w:rsidRPr="0092025F">
        <w:rPr>
          <w:b/>
          <w:bCs/>
        </w:rPr>
        <w:t xml:space="preserve">Remark 1: </w:t>
      </w:r>
      <w:r w:rsidR="00CC6817" w:rsidRPr="0092025F">
        <w:t xml:space="preserve">There are </w:t>
      </w:r>
      <w:r w:rsidR="00256D13" w:rsidRPr="0092025F">
        <w:t>two</w:t>
      </w:r>
      <w:r w:rsidR="00CC6817" w:rsidRPr="0092025F">
        <w:t xml:space="preserve"> additional strategies that are challenging to quantify within a </w:t>
      </w:r>
      <w:r w:rsidR="00F22D53" w:rsidRPr="0092025F">
        <w:t xml:space="preserve">transmission </w:t>
      </w:r>
      <w:r w:rsidR="006D09A7" w:rsidRPr="0092025F">
        <w:t>modelling</w:t>
      </w:r>
      <w:r w:rsidR="00CC6817" w:rsidRPr="0092025F">
        <w:t xml:space="preserve"> framework. Therefore, we will discuss them separately:</w:t>
      </w:r>
      <w:r w:rsidR="00E83670" w:rsidRPr="0092025F">
        <w:t xml:space="preserve"> </w:t>
      </w:r>
      <w:r w:rsidR="00B22679" w:rsidRPr="0092025F">
        <w:t xml:space="preserve">(1) </w:t>
      </w:r>
      <w:r w:rsidR="00B22679" w:rsidRPr="0092025F">
        <w:rPr>
          <w:rStyle w:val="Strong"/>
          <w:rFonts w:eastAsiaTheme="majorEastAsia"/>
        </w:rPr>
        <w:t>On-Demand Doxycycline</w:t>
      </w:r>
      <w:r w:rsidR="00256D13" w:rsidRPr="0092025F">
        <w:rPr>
          <w:rStyle w:val="Strong"/>
          <w:rFonts w:eastAsiaTheme="majorEastAsia"/>
        </w:rPr>
        <w:t xml:space="preserve"> (Community-Driven Distribution)</w:t>
      </w:r>
      <w:r w:rsidR="00B22679" w:rsidRPr="0092025F">
        <w:rPr>
          <w:rStyle w:val="Strong"/>
          <w:rFonts w:eastAsiaTheme="majorEastAsia"/>
          <w:b w:val="0"/>
          <w:bCs w:val="0"/>
        </w:rPr>
        <w:t xml:space="preserve">: </w:t>
      </w:r>
      <w:r w:rsidR="00B22679" w:rsidRPr="0092025F">
        <w:t>provide MSM with a “take-home” supply of doxycycline to use after condomless sex or known STI exposure</w:t>
      </w:r>
      <w:r w:rsidR="00E83670" w:rsidRPr="0092025F">
        <w:t xml:space="preserve"> through telehealth platforms to enhance accessibility; (</w:t>
      </w:r>
      <w:r w:rsidR="00256D13" w:rsidRPr="0092025F">
        <w:t>2</w:t>
      </w:r>
      <w:r w:rsidR="00E83670" w:rsidRPr="0092025F">
        <w:t>)</w:t>
      </w:r>
      <w:r w:rsidR="00832A9E" w:rsidRPr="0092025F">
        <w:t xml:space="preserve"> </w:t>
      </w:r>
      <w:r w:rsidR="00832A9E" w:rsidRPr="0092025F">
        <w:rPr>
          <w:rStyle w:val="Strong"/>
          <w:rFonts w:eastAsiaTheme="majorEastAsia"/>
        </w:rPr>
        <w:t>Integration with Behavioural Interventions</w:t>
      </w:r>
      <w:r w:rsidR="00832A9E" w:rsidRPr="0092025F">
        <w:t>: combine doxy-PEP with counselling on safer sex practices, PrEP adherence, and harm reduction strategies for substance use.</w:t>
      </w:r>
    </w:p>
    <w:p w14:paraId="6242CE37" w14:textId="2B3D02FF" w:rsidR="00C65147" w:rsidRPr="0092025F" w:rsidRDefault="006F1EBE" w:rsidP="0060134A">
      <w:pPr>
        <w:pStyle w:val="NormalWeb"/>
        <w:spacing w:line="276" w:lineRule="auto"/>
        <w:jc w:val="both"/>
      </w:pPr>
      <w:r w:rsidRPr="0092025F">
        <w:t>To evaluate and compare the effectiveness and efficacy of these strategies, we will develop a novel compartmental model specifically designed for this purpose. Our model will include the following groups:</w:t>
      </w:r>
      <w:r w:rsidR="00775DAC" w:rsidRPr="0092025F">
        <w:t xml:space="preserve"> (1) </w:t>
      </w:r>
      <w:r w:rsidR="00DC7358" w:rsidRPr="0092025F">
        <w:t>MSM who take doxycycline after condomless sex</w:t>
      </w:r>
      <w:r w:rsidR="0096064E" w:rsidRPr="0092025F">
        <w:t xml:space="preserve"> (i.e., </w:t>
      </w:r>
      <w:r w:rsidR="0096064E" w:rsidRPr="0092025F">
        <w:rPr>
          <w:b/>
          <w:bCs/>
        </w:rPr>
        <w:t>doxy-PEP</w:t>
      </w:r>
      <w:r w:rsidR="0096064E" w:rsidRPr="0092025F">
        <w:t>)</w:t>
      </w:r>
      <w:r w:rsidR="00775DAC" w:rsidRPr="0092025F">
        <w:t xml:space="preserve">; (2) </w:t>
      </w:r>
      <w:r w:rsidR="00DC7358" w:rsidRPr="0092025F">
        <w:rPr>
          <w:rStyle w:val="Strong"/>
          <w:rFonts w:eastAsiaTheme="majorEastAsia"/>
          <w:b w:val="0"/>
          <w:bCs w:val="0"/>
        </w:rPr>
        <w:t xml:space="preserve">MSM who do not take doxycycline after </w:t>
      </w:r>
      <w:r w:rsidR="00D401D7" w:rsidRPr="0092025F">
        <w:rPr>
          <w:rStyle w:val="Strong"/>
          <w:rFonts w:eastAsiaTheme="majorEastAsia"/>
          <w:b w:val="0"/>
          <w:bCs w:val="0"/>
        </w:rPr>
        <w:t xml:space="preserve">condomless </w:t>
      </w:r>
      <w:r w:rsidR="00DC7358" w:rsidRPr="0092025F">
        <w:rPr>
          <w:rStyle w:val="Strong"/>
          <w:rFonts w:eastAsiaTheme="majorEastAsia"/>
          <w:b w:val="0"/>
          <w:bCs w:val="0"/>
        </w:rPr>
        <w:t>sex</w:t>
      </w:r>
      <w:r w:rsidR="0096064E" w:rsidRPr="0092025F">
        <w:rPr>
          <w:rStyle w:val="Strong"/>
          <w:rFonts w:eastAsiaTheme="majorEastAsia"/>
          <w:b w:val="0"/>
          <w:bCs w:val="0"/>
        </w:rPr>
        <w:t xml:space="preserve"> (i.e., </w:t>
      </w:r>
      <w:r w:rsidR="0096064E" w:rsidRPr="0092025F">
        <w:rPr>
          <w:rStyle w:val="Strong"/>
          <w:rFonts w:eastAsiaTheme="majorEastAsia"/>
        </w:rPr>
        <w:t>non-doxy-PEP</w:t>
      </w:r>
      <w:r w:rsidR="0096064E" w:rsidRPr="0092025F">
        <w:rPr>
          <w:rStyle w:val="Strong"/>
          <w:rFonts w:eastAsiaTheme="majorEastAsia"/>
          <w:b w:val="0"/>
          <w:bCs w:val="0"/>
        </w:rPr>
        <w:t>)</w:t>
      </w:r>
      <w:r w:rsidR="00DC7358" w:rsidRPr="0092025F">
        <w:rPr>
          <w:rStyle w:val="Strong"/>
          <w:rFonts w:eastAsiaTheme="majorEastAsia"/>
          <w:b w:val="0"/>
          <w:bCs w:val="0"/>
        </w:rPr>
        <w:t>,</w:t>
      </w:r>
      <w:r w:rsidR="00DC7358" w:rsidRPr="0092025F">
        <w:t xml:space="preserve"> </w:t>
      </w:r>
      <w:r w:rsidR="00341A2F">
        <w:t xml:space="preserve">including those who rely on alternative STI prevention methods such as condom use, as well as individuals with contraindications, such as those taking medications or supplements that interact with doxycycline, including antacids and stomach ulcer treatments containing bismuth (e.g., Pepto-Bismol) </w:t>
      </w:r>
      <w:r w:rsidR="00341A2F" w:rsidRPr="0092025F">
        <w:rPr>
          <w:rStyle w:val="Strong"/>
          <w:rFonts w:eastAsiaTheme="majorEastAsia"/>
          <w:b w:val="0"/>
          <w:bCs w:val="0"/>
        </w:rPr>
        <w:fldChar w:fldCharType="begin"/>
      </w:r>
      <w:r w:rsidR="00581C40">
        <w:rPr>
          <w:rStyle w:val="Strong"/>
          <w:rFonts w:eastAsiaTheme="majorEastAsia"/>
          <w:b w:val="0"/>
          <w:bCs w:val="0"/>
        </w:rPr>
        <w:instrText xml:space="preserve"> ADDIN ZOTERO_ITEM CSL_CITATION {"citationID":"HbahsjDM","properties":{"formattedCitation":"[36]","plainCitation":"[36]","noteIndex":0},"citationItems":[{"id":415,"uris":["http://zotero.org/users/9663344/items/XJX664YV","http://zotero.org/users/9663344/items/88DX5WK7"],"itemData":{"id":415,"type":"webpage","abstract":"NHS medicines information on possible interactions with doxycycline and other medicines, herbal remedies and supplements.","container-title":"National Health Service","language":"en","title":"Taking doxycycline with other medicines and herbal supplements","URL":"https://www.nhs.uk/medicines/doxycycline/taking-doxycycline-with-other-medicines-and-herbal-supplements/","accessed":{"date-parts":[["2025",2,10]]},"issued":{"date-parts":[["2022",1,20]]}}}],"schema":"https://github.com/citation-style-language/schema/raw/master/csl-citation.json"} </w:instrText>
      </w:r>
      <w:r w:rsidR="00341A2F" w:rsidRPr="0092025F">
        <w:rPr>
          <w:rStyle w:val="Strong"/>
          <w:rFonts w:eastAsiaTheme="majorEastAsia"/>
          <w:b w:val="0"/>
          <w:bCs w:val="0"/>
        </w:rPr>
        <w:fldChar w:fldCharType="separate"/>
      </w:r>
      <w:r w:rsidR="00581C40">
        <w:rPr>
          <w:rStyle w:val="Strong"/>
          <w:rFonts w:eastAsiaTheme="majorEastAsia"/>
          <w:b w:val="0"/>
          <w:bCs w:val="0"/>
          <w:noProof/>
        </w:rPr>
        <w:t>[36]</w:t>
      </w:r>
      <w:r w:rsidR="00341A2F" w:rsidRPr="0092025F">
        <w:rPr>
          <w:rStyle w:val="Strong"/>
          <w:rFonts w:eastAsiaTheme="majorEastAsia"/>
          <w:b w:val="0"/>
          <w:bCs w:val="0"/>
        </w:rPr>
        <w:fldChar w:fldCharType="end"/>
      </w:r>
      <w:r w:rsidR="00775DAC" w:rsidRPr="0092025F">
        <w:t>; (</w:t>
      </w:r>
      <w:r w:rsidR="004650EC">
        <w:t>3</w:t>
      </w:r>
      <w:r w:rsidR="00775DAC" w:rsidRPr="0092025F">
        <w:t xml:space="preserve">) </w:t>
      </w:r>
      <w:r w:rsidR="002C4FF1" w:rsidRPr="0092025F">
        <w:rPr>
          <w:rStyle w:val="Strong"/>
          <w:rFonts w:eastAsiaTheme="majorEastAsia"/>
          <w:b w:val="0"/>
          <w:bCs w:val="0"/>
        </w:rPr>
        <w:t xml:space="preserve">MSM who take doxycycline after </w:t>
      </w:r>
      <w:r w:rsidR="00CC0C92" w:rsidRPr="0092025F">
        <w:rPr>
          <w:rStyle w:val="Strong"/>
          <w:rFonts w:eastAsiaTheme="majorEastAsia"/>
          <w:b w:val="0"/>
          <w:bCs w:val="0"/>
        </w:rPr>
        <w:t xml:space="preserve">condomless </w:t>
      </w:r>
      <w:r w:rsidR="002C4FF1" w:rsidRPr="0092025F">
        <w:rPr>
          <w:rStyle w:val="Strong"/>
          <w:rFonts w:eastAsiaTheme="majorEastAsia"/>
          <w:b w:val="0"/>
          <w:bCs w:val="0"/>
        </w:rPr>
        <w:t>sex but experience reduced effectiveness</w:t>
      </w:r>
      <w:r w:rsidR="002C4FF1" w:rsidRPr="0092025F">
        <w:t xml:space="preserve"> due to factors such as alcohol consumption and inconsistent and irregular use (e.g., skipping doses, delayed intake)</w:t>
      </w:r>
      <w:r w:rsidR="0096064E" w:rsidRPr="0092025F">
        <w:t xml:space="preserve"> (i.e., </w:t>
      </w:r>
      <w:r w:rsidR="0096064E" w:rsidRPr="0092025F">
        <w:rPr>
          <w:b/>
          <w:bCs/>
        </w:rPr>
        <w:t>doxy-inconsistent</w:t>
      </w:r>
      <w:r w:rsidR="0096064E" w:rsidRPr="0092025F">
        <w:t>)</w:t>
      </w:r>
      <w:r w:rsidR="00775DAC" w:rsidRPr="0092025F">
        <w:t>; (</w:t>
      </w:r>
      <w:r w:rsidR="004650EC">
        <w:t>4</w:t>
      </w:r>
      <w:r w:rsidR="00775DAC" w:rsidRPr="0092025F">
        <w:t xml:space="preserve">) </w:t>
      </w:r>
      <w:r w:rsidR="00B70091" w:rsidRPr="0092025F">
        <w:rPr>
          <w:rStyle w:val="Strong"/>
          <w:rFonts w:eastAsiaTheme="majorEastAsia"/>
          <w:b w:val="0"/>
          <w:bCs w:val="0"/>
        </w:rPr>
        <w:t>MSM who cannot take doxycycline due to medical conditions</w:t>
      </w:r>
      <w:r w:rsidR="006F125F" w:rsidRPr="0092025F">
        <w:rPr>
          <w:rStyle w:val="Strong"/>
          <w:rFonts w:eastAsiaTheme="majorEastAsia"/>
          <w:b w:val="0"/>
          <w:bCs w:val="0"/>
        </w:rPr>
        <w:t xml:space="preserve"> </w:t>
      </w:r>
      <w:r w:rsidR="0096064E" w:rsidRPr="0092025F">
        <w:rPr>
          <w:rStyle w:val="Strong"/>
          <w:rFonts w:eastAsiaTheme="majorEastAsia"/>
          <w:b w:val="0"/>
          <w:bCs w:val="0"/>
        </w:rPr>
        <w:t xml:space="preserve">(i.e., </w:t>
      </w:r>
      <w:r w:rsidR="0096064E" w:rsidRPr="0092025F">
        <w:rPr>
          <w:rStyle w:val="Strong"/>
          <w:rFonts w:eastAsiaTheme="majorEastAsia"/>
        </w:rPr>
        <w:t>doxy-intoleran</w:t>
      </w:r>
      <w:r w:rsidR="004B3251">
        <w:rPr>
          <w:rStyle w:val="Strong"/>
          <w:rFonts w:eastAsiaTheme="majorEastAsia"/>
        </w:rPr>
        <w:t>t</w:t>
      </w:r>
      <w:r w:rsidR="0096064E" w:rsidRPr="0092025F">
        <w:rPr>
          <w:rStyle w:val="Strong"/>
          <w:rFonts w:eastAsiaTheme="majorEastAsia"/>
          <w:b w:val="0"/>
          <w:bCs w:val="0"/>
        </w:rPr>
        <w:t>)</w:t>
      </w:r>
      <w:r w:rsidR="006F125F" w:rsidRPr="0092025F">
        <w:rPr>
          <w:rStyle w:val="Strong"/>
          <w:rFonts w:eastAsiaTheme="majorEastAsia"/>
          <w:b w:val="0"/>
          <w:bCs w:val="0"/>
        </w:rPr>
        <w:t xml:space="preserve">, </w:t>
      </w:r>
      <w:r w:rsidR="00B70091" w:rsidRPr="0092025F">
        <w:t>including but not limited to</w:t>
      </w:r>
      <w:r w:rsidR="00C65147" w:rsidRPr="0092025F">
        <w:t xml:space="preserve"> a history of allergic reactions to doxycycline or related medications, kidney or liver dysfunction</w:t>
      </w:r>
      <w:r w:rsidR="006F125F" w:rsidRPr="0092025F">
        <w:t xml:space="preserve"> </w:t>
      </w:r>
      <w:r w:rsidR="006F125F" w:rsidRPr="0092025F">
        <w:rPr>
          <w:rStyle w:val="Strong"/>
          <w:rFonts w:eastAsiaTheme="majorEastAsia"/>
          <w:b w:val="0"/>
          <w:bCs w:val="0"/>
        </w:rPr>
        <w:fldChar w:fldCharType="begin"/>
      </w:r>
      <w:r w:rsidR="00581C40">
        <w:rPr>
          <w:rStyle w:val="Strong"/>
          <w:rFonts w:eastAsiaTheme="majorEastAsia"/>
          <w:b w:val="0"/>
          <w:bCs w:val="0"/>
        </w:rPr>
        <w:instrText xml:space="preserve"> ADDIN ZOTERO_ITEM CSL_CITATION {"citationID":"RBLnjJDJ","properties":{"formattedCitation":"[37]","plainCitation":"[37]","noteIndex":0},"citationItems":[{"id":416,"uris":["http://zotero.org/users/9663344/items/52MKBUSP"],"itemData":{"id":416,"type":"webpage","abstract":"NHS medicines information on who can take doxycycline and who may not be able to take it.","container-title":"National Health Service","language":"en","title":"Who can and cannot take doxycycline","URL":"https://www.nhs.uk/medicines/doxycycline/who-can-and-cannot-take-doxycycline/","accessed":{"date-parts":[["2025",2,10]]},"issued":{"date-parts":[["2022",1,20]]}}}],"schema":"https://github.com/citation-style-language/schema/raw/master/csl-citation.json"} </w:instrText>
      </w:r>
      <w:r w:rsidR="006F125F" w:rsidRPr="0092025F">
        <w:rPr>
          <w:rStyle w:val="Strong"/>
          <w:rFonts w:eastAsiaTheme="majorEastAsia"/>
          <w:b w:val="0"/>
          <w:bCs w:val="0"/>
        </w:rPr>
        <w:fldChar w:fldCharType="separate"/>
      </w:r>
      <w:r w:rsidR="00581C40">
        <w:rPr>
          <w:rStyle w:val="Strong"/>
          <w:rFonts w:eastAsiaTheme="majorEastAsia"/>
          <w:b w:val="0"/>
          <w:bCs w:val="0"/>
          <w:noProof/>
        </w:rPr>
        <w:t>[37]</w:t>
      </w:r>
      <w:r w:rsidR="006F125F" w:rsidRPr="0092025F">
        <w:rPr>
          <w:rStyle w:val="Strong"/>
          <w:rFonts w:eastAsiaTheme="majorEastAsia"/>
          <w:b w:val="0"/>
          <w:bCs w:val="0"/>
        </w:rPr>
        <w:fldChar w:fldCharType="end"/>
      </w:r>
      <w:r w:rsidR="006F125F" w:rsidRPr="0092025F">
        <w:t>, as well as those who initially take doxycycline but discontinue use due to side effects (e.g., gastrointestinal discomfort, photosensitivity, esophageal irritation)</w:t>
      </w:r>
      <w:r w:rsidR="00BD3FCD" w:rsidRPr="0092025F">
        <w:t xml:space="preserve"> </w:t>
      </w:r>
      <w:r w:rsidR="00BD3FCD" w:rsidRPr="0092025F">
        <w:fldChar w:fldCharType="begin"/>
      </w:r>
      <w:r w:rsidR="00581C40">
        <w:instrText xml:space="preserve"> ADDIN ZOTERO_ITEM CSL_CITATION {"citationID":"UXTHfa8z","properties":{"formattedCitation":"[38]","plainCitation":"[38]","noteIndex":0},"citationItems":[{"id":440,"uris":["http://zotero.org/users/9663344/items/EMZFM3P7"],"itemData":{"id":440,"type":"article-journal","abstract":"The use of medicines to prevent sexually transmitted infection (STI) acquisition has a long history. Although some biomedical prevention efforts were successful, the emergence of resistance in Neisseria gonorrhoeae to numerous antibiotics during the 20th century dampened enthusiasm for these approaches.Biomedical STI prevention is back. In the past decade, the introduction of effective biomedical approaches to HIV prevention, including HIV pre-exposure prophylaxis (PrEP) and postexposure prophylaxis (PEP), together with rising rates of STIs, rekindled interest in STI prevention. Doxycycline PEP (doxyPEP) has emerged as a new evidence-based intervention to reduce the risk of acquiring 3 bacterial STIs, including syphilis, chlamydia, and gonorrhea (hereafter, referred to as bacterial STIs, though bacterial STIs besides these 3 exist). In June 2024, the Centers for Disease Control and Prevention (CDC) published guidelines for the use of doxyPEP (doxycycline, 200 mg, self-administered orally within 72 hours of sex without a condom).","container-title":"JAMA Dermatology","DOI":"10.1001/jamadermatol.2024.4567","ISSN":"2168-6068","issue":"1","journalAbbreviation":"JAMA Dermatology","page":"7-8","source":"Silverchair","title":"Doxycycline Postexposure Prophylaxis (DoxyPEP) for Bacterial STI Prevention","volume":"161","author":[{"family":"Junejo","given":"Muhammad H."},{"family":"Marcus","given":"Julia L."},{"family":"Katz","given":"Kenneth A."}],"issued":{"date-parts":[["2025",1,1]]}}}],"schema":"https://github.com/citation-style-language/schema/raw/master/csl-citation.json"} </w:instrText>
      </w:r>
      <w:r w:rsidR="00BD3FCD" w:rsidRPr="0092025F">
        <w:fldChar w:fldCharType="separate"/>
      </w:r>
      <w:r w:rsidR="00581C40">
        <w:rPr>
          <w:noProof/>
        </w:rPr>
        <w:t>[38]</w:t>
      </w:r>
      <w:r w:rsidR="00BD3FCD" w:rsidRPr="0092025F">
        <w:fldChar w:fldCharType="end"/>
      </w:r>
      <w:r w:rsidR="006F125F" w:rsidRPr="0092025F">
        <w:t>.</w:t>
      </w:r>
    </w:p>
    <w:p w14:paraId="17B49F0E" w14:textId="125585F8" w:rsidR="00953AFD" w:rsidRDefault="00AB3E7C" w:rsidP="00953AFD">
      <w:pPr>
        <w:pStyle w:val="NormalWeb"/>
        <w:spacing w:line="276" w:lineRule="auto"/>
        <w:jc w:val="both"/>
      </w:pPr>
      <w:r w:rsidRPr="0092025F">
        <w:rPr>
          <w:rStyle w:val="Strong"/>
          <w:rFonts w:eastAsiaTheme="majorEastAsia"/>
        </w:rPr>
        <w:t>Remark</w:t>
      </w:r>
      <w:r w:rsidR="00D44D42" w:rsidRPr="0092025F">
        <w:rPr>
          <w:rStyle w:val="Strong"/>
          <w:rFonts w:eastAsiaTheme="majorEastAsia"/>
        </w:rPr>
        <w:t xml:space="preserve"> 2</w:t>
      </w:r>
      <w:r w:rsidRPr="0092025F">
        <w:rPr>
          <w:rStyle w:val="Strong"/>
          <w:rFonts w:eastAsiaTheme="majorEastAsia"/>
        </w:rPr>
        <w:t>:</w:t>
      </w:r>
      <w:r w:rsidR="004728B0" w:rsidRPr="0092025F">
        <w:rPr>
          <w:rStyle w:val="Strong"/>
          <w:rFonts w:eastAsiaTheme="majorEastAsia"/>
          <w:b w:val="0"/>
          <w:bCs w:val="0"/>
        </w:rPr>
        <w:t xml:space="preserve"> </w:t>
      </w:r>
      <w:r w:rsidR="008D5068" w:rsidRPr="0092025F">
        <w:t>The first compartment (MSM who take doxycycline after condomless sex) also includes MSM who use doxycycline as a prescribed treatment for bacterial infections, such as skin conditions (e.g., acne, rosacea), urinary and respiratory tract infections, eye infections, and chest and dental infections. Additionally, this group encompasses individuals taking doxycycline for disease prevention (e.g., malaria prophylaxis) or off-label/experimental purposes. Given that this subpopulation is challenging to distinguish due to limited data availability, we will incorporate it into the first compartment, regardless of whether doxycycline use is objectively or subjectively intended for STI PEP prevention.</w:t>
      </w:r>
      <w:r w:rsidR="006B302D" w:rsidRPr="0092025F">
        <w:t xml:space="preserve"> </w:t>
      </w:r>
      <w:r w:rsidR="00953AFD">
        <w:t xml:space="preserve">It is important to note that doxycycline is primarily used for prevention, while </w:t>
      </w:r>
      <w:r w:rsidR="00953AFD" w:rsidRPr="00953AFD">
        <w:rPr>
          <w:rStyle w:val="Strong"/>
          <w:rFonts w:eastAsiaTheme="majorEastAsia"/>
          <w:b w:val="0"/>
          <w:bCs w:val="0"/>
        </w:rPr>
        <w:t>penicillin remains the first-line treatment for syphilis</w:t>
      </w:r>
      <w:r w:rsidR="00953AFD" w:rsidRPr="00DA4A84">
        <w:t xml:space="preserve">. </w:t>
      </w:r>
      <w:r w:rsidR="00953AFD" w:rsidRPr="00953AFD">
        <w:rPr>
          <w:rStyle w:val="Strong"/>
          <w:rFonts w:eastAsiaTheme="majorEastAsia"/>
          <w:b w:val="0"/>
          <w:bCs w:val="0"/>
        </w:rPr>
        <w:t>Primary, secondary, and early latent syphilis</w:t>
      </w:r>
      <w:r w:rsidR="00953AFD">
        <w:t xml:space="preserve"> are treated with a </w:t>
      </w:r>
      <w:r w:rsidR="00953AFD" w:rsidRPr="00953AFD">
        <w:rPr>
          <w:rStyle w:val="Strong"/>
          <w:rFonts w:eastAsiaTheme="majorEastAsia"/>
          <w:b w:val="0"/>
          <w:bCs w:val="0"/>
        </w:rPr>
        <w:t>single dose</w:t>
      </w:r>
      <w:r w:rsidR="00953AFD">
        <w:t xml:space="preserve"> of </w:t>
      </w:r>
      <w:r w:rsidR="00953AFD" w:rsidRPr="00953AFD">
        <w:rPr>
          <w:rStyle w:val="Strong"/>
          <w:rFonts w:eastAsiaTheme="majorEastAsia"/>
          <w:b w:val="0"/>
          <w:bCs w:val="0"/>
        </w:rPr>
        <w:t>Benzathine Penicillin G (2.4 million units IM)</w:t>
      </w:r>
      <w:r w:rsidR="00953AFD">
        <w:t xml:space="preserve">. </w:t>
      </w:r>
      <w:r w:rsidR="00953AFD" w:rsidRPr="00953AFD">
        <w:rPr>
          <w:rStyle w:val="Strong"/>
          <w:rFonts w:eastAsiaTheme="majorEastAsia"/>
          <w:b w:val="0"/>
          <w:bCs w:val="0"/>
        </w:rPr>
        <w:t>Late latent syphilis</w:t>
      </w:r>
      <w:r w:rsidR="00953AFD">
        <w:t xml:space="preserve"> or </w:t>
      </w:r>
      <w:r w:rsidR="00953AFD" w:rsidRPr="00953AFD">
        <w:rPr>
          <w:rStyle w:val="Strong"/>
          <w:rFonts w:eastAsiaTheme="majorEastAsia"/>
          <w:b w:val="0"/>
          <w:bCs w:val="0"/>
        </w:rPr>
        <w:t>latent syphilis of unknown duration</w:t>
      </w:r>
      <w:r w:rsidR="00953AFD">
        <w:t xml:space="preserve"> requires </w:t>
      </w:r>
      <w:r w:rsidR="00953AFD" w:rsidRPr="00953AFD">
        <w:rPr>
          <w:rStyle w:val="Strong"/>
          <w:rFonts w:eastAsiaTheme="majorEastAsia"/>
          <w:b w:val="0"/>
          <w:bCs w:val="0"/>
        </w:rPr>
        <w:t>three doses</w:t>
      </w:r>
      <w:r w:rsidR="00953AFD">
        <w:t xml:space="preserve"> of </w:t>
      </w:r>
      <w:r w:rsidR="00953AFD" w:rsidRPr="00953AFD">
        <w:rPr>
          <w:rStyle w:val="Strong"/>
          <w:rFonts w:eastAsiaTheme="majorEastAsia"/>
          <w:b w:val="0"/>
          <w:bCs w:val="0"/>
        </w:rPr>
        <w:t>Benzathine Penicillin G (2.4 million units IM, administered once per week for three weeks)</w:t>
      </w:r>
      <w:r w:rsidR="00953AFD">
        <w:t xml:space="preserve">. </w:t>
      </w:r>
      <w:r w:rsidR="00953AFD" w:rsidRPr="00953AFD">
        <w:rPr>
          <w:rStyle w:val="Strong"/>
          <w:rFonts w:eastAsiaTheme="majorEastAsia"/>
          <w:b w:val="0"/>
          <w:bCs w:val="0"/>
        </w:rPr>
        <w:t>Tertiary syphilis</w:t>
      </w:r>
      <w:r w:rsidR="00953AFD">
        <w:t xml:space="preserve">, including </w:t>
      </w:r>
      <w:r w:rsidR="00953AFD" w:rsidRPr="00953AFD">
        <w:rPr>
          <w:rStyle w:val="Strong"/>
          <w:rFonts w:eastAsiaTheme="majorEastAsia"/>
          <w:b w:val="0"/>
          <w:bCs w:val="0"/>
        </w:rPr>
        <w:t>gummatous and cardiovascular syphilis</w:t>
      </w:r>
      <w:r w:rsidR="00953AFD">
        <w:t xml:space="preserve">, follows the same three-dose regimen. However, </w:t>
      </w:r>
      <w:r w:rsidR="00953AFD" w:rsidRPr="00953AFD">
        <w:rPr>
          <w:rStyle w:val="Strong"/>
          <w:rFonts w:eastAsiaTheme="majorEastAsia"/>
          <w:b w:val="0"/>
          <w:bCs w:val="0"/>
        </w:rPr>
        <w:t>neurosyphilis and ocular syphilis</w:t>
      </w:r>
      <w:r w:rsidR="00953AFD">
        <w:t xml:space="preserve"> require </w:t>
      </w:r>
      <w:r w:rsidR="00953AFD" w:rsidRPr="00953AFD">
        <w:rPr>
          <w:rStyle w:val="Strong"/>
          <w:rFonts w:eastAsiaTheme="majorEastAsia"/>
          <w:b w:val="0"/>
          <w:bCs w:val="0"/>
        </w:rPr>
        <w:t>IV Aqueous Penicillin G (18–24 million units per day, given every four hours or via continuous infusion for 10–14 days)</w:t>
      </w:r>
      <w:r w:rsidR="00953AFD">
        <w:t>.</w:t>
      </w:r>
    </w:p>
    <w:p w14:paraId="1D27FA00" w14:textId="7E80B82B" w:rsidR="00AC6110" w:rsidRPr="00671405" w:rsidRDefault="00265C62" w:rsidP="00953AFD">
      <w:pPr>
        <w:pStyle w:val="NormalWeb"/>
        <w:spacing w:line="276" w:lineRule="auto"/>
        <w:jc w:val="both"/>
        <w:rPr>
          <w:lang w:val="en-GB"/>
        </w:rPr>
      </w:pPr>
      <w:r w:rsidRPr="00671405">
        <w:lastRenderedPageBreak/>
        <w:t>In our model, doxy-PEP uptake can occur at four key points: before entering the sexually active population</w:t>
      </w:r>
      <w:r w:rsidRPr="00671405">
        <w:rPr>
          <w:rFonts w:eastAsia="DengXian"/>
          <w:iCs/>
        </w:rPr>
        <w:t xml:space="preserve"> </w:t>
      </w:r>
      <w:r w:rsidR="002E2E54" w:rsidRPr="00671405">
        <w:rPr>
          <w:rFonts w:eastAsia="DengXian"/>
          <w:iCs/>
        </w:rPr>
        <w:t>(</w:t>
      </w:r>
      <m:oMath>
        <m:sSup>
          <m:sSupPr>
            <m:ctrlPr>
              <w:rPr>
                <w:rFonts w:ascii="Cambria Math" w:eastAsia="DengXian" w:hAnsi="Cambria Math"/>
                <w:i/>
              </w:rPr>
            </m:ctrlPr>
          </m:sSupPr>
          <m:e>
            <m:r>
              <w:rPr>
                <w:rFonts w:ascii="Cambria Math" w:eastAsia="DengXian" w:hAnsi="Cambria Math"/>
              </w:rPr>
              <m:t>p</m:t>
            </m:r>
          </m:e>
          <m:sup>
            <m:r>
              <w:rPr>
                <w:rFonts w:ascii="Cambria Math" w:eastAsia="DengXian" w:hAnsi="Cambria Math"/>
              </w:rPr>
              <m:t>DbE</m:t>
            </m:r>
          </m:sup>
        </m:sSup>
      </m:oMath>
      <w:r w:rsidR="002E2E54" w:rsidRPr="00671405">
        <w:rPr>
          <w:rFonts w:eastAsia="DengXian"/>
          <w:iCs/>
        </w:rPr>
        <w:t>)</w:t>
      </w:r>
      <w:r w:rsidRPr="00671405">
        <w:t xml:space="preserve"> , upon diagnosis of syphilis </w:t>
      </w:r>
      <w:r w:rsidR="002E2E54" w:rsidRPr="00671405">
        <w:t>(</w:t>
      </w:r>
      <m:oMath>
        <m:sSup>
          <m:sSupPr>
            <m:ctrlPr>
              <w:rPr>
                <w:rFonts w:ascii="Cambria Math" w:hAnsi="Cambria Math"/>
                <w:i/>
              </w:rPr>
            </m:ctrlPr>
          </m:sSupPr>
          <m:e>
            <m:r>
              <w:rPr>
                <w:rFonts w:ascii="Cambria Math" w:hAnsi="Cambria Math"/>
              </w:rPr>
              <m:t>p</m:t>
            </m:r>
          </m:e>
          <m:sup>
            <m:r>
              <w:rPr>
                <w:rFonts w:ascii="Cambria Math" w:hAnsi="Cambria Math"/>
              </w:rPr>
              <m:t>DoD</m:t>
            </m:r>
          </m:sup>
        </m:sSup>
      </m:oMath>
      <w:r w:rsidRPr="00671405">
        <w:t>), after testing negative</w:t>
      </w:r>
      <w:r w:rsidR="002E2E54" w:rsidRPr="00671405">
        <w:t xml:space="preserve"> (</w:t>
      </w:r>
      <m:oMath>
        <m:sSup>
          <m:sSupPr>
            <m:ctrlPr>
              <w:rPr>
                <w:rFonts w:ascii="Cambria Math" w:hAnsi="Cambria Math"/>
                <w:i/>
              </w:rPr>
            </m:ctrlPr>
          </m:sSupPr>
          <m:e>
            <m:r>
              <w:rPr>
                <w:rFonts w:ascii="Cambria Math" w:hAnsi="Cambria Math"/>
              </w:rPr>
              <m:t>p</m:t>
            </m:r>
          </m:e>
          <m:sup>
            <m:r>
              <w:rPr>
                <w:rFonts w:ascii="Cambria Math" w:hAnsi="Cambria Math"/>
              </w:rPr>
              <m:t>DoS</m:t>
            </m:r>
          </m:sup>
        </m:sSup>
      </m:oMath>
      <w:r w:rsidR="002E2E54" w:rsidRPr="00671405">
        <w:t xml:space="preserve">) </w:t>
      </w:r>
      <w:r w:rsidRPr="00671405">
        <w:t>if offered during routine screening</w:t>
      </w:r>
      <w:r w:rsidR="0091632D" w:rsidRPr="00671405">
        <w:t xml:space="preserve"> (DoS, i.e., providing doxycycline to individuals attending STI clinics for testing but receiving negative results)</w:t>
      </w:r>
      <w:r w:rsidRPr="00671405">
        <w:t xml:space="preserve">, or through non-STI medical clinics or informal sources </w:t>
      </w:r>
      <w:r w:rsidR="00247BD5" w:rsidRPr="00671405">
        <w:t>(</w:t>
      </w:r>
      <m:oMath>
        <m:r>
          <w:rPr>
            <w:rFonts w:ascii="Cambria Math" w:hAnsi="Cambria Math"/>
          </w:rPr>
          <m:t>ι</m:t>
        </m:r>
      </m:oMath>
      <w:r w:rsidR="00247BD5" w:rsidRPr="00671405">
        <w:t xml:space="preserve">) </w:t>
      </w:r>
      <w:r w:rsidRPr="00671405">
        <w:t xml:space="preserve">(e.g., obtaining doxycycline from friends or using alternative prescriptions for bacterial infections such as skin conditions [acne, rosacea], urinary and respiratory tract infections, eye infections, chest and dental infections, malaria prophylaxis, or off-label/experimental purposes) </w:t>
      </w:r>
      <w:r w:rsidRPr="00671405">
        <w:rPr>
          <w:lang w:val="en-GB"/>
        </w:rPr>
        <w:fldChar w:fldCharType="begin"/>
      </w:r>
      <w:r w:rsidR="00581C40">
        <w:rPr>
          <w:lang w:val="en-GB"/>
        </w:rPr>
        <w:instrText xml:space="preserve"> ADDIN ZOTERO_ITEM CSL_CITATION {"citationID":"XSM0k5GD","properties":{"formattedCitation":"[39]","plainCitation":"[39]","noteIndex":0},"citationItems":[{"id":445,"uris":["http://zotero.org/users/9663344/items/B4CF7BKL"],"itemData":{"id":445,"type":"webpage","abstract":"NHS medicines information on doxycycline – what it's used for and key facts.","container-title":"National Health Service","language":"en","title":"About doxycycline","URL":"https://www.nhs.uk/medicines/doxycycline/about-doxycycline/","accessed":{"date-parts":[["2025",2,20]]},"issued":{"date-parts":[["2022",1,20]]}}}],"schema":"https://github.com/citation-style-language/schema/raw/master/csl-citation.json"} </w:instrText>
      </w:r>
      <w:r w:rsidRPr="00671405">
        <w:rPr>
          <w:lang w:val="en-GB"/>
        </w:rPr>
        <w:fldChar w:fldCharType="separate"/>
      </w:r>
      <w:r w:rsidR="00581C40">
        <w:rPr>
          <w:noProof/>
          <w:lang w:val="en-GB"/>
        </w:rPr>
        <w:t>[39]</w:t>
      </w:r>
      <w:r w:rsidRPr="00671405">
        <w:rPr>
          <w:lang w:val="en-GB"/>
        </w:rPr>
        <w:fldChar w:fldCharType="end"/>
      </w:r>
      <w:r w:rsidR="002E2E54" w:rsidRPr="00671405">
        <w:rPr>
          <w:lang w:val="en-GB"/>
        </w:rPr>
        <w:t>.</w:t>
      </w:r>
      <w:r w:rsidR="00AC6110" w:rsidRPr="00671405">
        <w:rPr>
          <w:lang w:val="en-GB"/>
        </w:rPr>
        <w:t xml:space="preserve"> </w:t>
      </w:r>
      <w:r w:rsidR="0091632D" w:rsidRPr="00671405">
        <w:t>Our model considers three targeted doxy-PEP strategies</w:t>
      </w:r>
      <w:r w:rsidR="00197025">
        <w:t xml:space="preserve"> (i.e., DbE, DoD, DoS)</w:t>
      </w:r>
      <w:r w:rsidR="0091632D" w:rsidRPr="00671405">
        <w:t>, which can be implemented individually or in combination:</w:t>
      </w:r>
      <w:r w:rsidR="00AC6110" w:rsidRPr="00671405">
        <w:rPr>
          <w:lang w:val="en-GB"/>
        </w:rPr>
        <w:t xml:space="preserve"> (1) DbE; (2) DoD; (3) DoA</w:t>
      </w:r>
      <w:r w:rsidR="0091632D" w:rsidRPr="00671405">
        <w:rPr>
          <w:lang w:val="en-GB"/>
        </w:rPr>
        <w:t xml:space="preserve"> (i.e., </w:t>
      </w:r>
      <w:r w:rsidR="00AC6110" w:rsidRPr="00671405">
        <w:rPr>
          <w:lang w:val="en-GB"/>
        </w:rPr>
        <w:t>DoD + DoS</w:t>
      </w:r>
      <w:r w:rsidR="0091632D" w:rsidRPr="00671405">
        <w:rPr>
          <w:lang w:val="en-GB"/>
        </w:rPr>
        <w:t>)</w:t>
      </w:r>
      <w:r w:rsidR="00671405" w:rsidRPr="00671405">
        <w:rPr>
          <w:lang w:val="en-GB"/>
        </w:rPr>
        <w:t>:</w:t>
      </w:r>
      <w:r w:rsidR="00671405" w:rsidRPr="00671405">
        <w:t xml:space="preserve"> a combined approach where doxy-PEP is offered both upon STI diagnosis and after testing negative at STI clinics</w:t>
      </w:r>
      <w:r w:rsidR="0091632D" w:rsidRPr="00671405">
        <w:rPr>
          <w:lang w:val="en-GB"/>
        </w:rPr>
        <w:t>; (4) DaR</w:t>
      </w:r>
      <w:r w:rsidR="00671405" w:rsidRPr="00671405">
        <w:rPr>
          <w:lang w:val="en-GB"/>
        </w:rPr>
        <w:t xml:space="preserve">: </w:t>
      </w:r>
      <w:r w:rsidR="00671405" w:rsidRPr="00671405">
        <w:t>a risk-stratified approach where DoD is provided to individuals in the low-activity group, and DoA is offered to those in the high-activity group (this is equivalent to providing DoD to all individuals while restricting DoS to those at higher risk).</w:t>
      </w:r>
    </w:p>
    <w:p w14:paraId="1C7C1635" w14:textId="104365C7" w:rsidR="00AB3B0D" w:rsidRPr="002E2E54" w:rsidRDefault="00AB3B0D" w:rsidP="0092025F">
      <w:pPr>
        <w:pStyle w:val="NormalWeb"/>
        <w:spacing w:line="276" w:lineRule="auto"/>
        <w:jc w:val="both"/>
        <w:rPr>
          <w:lang w:val="en-GB"/>
        </w:rPr>
      </w:pPr>
    </w:p>
    <w:p w14:paraId="673B3FA1" w14:textId="77777777" w:rsidR="00AB3B0D" w:rsidRDefault="00AB3B0D" w:rsidP="0092025F">
      <w:pPr>
        <w:pStyle w:val="NormalWeb"/>
        <w:spacing w:line="276" w:lineRule="auto"/>
        <w:jc w:val="both"/>
      </w:pPr>
    </w:p>
    <w:p w14:paraId="40FF0D70" w14:textId="77777777" w:rsidR="00AB3B0D" w:rsidRDefault="00AB3B0D" w:rsidP="0092025F">
      <w:pPr>
        <w:pStyle w:val="NormalWeb"/>
        <w:spacing w:line="276" w:lineRule="auto"/>
        <w:jc w:val="both"/>
      </w:pPr>
    </w:p>
    <w:p w14:paraId="6210441F" w14:textId="77777777" w:rsidR="00AB3B0D" w:rsidRDefault="00AB3B0D" w:rsidP="0092025F">
      <w:pPr>
        <w:pStyle w:val="NormalWeb"/>
        <w:spacing w:line="276" w:lineRule="auto"/>
        <w:jc w:val="both"/>
      </w:pPr>
    </w:p>
    <w:p w14:paraId="4614200F" w14:textId="77777777" w:rsidR="00AB3B0D" w:rsidRDefault="00AB3B0D" w:rsidP="0092025F">
      <w:pPr>
        <w:pStyle w:val="NormalWeb"/>
        <w:spacing w:line="276" w:lineRule="auto"/>
        <w:jc w:val="both"/>
      </w:pPr>
    </w:p>
    <w:p w14:paraId="6C69D810" w14:textId="77777777" w:rsidR="00AB3B0D" w:rsidRDefault="00AB3B0D" w:rsidP="0092025F">
      <w:pPr>
        <w:pStyle w:val="NormalWeb"/>
        <w:spacing w:line="276" w:lineRule="auto"/>
        <w:jc w:val="both"/>
      </w:pPr>
    </w:p>
    <w:p w14:paraId="7A5C3FFE" w14:textId="77777777" w:rsidR="00AB3B0D" w:rsidRDefault="00AB3B0D" w:rsidP="0092025F">
      <w:pPr>
        <w:pStyle w:val="NormalWeb"/>
        <w:spacing w:line="276" w:lineRule="auto"/>
        <w:jc w:val="both"/>
      </w:pPr>
    </w:p>
    <w:p w14:paraId="3B55EFB3" w14:textId="77777777" w:rsidR="00E232BD" w:rsidRDefault="00E232BD" w:rsidP="0092025F">
      <w:pPr>
        <w:pStyle w:val="NormalWeb"/>
        <w:spacing w:line="276" w:lineRule="auto"/>
        <w:jc w:val="both"/>
      </w:pPr>
    </w:p>
    <w:p w14:paraId="35787468" w14:textId="77777777" w:rsidR="00E232BD" w:rsidRDefault="00E232BD" w:rsidP="0092025F">
      <w:pPr>
        <w:pStyle w:val="NormalWeb"/>
        <w:spacing w:line="276" w:lineRule="auto"/>
        <w:jc w:val="both"/>
      </w:pPr>
    </w:p>
    <w:p w14:paraId="21A012A5" w14:textId="77777777" w:rsidR="00E232BD" w:rsidRDefault="00E232BD" w:rsidP="0092025F">
      <w:pPr>
        <w:pStyle w:val="NormalWeb"/>
        <w:spacing w:line="276" w:lineRule="auto"/>
        <w:jc w:val="both"/>
      </w:pPr>
    </w:p>
    <w:p w14:paraId="08B04BFA" w14:textId="77777777" w:rsidR="00E232BD" w:rsidRDefault="00E232BD" w:rsidP="0092025F">
      <w:pPr>
        <w:pStyle w:val="NormalWeb"/>
        <w:spacing w:line="276" w:lineRule="auto"/>
        <w:jc w:val="both"/>
      </w:pPr>
    </w:p>
    <w:p w14:paraId="5D90D7B1" w14:textId="77777777" w:rsidR="00E232BD" w:rsidRDefault="00E232BD" w:rsidP="0092025F">
      <w:pPr>
        <w:pStyle w:val="NormalWeb"/>
        <w:spacing w:line="276" w:lineRule="auto"/>
        <w:jc w:val="both"/>
      </w:pPr>
    </w:p>
    <w:p w14:paraId="23E7EE24" w14:textId="77777777" w:rsidR="00E232BD" w:rsidRDefault="00E232BD" w:rsidP="0092025F">
      <w:pPr>
        <w:pStyle w:val="NormalWeb"/>
        <w:spacing w:line="276" w:lineRule="auto"/>
        <w:jc w:val="both"/>
      </w:pPr>
    </w:p>
    <w:p w14:paraId="22A97A7F" w14:textId="77777777" w:rsidR="00E232BD" w:rsidRDefault="00E232BD" w:rsidP="0092025F">
      <w:pPr>
        <w:pStyle w:val="NormalWeb"/>
        <w:spacing w:line="276" w:lineRule="auto"/>
        <w:jc w:val="both"/>
      </w:pPr>
    </w:p>
    <w:p w14:paraId="64B7D0F2" w14:textId="77777777" w:rsidR="00E232BD" w:rsidRPr="00E232BD" w:rsidRDefault="00E232BD" w:rsidP="0092025F">
      <w:pPr>
        <w:pStyle w:val="NormalWeb"/>
        <w:spacing w:line="276" w:lineRule="auto"/>
        <w:jc w:val="both"/>
        <w:rPr>
          <w:lang w:val="en-US"/>
        </w:rPr>
      </w:pPr>
    </w:p>
    <w:p w14:paraId="63BD091F" w14:textId="72ED80F0" w:rsidR="00AC3018" w:rsidRPr="0092025F" w:rsidRDefault="00AC3018" w:rsidP="0092025F">
      <w:pPr>
        <w:pStyle w:val="NormalWeb"/>
        <w:spacing w:line="276" w:lineRule="auto"/>
        <w:jc w:val="both"/>
      </w:pPr>
      <w:r w:rsidRPr="0092025F">
        <w:lastRenderedPageBreak/>
        <w:t>Table 1: Model parameters</w:t>
      </w:r>
      <w:r w:rsidR="000F4461">
        <w:t>. Transition rate parameters (</w:t>
      </w:r>
      <m:oMath>
        <m:r>
          <m:rPr>
            <m:sty m:val="p"/>
          </m:rPr>
          <w:rPr>
            <w:rFonts w:ascii="Cambria Math" w:hAnsi="Cambria Math"/>
          </w:rPr>
          <m:t>θ∈</m:t>
        </m:r>
        <m:r>
          <m:rPr>
            <m:lit/>
          </m:rPr>
          <w:rPr>
            <w:rFonts w:ascii="Cambria Math" w:hAnsi="Cambria Math"/>
          </w:rPr>
          <m:t>{</m:t>
        </m:r>
        <m:r>
          <m:rPr>
            <m:sty m:val="p"/>
          </m:rPr>
          <w:rPr>
            <w:rFonts w:ascii="Cambria Math" w:hAnsi="Cambria Math"/>
          </w:rPr>
          <m:t>σ</m:t>
        </m:r>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S</m:t>
            </m:r>
          </m:sub>
        </m:sSub>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E</m:t>
            </m:r>
          </m:sub>
        </m:sSub>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r>
          <w:rPr>
            <w:rFonts w:ascii="Cambria Math" w:hAnsi="Cambria Math"/>
          </w:rPr>
          <m:t>,</m:t>
        </m:r>
        <m:r>
          <m:rPr>
            <m:sty m:val="p"/>
          </m:rPr>
          <w:rPr>
            <w:rFonts w:ascii="Cambria Math" w:hAnsi="Cambria Math"/>
          </w:rPr>
          <m:t>μ</m:t>
        </m:r>
        <m:r>
          <w:rPr>
            <w:rFonts w:ascii="Cambria Math" w:hAnsi="Cambria Math"/>
          </w:rPr>
          <m:t>,</m:t>
        </m:r>
        <m:r>
          <m:rPr>
            <m:sty m:val="p"/>
          </m:rPr>
          <w:rPr>
            <w:rFonts w:ascii="Cambria Math" w:hAnsi="Cambria Math"/>
          </w:rPr>
          <m:t>ρ</m:t>
        </m:r>
        <m:r>
          <m:rPr>
            <m:lit/>
          </m:rPr>
          <w:rPr>
            <w:rFonts w:ascii="Cambria Math" w:hAnsi="Cambria Math"/>
          </w:rPr>
          <m:t>}</m:t>
        </m:r>
      </m:oMath>
      <w:r w:rsidR="000F4461">
        <w:t>) are presented in an annual basis. “</w:t>
      </w:r>
      <w:r w:rsidR="00A043A4">
        <w:t>TD</w:t>
      </w:r>
      <w:r w:rsidR="000F4461">
        <w:t>” indicates that parameter values are calculated using the corresponding time-dependent equations. The “</w:t>
      </w:r>
      <w:r w:rsidR="008C349D">
        <w:t>*</w:t>
      </w:r>
      <w:r w:rsidR="000F4461">
        <w:t>” symbol denotes parameters that are not disease-specific and are derived from studies on gonorrhoea</w:t>
      </w:r>
      <w:r w:rsidR="000C5DB4">
        <w:t xml:space="preserve"> </w:t>
      </w:r>
      <w:r w:rsidR="000C5DB4">
        <w:fldChar w:fldCharType="begin"/>
      </w:r>
      <w:r w:rsidR="000C5DB4">
        <w:instrText xml:space="preserve"> ADDIN ZOTERO_ITEM CSL_CITATION {"citationID":"pfnPa7WL","properties":{"formattedCitation":"[40]","plainCitation":"[40]","noteIndex":0},"citationItems":[{"id":342,"uris":["http://zotero.org/users/9663344/items/KT468CMT"],"itemData":{"id":342,"type":"article-journal","abstract":"Background Gonorrhoea is a rapidly growing public health threat, with rising incidence and increasing drug resistance. Evidence that the MeNZB and four-component serogroup B meningococcal (4CMenB) vaccines, designed against Neisseria meningitidis, can also offer protection against gonorrhoea has created interest in using 4CMenB for this purpose and for developing gonorrhoea-specific vaccines. However, cost-effectiveness, and how the efficacy and duration of protection affect a gonorrhoea vaccine’s value, have not been assessed.","container-title":"The Lancet Infectious Diseases","DOI":"10.1016/S1473-3099(21)00744-1","ISSN":"14733099","issue":"7","journalAbbreviation":"The Lancet Infectious Diseases","language":"en","page":"1030-1041","source":"DOI.org (Crossref)","title":"Public health impact and cost-effectiveness of gonorrhoea vaccination: an integrated transmission-dynamic health-economic modelling analysis","title-short":"Public health impact and cost-effectiveness of gonorrhoea vaccination","volume":"22","author":[{"family":"Whittles","given":"Lilith K"},{"family":"Didelot","given":"Xavier"},{"family":"White","given":"Peter J"}],"issued":{"date-parts":[["2022",7]]}}}],"schema":"https://github.com/citation-style-language/schema/raw/master/csl-citation.json"} </w:instrText>
      </w:r>
      <w:r w:rsidR="000C5DB4">
        <w:fldChar w:fldCharType="separate"/>
      </w:r>
      <w:r w:rsidR="000C5DB4">
        <w:rPr>
          <w:noProof/>
        </w:rPr>
        <w:t>[40]</w:t>
      </w:r>
      <w:r w:rsidR="000C5DB4">
        <w:fldChar w:fldCharType="end"/>
      </w:r>
      <w:r w:rsidR="000F4461">
        <w:t>.</w:t>
      </w:r>
      <w:r w:rsidR="0073131D">
        <w:t xml:space="preserve"> The “Prior” indicates that parameter values are inferred from the data using Bayesian</w:t>
      </w:r>
      <w:r w:rsidR="006C1934">
        <w:t xml:space="preserve"> framework</w:t>
      </w:r>
      <w:r w:rsidR="0073131D">
        <w:t>.</w:t>
      </w:r>
      <w:r w:rsidR="009C7527">
        <w:t xml:space="preserve"> Assuming all individuals participate in anal sex also participate in oral sex (i.e., anal sex population is a subset of oral sex population)</w:t>
      </w:r>
      <w:r w:rsidR="00B93770">
        <w:t xml:space="preserve"> </w:t>
      </w:r>
      <w:r w:rsidR="00B93770">
        <w:fldChar w:fldCharType="begin"/>
      </w:r>
      <w:r w:rsidR="000C5DB4">
        <w:instrText xml:space="preserve"> ADDIN ZOTERO_ITEM CSL_CITATION {"citationID":"3JSbSCNK","properties":{"formattedCitation":"[41]","plainCitation":"[41]","noteIndex":0},"citationItems":[{"id":477,"uris":["http://zotero.org/users/9663344/items/LZEHXT68"],"itemData":{"id":477,"type":"article-journal","abstract":"Introduction. Recent nationally representative studies documenting event-level sexual behavior have included samples that are predominantly heterosexual, resulting in limited information on the sexual repertoire of gay and bisexually identified men. Aim. This study sought to document the sexual behaviors that gay and bisexually identified men report during their most recent male-partnered sexual event and to describe the situational characteristics and participants' evaluation of these events. Methods. Via an internet-based survey, data were collected from 24,787 gay and bisexually identified men (ages 18–87 years) from 50 US states and the District of Columbia. Main Outcome Measures. Measures included items related to sociodemographics, recent sexual behavior history, situational characteristics, orgasm, and ratings of arousal and pleasure. Results. Participants' mean age was 39.2 years; ethnicities included white (84.6%), Latino (6.4%), and African American (3.6%); and most men (79.9%) identified as homosexual. The most commonly reported behavior was kissing a partner on the mouth (74.5%), followed by oral sex (72.7%), and partnered masturbation (68.4%). Anal intercourse occurred among less than half of participants (37.2%) and was most common among men ages 18–24 (42.7%). Sex was most likely to occur in the participant's home (46.8%), with less frequently reported locations including hotels (7.4%) and public spaces (3.1%). The number of behaviors engaged in during last sexual event varied with most (63.2%) including 5–9 different sexual behaviors. Conclusions. These data provide one of the first examinations of sexual behaviors during the most recent male-partnered sexual event among gay and bisexually identified men in the United States. Findings from this study suggest that gay and bisexually identified men have a diverse sexual repertoire and that partnered sexual behaviors are not limited solely to acts of penile insertion. Rosenberger JG, Reece M, Schick V, Herbenick D, Novak DS, Van Der Pol B, and Fortenberry JD. Sexual behaviors and situational characteristics of most recent male-partnered sexual event among gay and bisexually identified men in the United States. J Sex Med 2011;8:3040–3050.","container-title":"The Journal of Sexual Medicine","DOI":"10.1111/j.1743-6109.2011.02438.x","ISSN":"1743-6109","issue":"11","language":"en","license":"© 2011 International Society for Sexual Medicine","note":"_eprint: https://onlinelibrary.wiley.com/doi/pdf/10.1111/j.1743-6109.2011.02438.x","page":"3040-3050","source":"Wiley Online Library","title":"Sexual Behaviors and Situational Characteristics of Most Recent Male-Partnered Sexual Event among Gay and Bisexually Identified Men in the United States","volume":"8","author":[{"family":"Rosenberger","given":"Joshua G."},{"family":"Reece","given":"Michael"},{"family":"Schick","given":"Vanessa"},{"family":"Herbenick","given":"Debby"},{"family":"Novak","given":"David S."},{"family":"Van Der Pol","given":"Barbara"},{"family":"Fortenberry","given":"J. Dennis"}],"issued":{"date-parts":[["2011"]]}}}],"schema":"https://github.com/citation-style-language/schema/raw/master/csl-citation.json"} </w:instrText>
      </w:r>
      <w:r w:rsidR="00B93770">
        <w:fldChar w:fldCharType="separate"/>
      </w:r>
      <w:r w:rsidR="000C5DB4">
        <w:rPr>
          <w:noProof/>
        </w:rPr>
        <w:t>[41]</w:t>
      </w:r>
      <w:r w:rsidR="00B93770">
        <w:fldChar w:fldCharType="end"/>
      </w:r>
      <w:r w:rsidR="009C7527">
        <w:t>.</w:t>
      </w:r>
    </w:p>
    <w:tbl>
      <w:tblPr>
        <w:tblStyle w:val="ListTable1Light"/>
        <w:tblW w:w="0" w:type="auto"/>
        <w:tblLook w:val="06A0" w:firstRow="1" w:lastRow="0" w:firstColumn="1" w:lastColumn="0" w:noHBand="1" w:noVBand="1"/>
      </w:tblPr>
      <w:tblGrid>
        <w:gridCol w:w="990"/>
        <w:gridCol w:w="5673"/>
        <w:gridCol w:w="2363"/>
      </w:tblGrid>
      <w:tr w:rsidR="00525F26" w:rsidRPr="0092025F" w14:paraId="687E92F4" w14:textId="77777777" w:rsidTr="00FF3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0375CF04" w14:textId="7A9927B3" w:rsidR="00F26698" w:rsidRPr="0092025F" w:rsidRDefault="00F26698" w:rsidP="006F27B6">
            <w:pPr>
              <w:pStyle w:val="NormalWeb"/>
              <w:spacing w:line="276" w:lineRule="auto"/>
            </w:pPr>
            <w:r w:rsidRPr="0092025F">
              <w:t>Symbol</w:t>
            </w:r>
          </w:p>
        </w:tc>
        <w:tc>
          <w:tcPr>
            <w:tcW w:w="5673" w:type="dxa"/>
            <w:shd w:val="clear" w:color="auto" w:fill="auto"/>
          </w:tcPr>
          <w:p w14:paraId="599382C6" w14:textId="64D5D6AA" w:rsidR="00F26698" w:rsidRPr="00610BC1" w:rsidRDefault="00F26698" w:rsidP="006F27B6">
            <w:pPr>
              <w:pStyle w:val="NormalWeb"/>
              <w:spacing w:line="276" w:lineRule="auto"/>
              <w:cnfStyle w:val="100000000000" w:firstRow="1" w:lastRow="0" w:firstColumn="0" w:lastColumn="0" w:oddVBand="0" w:evenVBand="0" w:oddHBand="0" w:evenHBand="0" w:firstRowFirstColumn="0" w:firstRowLastColumn="0" w:lastRowFirstColumn="0" w:lastRowLastColumn="0"/>
            </w:pPr>
            <w:r w:rsidRPr="00610BC1">
              <w:t>Parameter</w:t>
            </w:r>
          </w:p>
        </w:tc>
        <w:tc>
          <w:tcPr>
            <w:tcW w:w="2363" w:type="dxa"/>
            <w:shd w:val="clear" w:color="auto" w:fill="auto"/>
          </w:tcPr>
          <w:p w14:paraId="071C6C97" w14:textId="2334BA26" w:rsidR="00F26698" w:rsidRPr="0092025F" w:rsidRDefault="00F26698" w:rsidP="00155CFE">
            <w:pPr>
              <w:pStyle w:val="NormalWeb"/>
              <w:spacing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92025F">
              <w:t>Values</w:t>
            </w:r>
          </w:p>
        </w:tc>
      </w:tr>
      <w:tr w:rsidR="00525F26" w:rsidRPr="0092025F" w14:paraId="2147256C"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5AD87A06" w14:textId="124A285B" w:rsidR="00F26698" w:rsidRPr="007D0EB4" w:rsidRDefault="00000000" w:rsidP="00155CFE">
            <w:pPr>
              <w:pStyle w:val="NormalWeb"/>
              <w:spacing w:line="276" w:lineRule="auto"/>
              <w:jc w:val="both"/>
              <w:rPr>
                <w:rFonts w:asciiTheme="minorHAnsi" w:eastAsiaTheme="minorEastAsia" w:hAnsiTheme="minorHAnsi" w:cstheme="minorBidi"/>
                <w:b w:val="0"/>
                <w:bCs w:val="0"/>
                <w:i/>
              </w:rPr>
            </w:pPr>
            <m:oMathPara>
              <m:oMathParaPr>
                <m:jc m:val="left"/>
              </m:oMathParaPr>
              <m:oMath>
                <m:sSub>
                  <m:sSubPr>
                    <m:ctrlPr>
                      <w:rPr>
                        <w:rFonts w:ascii="Cambria Math" w:hAnsi="Cambria Math"/>
                        <w:b w:val="0"/>
                        <w:bCs w:val="0"/>
                        <w:i/>
                      </w:rPr>
                    </m:ctrlPr>
                  </m:sSubPr>
                  <m:e>
                    <m:r>
                      <m:rPr>
                        <m:sty m:val="bi"/>
                      </m:rPr>
                      <w:rPr>
                        <w:rFonts w:ascii="Cambria Math" w:hAnsi="Cambria Math"/>
                      </w:rPr>
                      <m:t>q</m:t>
                    </m:r>
                  </m:e>
                  <m:sub>
                    <m:r>
                      <m:rPr>
                        <m:sty m:val="bi"/>
                      </m:rPr>
                      <w:rPr>
                        <w:rFonts w:ascii="Cambria Math" w:hAnsi="Cambria Math"/>
                      </w:rPr>
                      <m:t>L</m:t>
                    </m:r>
                  </m:sub>
                </m:sSub>
              </m:oMath>
            </m:oMathPara>
          </w:p>
        </w:tc>
        <w:tc>
          <w:tcPr>
            <w:tcW w:w="5673" w:type="dxa"/>
            <w:shd w:val="clear" w:color="auto" w:fill="auto"/>
          </w:tcPr>
          <w:p w14:paraId="3DCE1AC9" w14:textId="5EBB78EC" w:rsidR="00F26698" w:rsidRPr="00610BC1" w:rsidRDefault="00F26698" w:rsidP="00155CFE">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 xml:space="preserve">Proportion of the MSM population in </w:t>
            </w:r>
            <w:r w:rsidR="00D4172E" w:rsidRPr="00610BC1">
              <w:t>g</w:t>
            </w:r>
            <w:r w:rsidRPr="00610BC1">
              <w:t xml:space="preserve">roup </w:t>
            </w:r>
            <w:r w:rsidRPr="006C7107">
              <w:rPr>
                <w:i/>
                <w:iCs/>
              </w:rPr>
              <w:t>L</w:t>
            </w:r>
          </w:p>
        </w:tc>
        <w:tc>
          <w:tcPr>
            <w:tcW w:w="2363" w:type="dxa"/>
            <w:shd w:val="clear" w:color="auto" w:fill="auto"/>
          </w:tcPr>
          <w:p w14:paraId="70D7C901" w14:textId="2457A9D8" w:rsidR="00F26698" w:rsidRPr="0092025F" w:rsidRDefault="00CC787B" w:rsidP="00155CFE">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0.793</w:t>
            </w:r>
          </w:p>
        </w:tc>
      </w:tr>
      <w:tr w:rsidR="00525F26" w:rsidRPr="0092025F" w14:paraId="33AB2F49"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1737607" w14:textId="362FA86D" w:rsidR="00F26698" w:rsidRPr="007D0EB4" w:rsidRDefault="00000000" w:rsidP="00E43644">
            <w:pPr>
              <w:pStyle w:val="NormalWeb"/>
              <w:spacing w:line="276" w:lineRule="auto"/>
              <w:jc w:val="both"/>
              <w:rPr>
                <w:rFonts w:asciiTheme="minorHAnsi" w:eastAsiaTheme="minorEastAsia" w:hAnsiTheme="minorHAnsi" w:cstheme="minorBidi"/>
                <w:b w:val="0"/>
                <w:bCs w:val="0"/>
                <w:i/>
              </w:rPr>
            </w:pPr>
            <m:oMathPara>
              <m:oMathParaPr>
                <m:jc m:val="left"/>
              </m:oMathParaPr>
              <m:oMath>
                <m:sSub>
                  <m:sSubPr>
                    <m:ctrlPr>
                      <w:rPr>
                        <w:rFonts w:ascii="Cambria Math" w:hAnsi="Cambria Math"/>
                        <w:b w:val="0"/>
                        <w:bCs w:val="0"/>
                        <w:i/>
                      </w:rPr>
                    </m:ctrlPr>
                  </m:sSubPr>
                  <m:e>
                    <m:r>
                      <m:rPr>
                        <m:sty m:val="bi"/>
                      </m:rPr>
                      <w:rPr>
                        <w:rFonts w:ascii="Cambria Math" w:hAnsi="Cambria Math"/>
                      </w:rPr>
                      <m:t>q</m:t>
                    </m:r>
                  </m:e>
                  <m:sub>
                    <m:r>
                      <m:rPr>
                        <m:sty m:val="bi"/>
                      </m:rPr>
                      <w:rPr>
                        <w:rFonts w:ascii="Cambria Math" w:hAnsi="Cambria Math"/>
                      </w:rPr>
                      <m:t>H</m:t>
                    </m:r>
                  </m:sub>
                </m:sSub>
              </m:oMath>
            </m:oMathPara>
          </w:p>
        </w:tc>
        <w:tc>
          <w:tcPr>
            <w:tcW w:w="5673" w:type="dxa"/>
            <w:shd w:val="clear" w:color="auto" w:fill="auto"/>
          </w:tcPr>
          <w:p w14:paraId="0583C390" w14:textId="78B33CDE" w:rsidR="00F26698" w:rsidRPr="00610BC1" w:rsidRDefault="00F26698" w:rsidP="00E43644">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 xml:space="preserve">Proportion of the MSM population in </w:t>
            </w:r>
            <w:r w:rsidR="00D4172E" w:rsidRPr="00610BC1">
              <w:t>g</w:t>
            </w:r>
            <w:r w:rsidRPr="00610BC1">
              <w:t xml:space="preserve">roup </w:t>
            </w:r>
            <w:r w:rsidRPr="006C7107">
              <w:rPr>
                <w:i/>
                <w:iCs/>
              </w:rPr>
              <w:t>H</w:t>
            </w:r>
          </w:p>
        </w:tc>
        <w:tc>
          <w:tcPr>
            <w:tcW w:w="2363" w:type="dxa"/>
            <w:shd w:val="clear" w:color="auto" w:fill="auto"/>
          </w:tcPr>
          <w:p w14:paraId="245D8B06" w14:textId="3C79C167" w:rsidR="00F26698" w:rsidRPr="0092025F" w:rsidRDefault="00CC787B" w:rsidP="00E43644">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0.207</w:t>
            </w:r>
          </w:p>
        </w:tc>
      </w:tr>
      <w:tr w:rsidR="00525F26" w:rsidRPr="0092025F" w14:paraId="2BB01648"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941CFA5" w14:textId="588F9E9D" w:rsidR="00F26698" w:rsidRPr="007D0EB4" w:rsidRDefault="007D0EB4" w:rsidP="00B53C4A">
            <w:pPr>
              <w:pStyle w:val="NormalWeb"/>
              <w:spacing w:line="276" w:lineRule="auto"/>
              <w:rPr>
                <w:b w:val="0"/>
                <w:bCs w:val="0"/>
                <w:i/>
              </w:rPr>
            </w:pPr>
            <m:oMath>
              <m:r>
                <m:rPr>
                  <m:sty m:val="bi"/>
                </m:rPr>
                <w:rPr>
                  <w:rFonts w:ascii="Cambria Math" w:hAnsi="Cambria Math"/>
                </w:rPr>
                <m:t>α</m:t>
              </m:r>
            </m:oMath>
            <w:r w:rsidR="00F26698" w:rsidRPr="007D0EB4">
              <w:rPr>
                <w:b w:val="0"/>
                <w:bCs w:val="0"/>
                <w:i/>
              </w:rPr>
              <w:t xml:space="preserve"> </w:t>
            </w:r>
          </w:p>
        </w:tc>
        <w:tc>
          <w:tcPr>
            <w:tcW w:w="5673" w:type="dxa"/>
            <w:shd w:val="clear" w:color="auto" w:fill="auto"/>
          </w:tcPr>
          <w:p w14:paraId="7CC7DBC2" w14:textId="0994AEB6" w:rsidR="00F26698" w:rsidRPr="00610BC1" w:rsidRDefault="00F26698" w:rsidP="00E43644">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Annual MSM population entrants (at age 15)</w:t>
            </w:r>
          </w:p>
        </w:tc>
        <w:tc>
          <w:tcPr>
            <w:tcW w:w="2363" w:type="dxa"/>
            <w:shd w:val="clear" w:color="auto" w:fill="auto"/>
          </w:tcPr>
          <w:p w14:paraId="20AD194B" w14:textId="7760E13E" w:rsidR="00F26698" w:rsidRPr="005B130F" w:rsidRDefault="005B130F" w:rsidP="00E43644">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2780</w:t>
            </w:r>
          </w:p>
        </w:tc>
      </w:tr>
      <w:tr w:rsidR="00525F26" w:rsidRPr="0092025F" w14:paraId="59701512"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1AB0C973" w14:textId="5186E01B" w:rsidR="00F26698" w:rsidRPr="007D0EB4" w:rsidRDefault="007D0EB4" w:rsidP="00B53C4A">
            <w:pPr>
              <w:pStyle w:val="NormalWeb"/>
              <w:spacing w:line="276" w:lineRule="auto"/>
              <w:rPr>
                <w:b w:val="0"/>
                <w:bCs w:val="0"/>
                <w:i/>
              </w:rPr>
            </w:pPr>
            <m:oMathPara>
              <m:oMathParaPr>
                <m:jc m:val="left"/>
              </m:oMathParaPr>
              <m:oMath>
                <m:r>
                  <m:rPr>
                    <m:sty m:val="bi"/>
                  </m:rPr>
                  <w:rPr>
                    <w:rFonts w:ascii="Cambria Math" w:hAnsi="Cambria Math"/>
                  </w:rPr>
                  <m:t>σ</m:t>
                </m:r>
              </m:oMath>
            </m:oMathPara>
          </w:p>
        </w:tc>
        <w:tc>
          <w:tcPr>
            <w:tcW w:w="5673" w:type="dxa"/>
            <w:shd w:val="clear" w:color="auto" w:fill="auto"/>
          </w:tcPr>
          <w:p w14:paraId="0B2D0497" w14:textId="2811288A" w:rsidR="00F26698" w:rsidRPr="00610BC1" w:rsidRDefault="00D4172E" w:rsidP="00E43644">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Rate of leaving incubation period</w:t>
            </w:r>
            <w:r w:rsidR="003B5B8C">
              <w:t xml:space="preserve"> </w:t>
            </w:r>
            <w:r w:rsidR="003B5B8C" w:rsidRPr="00AF629B">
              <w:t>(</w:t>
            </w:r>
            <w:r w:rsidR="003B5B8C" w:rsidRPr="00AF629B">
              <w:rPr>
                <w:i/>
                <w:iCs/>
              </w:rPr>
              <w:t xml:space="preserve">I </w:t>
            </w:r>
            <m:oMath>
              <m:r>
                <w:rPr>
                  <w:rFonts w:ascii="Cambria Math" w:hAnsi="Cambria Math"/>
                </w:rPr>
                <m:t>→</m:t>
              </m:r>
            </m:oMath>
            <w:r w:rsidR="003B5B8C" w:rsidRPr="00AF629B">
              <w:rPr>
                <w:i/>
                <w:iCs/>
              </w:rPr>
              <w:t xml:space="preserve"> P</w:t>
            </w:r>
            <w:r w:rsidR="003B5B8C">
              <w:t>)</w:t>
            </w:r>
          </w:p>
        </w:tc>
        <w:tc>
          <w:tcPr>
            <w:tcW w:w="2363" w:type="dxa"/>
            <w:shd w:val="clear" w:color="auto" w:fill="auto"/>
          </w:tcPr>
          <w:p w14:paraId="35E97D13" w14:textId="6BCD9220" w:rsidR="00F26698" w:rsidRPr="0092025F" w:rsidRDefault="004F3369" w:rsidP="00E43644">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r w:rsidR="006C6178">
              <w:t xml:space="preserve"> logN(l</w:t>
            </w:r>
            <w:r w:rsidR="00943C52">
              <w:t>n</w:t>
            </w:r>
            <w:r w:rsidR="006C6178">
              <w:t>(15), 0.5)</w:t>
            </w:r>
            <w:r w:rsidR="00943C52">
              <w:t>, a</w:t>
            </w:r>
            <w:r w:rsidR="000F4461">
              <w:t xml:space="preserve">pproximately 10 to 90 days (median of 21 to 25 days) after exposure </w:t>
            </w:r>
            <w:r w:rsidR="000F4461">
              <w:fldChar w:fldCharType="begin"/>
            </w:r>
            <w:r w:rsidR="000C5DB4">
              <w:instrText xml:space="preserve"> ADDIN ZOTERO_ITEM CSL_CITATION {"citationID":"dOT1vFLI","properties":{"formattedCitation":"[42]","plainCitation":"[42]","noteIndex":0},"citationItems":[{"id":462,"uris":["http://zotero.org/users/9663344/items/5ACJ2TLD"],"itemData":{"id":462,"type":"chapter","abstract":"Syphilis is a systemic bacterial infection caused by the spirochete Treponema pallidum. Due to its many protean clinical manifestations, it has been named the \"great imitator and mimicker.\" The origin of syphilis has been controversial and under great debate, and many theories have been postulated regarding this. The Columbian theory is the most accepted and postulates that syphilis came to Europe in the 1490s when Columbus arrived in Italy from America. After Italy surrendered to the invading French in 1495, this new disease rapidly spread across Europe. The name \"syphilis\" comes from the work of Girolamo Fracastoro, a noted poet and physician in Verona, Italy. In 1530, he wrote about a shepherd named Syphilus who angered Apollo, causing the god to curse the entire population with the affliction that we now know as syphilis. Syphilis is a sexually transmitted disease (STD), and humans are its only host. Treponema bacteria are susceptible to heat, cold, and oxygen exposure, so they do not survive long outside the human body. An initial inoculation with as few as 500 to 1,000 bacterial organisms is sufficient for an individual to become infected. The incubation period of syphilis is roughly 3 to 4 weeks and is inversely proportional to the number of inoculated organisms.  The Wasserman test, the first reliable test for syphilis, was developed in 1906. This nontreponemal complement fixation test has since been replaced by newer nontreponemal assays (such as venereal disease research laboratory [VDRL]  and rapid plasma reagin [RPR]), which are more reliable. The untreated infection progresses through 4 stages (primary, secondary, latent, and tertiary) and can affect multiple organ systems, often many years or even decades after the original infection. Syphilis prevalence peaked in 1947, just before the widespread introduction of penicillin, which caused rates to plummet, but recent trends have shown exponentially rising rates. Today, syphilis remains a contemporary plague that continues to afflict millions of people worldwide, and its incidence is increasing. Its association with the human immunodeficiency virus (HIV) significantly worsens the prognosis and is so prevalent that patients who test positive for either infection should be routinely tested for the other. The cornerstone of eradicating and controlling the disease is early appropriate testing using serologic blood screening with efficient, inexpensive, and widely available nontreponemal tests (VDRL and RPR). Confirmatory testing with a more complex treponemal-specific antibody assay (FTA-ABS, TPPA, and TPHA) is necessary to confirm the diagnosis. As the clinical manifestations are so varied, clinicians must be constantly aware of the possibility of syphilis in the differential diagnosis of symptoms affecting virtually any bodily organ system and perform appropriate screening serologic testing. Fortunately, the causative organism is still very sensitive to penicillin, but despite this, syphilis remains a major modern global public health challenge as testing and treatment efforts so far have been insufficient to halt its progression and increasing prevalence.","call-number":"NBK534780","container-title":"StatPearls","event-place":"Treasure Island (FL)","language":"eng","license":"Copyright © 2025, StatPearls Publishing LLC.","note":"PMID: 30521201","publisher":"StatPearls Publishing","publisher-place":"Treasure Island (FL)","source":"PubMed","title":"Syphilis","URL":"http://www.ncbi.nlm.nih.gov/books/NBK534780/","author":[{"family":"Tudor","given":"Maria E."},{"family":"Al Aboud","given":"Ahmad M."},{"family":"Leslie","given":"Stephen W."},{"family":"Gossman","given":"William"}],"accessed":{"date-parts":[["2025",3,10]]},"issued":{"date-parts":[["2025"]]}}}],"schema":"https://github.com/citation-style-language/schema/raw/master/csl-citation.json"} </w:instrText>
            </w:r>
            <w:r w:rsidR="000F4461">
              <w:fldChar w:fldCharType="separate"/>
            </w:r>
            <w:r w:rsidR="000C5DB4">
              <w:rPr>
                <w:noProof/>
              </w:rPr>
              <w:t>[42]</w:t>
            </w:r>
            <w:r w:rsidR="000F4461">
              <w:fldChar w:fldCharType="end"/>
            </w:r>
          </w:p>
        </w:tc>
      </w:tr>
      <w:tr w:rsidR="00525F26" w:rsidRPr="0092025F" w14:paraId="6C1BE93A"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BE54535" w14:textId="54791AB5" w:rsidR="00F26698" w:rsidRPr="007D0EB4" w:rsidRDefault="00000000" w:rsidP="00B53C4A">
            <w:pPr>
              <w:pStyle w:val="NormalWeb"/>
              <w:spacing w:line="276" w:lineRule="auto"/>
              <w:rPr>
                <w:b w:val="0"/>
                <w:bCs w:val="0"/>
                <w:i/>
              </w:rPr>
            </w:pPr>
            <m:oMathPara>
              <m:oMathParaPr>
                <m:jc m:val="left"/>
              </m:oMathParaPr>
              <m:oMath>
                <m:sSub>
                  <m:sSubPr>
                    <m:ctrlPr>
                      <w:rPr>
                        <w:rFonts w:ascii="Cambria Math" w:hAnsi="Cambria Math"/>
                        <w:b w:val="0"/>
                        <w:bCs w:val="0"/>
                        <w:i/>
                      </w:rPr>
                    </m:ctrlPr>
                  </m:sSubPr>
                  <m:e>
                    <m:r>
                      <m:rPr>
                        <m:sty m:val="bi"/>
                      </m:rPr>
                      <w:rPr>
                        <w:rFonts w:ascii="Cambria Math" w:hAnsi="Cambria Math"/>
                      </w:rPr>
                      <m:t>ψ</m:t>
                    </m:r>
                  </m:e>
                  <m:sub>
                    <m:r>
                      <m:rPr>
                        <m:sty m:val="bi"/>
                      </m:rPr>
                      <w:rPr>
                        <w:rFonts w:ascii="Cambria Math" w:hAnsi="Cambria Math"/>
                      </w:rPr>
                      <m:t>S</m:t>
                    </m:r>
                  </m:sub>
                </m:sSub>
              </m:oMath>
            </m:oMathPara>
          </w:p>
        </w:tc>
        <w:tc>
          <w:tcPr>
            <w:tcW w:w="5673" w:type="dxa"/>
            <w:shd w:val="clear" w:color="auto" w:fill="auto"/>
          </w:tcPr>
          <w:p w14:paraId="659CCAC8" w14:textId="09621255" w:rsidR="00F26698" w:rsidRPr="00610BC1" w:rsidRDefault="003B5B8C" w:rsidP="00E43644">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Rate of leaving primary stage (</w:t>
            </w:r>
            <w:r w:rsidRPr="00AF629B">
              <w:rPr>
                <w:i/>
                <w:iCs/>
              </w:rPr>
              <w:t xml:space="preserve">I </w:t>
            </w:r>
            <m:oMath>
              <m:r>
                <w:rPr>
                  <w:rFonts w:ascii="Cambria Math" w:hAnsi="Cambria Math"/>
                </w:rPr>
                <m:t>→</m:t>
              </m:r>
            </m:oMath>
            <w:r w:rsidRPr="00AF629B">
              <w:rPr>
                <w:i/>
                <w:iCs/>
              </w:rPr>
              <w:t xml:space="preserve"> S</w:t>
            </w:r>
            <w:r>
              <w:t>)</w:t>
            </w:r>
          </w:p>
        </w:tc>
        <w:tc>
          <w:tcPr>
            <w:tcW w:w="2363" w:type="dxa"/>
            <w:shd w:val="clear" w:color="auto" w:fill="auto"/>
          </w:tcPr>
          <w:p w14:paraId="18D986FA" w14:textId="2563AA7F" w:rsidR="00F26698" w:rsidRPr="0092025F" w:rsidRDefault="004F3369" w:rsidP="00E43644">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r w:rsidR="00943C52">
              <w:t xml:space="preserve"> logN(ln(10), 0.4), </w:t>
            </w:r>
            <w:r w:rsidR="000F4461">
              <w:t xml:space="preserve">2 to 8 weeks after primary stages </w:t>
            </w:r>
            <w:r w:rsidR="000F4461">
              <w:fldChar w:fldCharType="begin"/>
            </w:r>
            <w:r w:rsidR="000C5DB4">
              <w:instrText xml:space="preserve"> ADDIN ZOTERO_ITEM CSL_CITATION {"citationID":"f9F3sMeG","properties":{"formattedCitation":"[42]","plainCitation":"[42]","noteIndex":0},"citationItems":[{"id":462,"uris":["http://zotero.org/users/9663344/items/5ACJ2TLD"],"itemData":{"id":462,"type":"chapter","abstract":"Syphilis is a systemic bacterial infection caused by the spirochete Treponema pallidum. Due to its many protean clinical manifestations, it has been named the \"great imitator and mimicker.\" The origin of syphilis has been controversial and under great debate, and many theories have been postulated regarding this. The Columbian theory is the most accepted and postulates that syphilis came to Europe in the 1490s when Columbus arrived in Italy from America. After Italy surrendered to the invading French in 1495, this new disease rapidly spread across Europe. The name \"syphilis\" comes from the work of Girolamo Fracastoro, a noted poet and physician in Verona, Italy. In 1530, he wrote about a shepherd named Syphilus who angered Apollo, causing the god to curse the entire population with the affliction that we now know as syphilis. Syphilis is a sexually transmitted disease (STD), and humans are its only host. Treponema bacteria are susceptible to heat, cold, and oxygen exposure, so they do not survive long outside the human body. An initial inoculation with as few as 500 to 1,000 bacterial organisms is sufficient for an individual to become infected. The incubation period of syphilis is roughly 3 to 4 weeks and is inversely proportional to the number of inoculated organisms.  The Wasserman test, the first reliable test for syphilis, was developed in 1906. This nontreponemal complement fixation test has since been replaced by newer nontreponemal assays (such as venereal disease research laboratory [VDRL]  and rapid plasma reagin [RPR]), which are more reliable. The untreated infection progresses through 4 stages (primary, secondary, latent, and tertiary) and can affect multiple organ systems, often many years or even decades after the original infection. Syphilis prevalence peaked in 1947, just before the widespread introduction of penicillin, which caused rates to plummet, but recent trends have shown exponentially rising rates. Today, syphilis remains a contemporary plague that continues to afflict millions of people worldwide, and its incidence is increasing. Its association with the human immunodeficiency virus (HIV) significantly worsens the prognosis and is so prevalent that patients who test positive for either infection should be routinely tested for the other. The cornerstone of eradicating and controlling the disease is early appropriate testing using serologic blood screening with efficient, inexpensive, and widely available nontreponemal tests (VDRL and RPR). Confirmatory testing with a more complex treponemal-specific antibody assay (FTA-ABS, TPPA, and TPHA) is necessary to confirm the diagnosis. As the clinical manifestations are so varied, clinicians must be constantly aware of the possibility of syphilis in the differential diagnosis of symptoms affecting virtually any bodily organ system and perform appropriate screening serologic testing. Fortunately, the causative organism is still very sensitive to penicillin, but despite this, syphilis remains a major modern global public health challenge as testing and treatment efforts so far have been insufficient to halt its progression and increasing prevalence.","call-number":"NBK534780","container-title":"StatPearls","event-place":"Treasure Island (FL)","language":"eng","license":"Copyright © 2025, StatPearls Publishing LLC.","note":"PMID: 30521201","publisher":"StatPearls Publishing","publisher-place":"Treasure Island (FL)","source":"PubMed","title":"Syphilis","URL":"http://www.ncbi.nlm.nih.gov/books/NBK534780/","author":[{"family":"Tudor","given":"Maria E."},{"family":"Al Aboud","given":"Ahmad M."},{"family":"Leslie","given":"Stephen W."},{"family":"Gossman","given":"William"}],"accessed":{"date-parts":[["2025",3,10]]},"issued":{"date-parts":[["2025"]]}}}],"schema":"https://github.com/citation-style-language/schema/raw/master/csl-citation.json"} </w:instrText>
            </w:r>
            <w:r w:rsidR="000F4461">
              <w:fldChar w:fldCharType="separate"/>
            </w:r>
            <w:r w:rsidR="000C5DB4">
              <w:rPr>
                <w:noProof/>
              </w:rPr>
              <w:t>[42]</w:t>
            </w:r>
            <w:r w:rsidR="000F4461">
              <w:fldChar w:fldCharType="end"/>
            </w:r>
          </w:p>
        </w:tc>
      </w:tr>
      <w:tr w:rsidR="003B5B8C" w:rsidRPr="0092025F" w14:paraId="7354447C"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80678F9" w14:textId="6A1A6DB3" w:rsidR="003B5B8C" w:rsidRPr="007D0EB4" w:rsidRDefault="00000000" w:rsidP="00B53C4A">
            <w:pPr>
              <w:pStyle w:val="NormalWeb"/>
              <w:spacing w:line="276" w:lineRule="auto"/>
              <w:rPr>
                <w:rFonts w:ascii="Aptos" w:eastAsia="DengXian" w:hAnsi="Aptos"/>
                <w:b w:val="0"/>
                <w:bCs w:val="0"/>
                <w:i/>
              </w:rPr>
            </w:pPr>
            <m:oMathPara>
              <m:oMathParaPr>
                <m:jc m:val="left"/>
              </m:oMathParaPr>
              <m:oMath>
                <m:sSub>
                  <m:sSubPr>
                    <m:ctrlPr>
                      <w:rPr>
                        <w:rFonts w:ascii="Cambria Math" w:hAnsi="Cambria Math"/>
                        <w:b w:val="0"/>
                        <w:bCs w:val="0"/>
                        <w:i/>
                      </w:rPr>
                    </m:ctrlPr>
                  </m:sSubPr>
                  <m:e>
                    <m:r>
                      <m:rPr>
                        <m:sty m:val="bi"/>
                      </m:rPr>
                      <w:rPr>
                        <w:rFonts w:ascii="Cambria Math" w:hAnsi="Cambria Math"/>
                      </w:rPr>
                      <m:t>ψ</m:t>
                    </m:r>
                  </m:e>
                  <m:sub>
                    <m:r>
                      <m:rPr>
                        <m:sty m:val="bi"/>
                      </m:rPr>
                      <w:rPr>
                        <w:rFonts w:ascii="Cambria Math" w:hAnsi="Cambria Math"/>
                      </w:rPr>
                      <m:t>E</m:t>
                    </m:r>
                  </m:sub>
                </m:sSub>
              </m:oMath>
            </m:oMathPara>
          </w:p>
        </w:tc>
        <w:tc>
          <w:tcPr>
            <w:tcW w:w="5673" w:type="dxa"/>
            <w:shd w:val="clear" w:color="auto" w:fill="auto"/>
          </w:tcPr>
          <w:p w14:paraId="6B5BC930" w14:textId="01F8F492" w:rsidR="003B5B8C" w:rsidRDefault="003B5B8C" w:rsidP="00E43644">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Rate of leaving secondary stage (</w:t>
            </w:r>
            <w:r w:rsidRPr="00AF629B">
              <w:rPr>
                <w:i/>
                <w:iCs/>
              </w:rPr>
              <w:t xml:space="preserve">S </w:t>
            </w:r>
            <m:oMath>
              <m:r>
                <w:rPr>
                  <w:rFonts w:ascii="Cambria Math" w:hAnsi="Cambria Math"/>
                </w:rPr>
                <m:t>→</m:t>
              </m:r>
            </m:oMath>
            <w:r w:rsidRPr="00AF629B">
              <w:rPr>
                <w:i/>
                <w:iCs/>
              </w:rPr>
              <w:t xml:space="preserve"> E</w:t>
            </w:r>
            <w:r>
              <w:t>)</w:t>
            </w:r>
          </w:p>
        </w:tc>
        <w:tc>
          <w:tcPr>
            <w:tcW w:w="2363" w:type="dxa"/>
            <w:shd w:val="clear" w:color="auto" w:fill="auto"/>
          </w:tcPr>
          <w:p w14:paraId="3B422362" w14:textId="26148AD2" w:rsidR="003B5B8C" w:rsidRPr="0092025F" w:rsidRDefault="004F3369" w:rsidP="00E43644">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r w:rsidR="008169A3">
              <w:t xml:space="preserve"> logN(ln(2), 0.4)</w:t>
            </w:r>
            <w:r w:rsidR="003239D9">
              <w:t>, l</w:t>
            </w:r>
            <w:r w:rsidR="000F4461">
              <w:t xml:space="preserve">ess than 1 year after exposure </w:t>
            </w:r>
            <w:r w:rsidR="000F4461">
              <w:fldChar w:fldCharType="begin"/>
            </w:r>
            <w:r w:rsidR="000C5DB4">
              <w:instrText xml:space="preserve"> ADDIN ZOTERO_ITEM CSL_CITATION {"citationID":"U0S8WX7B","properties":{"formattedCitation":"[42]","plainCitation":"[42]","noteIndex":0},"citationItems":[{"id":462,"uris":["http://zotero.org/users/9663344/items/5ACJ2TLD"],"itemData":{"id":462,"type":"chapter","abstract":"Syphilis is a systemic bacterial infection caused by the spirochete Treponema pallidum. Due to its many protean clinical manifestations, it has been named the \"great imitator and mimicker.\" The origin of syphilis has been controversial and under great debate, and many theories have been postulated regarding this. The Columbian theory is the most accepted and postulates that syphilis came to Europe in the 1490s when Columbus arrived in Italy from America. After Italy surrendered to the invading French in 1495, this new disease rapidly spread across Europe. The name \"syphilis\" comes from the work of Girolamo Fracastoro, a noted poet and physician in Verona, Italy. In 1530, he wrote about a shepherd named Syphilus who angered Apollo, causing the god to curse the entire population with the affliction that we now know as syphilis. Syphilis is a sexually transmitted disease (STD), and humans are its only host. Treponema bacteria are susceptible to heat, cold, and oxygen exposure, so they do not survive long outside the human body. An initial inoculation with as few as 500 to 1,000 bacterial organisms is sufficient for an individual to become infected. The incubation period of syphilis is roughly 3 to 4 weeks and is inversely proportional to the number of inoculated organisms.  The Wasserman test, the first reliable test for syphilis, was developed in 1906. This nontreponemal complement fixation test has since been replaced by newer nontreponemal assays (such as venereal disease research laboratory [VDRL]  and rapid plasma reagin [RPR]), which are more reliable. The untreated infection progresses through 4 stages (primary, secondary, latent, and tertiary) and can affect multiple organ systems, often many years or even decades after the original infection. Syphilis prevalence peaked in 1947, just before the widespread introduction of penicillin, which caused rates to plummet, but recent trends have shown exponentially rising rates. Today, syphilis remains a contemporary plague that continues to afflict millions of people worldwide, and its incidence is increasing. Its association with the human immunodeficiency virus (HIV) significantly worsens the prognosis and is so prevalent that patients who test positive for either infection should be routinely tested for the other. The cornerstone of eradicating and controlling the disease is early appropriate testing using serologic blood screening with efficient, inexpensive, and widely available nontreponemal tests (VDRL and RPR). Confirmatory testing with a more complex treponemal-specific antibody assay (FTA-ABS, TPPA, and TPHA) is necessary to confirm the diagnosis. As the clinical manifestations are so varied, clinicians must be constantly aware of the possibility of syphilis in the differential diagnosis of symptoms affecting virtually any bodily organ system and perform appropriate screening serologic testing. Fortunately, the causative organism is still very sensitive to penicillin, but despite this, syphilis remains a major modern global public health challenge as testing and treatment efforts so far have been insufficient to halt its progression and increasing prevalence.","call-number":"NBK534780","container-title":"StatPearls","event-place":"Treasure Island (FL)","language":"eng","license":"Copyright © 2025, StatPearls Publishing LLC.","note":"PMID: 30521201","publisher":"StatPearls Publishing","publisher-place":"Treasure Island (FL)","source":"PubMed","title":"Syphilis","URL":"http://www.ncbi.nlm.nih.gov/books/NBK534780/","author":[{"family":"Tudor","given":"Maria E."},{"family":"Al Aboud","given":"Ahmad M."},{"family":"Leslie","given":"Stephen W."},{"family":"Gossman","given":"William"}],"accessed":{"date-parts":[["2025",3,10]]},"issued":{"date-parts":[["2025"]]}}}],"schema":"https://github.com/citation-style-language/schema/raw/master/csl-citation.json"} </w:instrText>
            </w:r>
            <w:r w:rsidR="000F4461">
              <w:fldChar w:fldCharType="separate"/>
            </w:r>
            <w:r w:rsidR="000C5DB4">
              <w:rPr>
                <w:noProof/>
              </w:rPr>
              <w:t>[42]</w:t>
            </w:r>
            <w:r w:rsidR="000F4461">
              <w:fldChar w:fldCharType="end"/>
            </w:r>
          </w:p>
        </w:tc>
      </w:tr>
      <w:tr w:rsidR="003B5B8C" w:rsidRPr="0092025F" w14:paraId="4D4336D5"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1309EA3D" w14:textId="7C710955" w:rsidR="003B5B8C" w:rsidRPr="007D0EB4" w:rsidRDefault="00000000" w:rsidP="00B53C4A">
            <w:pPr>
              <w:pStyle w:val="NormalWeb"/>
              <w:spacing w:line="276" w:lineRule="auto"/>
              <w:rPr>
                <w:rFonts w:ascii="Aptos" w:eastAsia="DengXian" w:hAnsi="Aptos"/>
                <w:b w:val="0"/>
                <w:bCs w:val="0"/>
                <w:i/>
              </w:rPr>
            </w:pPr>
            <m:oMathPara>
              <m:oMathParaPr>
                <m:jc m:val="left"/>
              </m:oMathParaPr>
              <m:oMath>
                <m:sSub>
                  <m:sSubPr>
                    <m:ctrlPr>
                      <w:rPr>
                        <w:rFonts w:ascii="Cambria Math" w:hAnsi="Cambria Math"/>
                        <w:b w:val="0"/>
                        <w:bCs w:val="0"/>
                        <w:i/>
                      </w:rPr>
                    </m:ctrlPr>
                  </m:sSubPr>
                  <m:e>
                    <m:r>
                      <m:rPr>
                        <m:sty m:val="bi"/>
                      </m:rPr>
                      <w:rPr>
                        <w:rFonts w:ascii="Cambria Math" w:hAnsi="Cambria Math"/>
                      </w:rPr>
                      <m:t>ψ</m:t>
                    </m:r>
                  </m:e>
                  <m:sub>
                    <m:r>
                      <m:rPr>
                        <m:sty m:val="bi"/>
                      </m:rPr>
                      <w:rPr>
                        <w:rFonts w:ascii="Cambria Math" w:hAnsi="Cambria Math"/>
                      </w:rPr>
                      <m:t>L</m:t>
                    </m:r>
                  </m:sub>
                </m:sSub>
              </m:oMath>
            </m:oMathPara>
          </w:p>
        </w:tc>
        <w:tc>
          <w:tcPr>
            <w:tcW w:w="5673" w:type="dxa"/>
            <w:shd w:val="clear" w:color="auto" w:fill="auto"/>
          </w:tcPr>
          <w:p w14:paraId="7E6BEB77" w14:textId="21CBF49C" w:rsidR="003B5B8C" w:rsidRDefault="003B5B8C" w:rsidP="00E43644">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Rate of leaving early-latent stage (</w:t>
            </w:r>
            <w:r w:rsidRPr="00AF629B">
              <w:rPr>
                <w:i/>
                <w:iCs/>
              </w:rPr>
              <w:t xml:space="preserve">E </w:t>
            </w:r>
            <m:oMath>
              <m:r>
                <w:rPr>
                  <w:rFonts w:ascii="Cambria Math" w:hAnsi="Cambria Math"/>
                </w:rPr>
                <m:t>→</m:t>
              </m:r>
            </m:oMath>
            <w:r w:rsidRPr="00AF629B">
              <w:rPr>
                <w:i/>
                <w:iCs/>
              </w:rPr>
              <w:t xml:space="preserve"> L</w:t>
            </w:r>
            <w:r>
              <w:t>)</w:t>
            </w:r>
          </w:p>
        </w:tc>
        <w:tc>
          <w:tcPr>
            <w:tcW w:w="2363" w:type="dxa"/>
            <w:shd w:val="clear" w:color="auto" w:fill="auto"/>
          </w:tcPr>
          <w:p w14:paraId="0D35351C" w14:textId="57DB9618" w:rsidR="003B5B8C" w:rsidRPr="0092025F" w:rsidRDefault="004F3369" w:rsidP="00E43644">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r w:rsidR="005115FE">
              <w:t xml:space="preserve"> logN(ln(0.5), 0.4), m</w:t>
            </w:r>
            <w:r w:rsidR="000F4461">
              <w:t xml:space="preserve">ore than 1 year after exposure </w:t>
            </w:r>
            <w:r w:rsidR="000F4461">
              <w:fldChar w:fldCharType="begin"/>
            </w:r>
            <w:r w:rsidR="000C5DB4">
              <w:instrText xml:space="preserve"> ADDIN ZOTERO_ITEM CSL_CITATION {"citationID":"slzmD2X5","properties":{"formattedCitation":"[42]","plainCitation":"[42]","noteIndex":0},"citationItems":[{"id":462,"uris":["http://zotero.org/users/9663344/items/5ACJ2TLD"],"itemData":{"id":462,"type":"chapter","abstract":"Syphilis is a systemic bacterial infection caused by the spirochete Treponema pallidum. Due to its many protean clinical manifestations, it has been named the \"great imitator and mimicker.\" The origin of syphilis has been controversial and under great debate, and many theories have been postulated regarding this. The Columbian theory is the most accepted and postulates that syphilis came to Europe in the 1490s when Columbus arrived in Italy from America. After Italy surrendered to the invading French in 1495, this new disease rapidly spread across Europe. The name \"syphilis\" comes from the work of Girolamo Fracastoro, a noted poet and physician in Verona, Italy. In 1530, he wrote about a shepherd named Syphilus who angered Apollo, causing the god to curse the entire population with the affliction that we now know as syphilis. Syphilis is a sexually transmitted disease (STD), and humans are its only host. Treponema bacteria are susceptible to heat, cold, and oxygen exposure, so they do not survive long outside the human body. An initial inoculation with as few as 500 to 1,000 bacterial organisms is sufficient for an individual to become infected. The incubation period of syphilis is roughly 3 to 4 weeks and is inversely proportional to the number of inoculated organisms.  The Wasserman test, the first reliable test for syphilis, was developed in 1906. This nontreponemal complement fixation test has since been replaced by newer nontreponemal assays (such as venereal disease research laboratory [VDRL]  and rapid plasma reagin [RPR]), which are more reliable. The untreated infection progresses through 4 stages (primary, secondary, latent, and tertiary) and can affect multiple organ systems, often many years or even decades after the original infection. Syphilis prevalence peaked in 1947, just before the widespread introduction of penicillin, which caused rates to plummet, but recent trends have shown exponentially rising rates. Today, syphilis remains a contemporary plague that continues to afflict millions of people worldwide, and its incidence is increasing. Its association with the human immunodeficiency virus (HIV) significantly worsens the prognosis and is so prevalent that patients who test positive for either infection should be routinely tested for the other. The cornerstone of eradicating and controlling the disease is early appropriate testing using serologic blood screening with efficient, inexpensive, and widely available nontreponemal tests (VDRL and RPR). Confirmatory testing with a more complex treponemal-specific antibody assay (FTA-ABS, TPPA, and TPHA) is necessary to confirm the diagnosis. As the clinical manifestations are so varied, clinicians must be constantly aware of the possibility of syphilis in the differential diagnosis of symptoms affecting virtually any bodily organ system and perform appropriate screening serologic testing. Fortunately, the causative organism is still very sensitive to penicillin, but despite this, syphilis remains a major modern global public health challenge as testing and treatment efforts so far have been insufficient to halt its progression and increasing prevalence.","call-number":"NBK534780","container-title":"StatPearls","event-place":"Treasure Island (FL)","language":"eng","license":"Copyright © 2025, StatPearls Publishing LLC.","note":"PMID: 30521201","publisher":"StatPearls Publishing","publisher-place":"Treasure Island (FL)","source":"PubMed","title":"Syphilis","URL":"http://www.ncbi.nlm.nih.gov/books/NBK534780/","author":[{"family":"Tudor","given":"Maria E."},{"family":"Al Aboud","given":"Ahmad M."},{"family":"Leslie","given":"Stephen W."},{"family":"Gossman","given":"William"}],"accessed":{"date-parts":[["2025",3,10]]},"issued":{"date-parts":[["2025"]]}}}],"schema":"https://github.com/citation-style-language/schema/raw/master/csl-citation.json"} </w:instrText>
            </w:r>
            <w:r w:rsidR="000F4461">
              <w:fldChar w:fldCharType="separate"/>
            </w:r>
            <w:r w:rsidR="000C5DB4">
              <w:rPr>
                <w:noProof/>
              </w:rPr>
              <w:t>[42]</w:t>
            </w:r>
            <w:r w:rsidR="000F4461">
              <w:fldChar w:fldCharType="end"/>
            </w:r>
          </w:p>
        </w:tc>
      </w:tr>
      <w:tr w:rsidR="003B5B8C" w:rsidRPr="0092025F" w14:paraId="43CB1AA4"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1FA8E687" w14:textId="2A9DF4FD" w:rsidR="003B5B8C" w:rsidRPr="007D0EB4" w:rsidRDefault="00000000" w:rsidP="003B5B8C">
            <w:pPr>
              <w:pStyle w:val="NormalWeb"/>
              <w:spacing w:line="276" w:lineRule="auto"/>
              <w:rPr>
                <w:rFonts w:ascii="Aptos" w:eastAsia="DengXian" w:hAnsi="Aptos"/>
                <w:b w:val="0"/>
                <w:bCs w:val="0"/>
                <w:i/>
              </w:rPr>
            </w:pPr>
            <m:oMathPara>
              <m:oMathParaPr>
                <m:jc m:val="left"/>
              </m:oMathParaPr>
              <m:oMath>
                <m:sSub>
                  <m:sSubPr>
                    <m:ctrlPr>
                      <w:rPr>
                        <w:rFonts w:ascii="Cambria Math" w:hAnsi="Cambria Math"/>
                        <w:b w:val="0"/>
                        <w:bCs w:val="0"/>
                        <w:i/>
                      </w:rPr>
                    </m:ctrlPr>
                  </m:sSubPr>
                  <m:e>
                    <m:r>
                      <m:rPr>
                        <m:sty m:val="bi"/>
                      </m:rPr>
                      <w:rPr>
                        <w:rFonts w:ascii="Cambria Math" w:hAnsi="Cambria Math"/>
                      </w:rPr>
                      <m:t>ψ</m:t>
                    </m:r>
                  </m:e>
                  <m:sub>
                    <m:r>
                      <m:rPr>
                        <m:sty m:val="bi"/>
                      </m:rPr>
                      <w:rPr>
                        <w:rFonts w:ascii="Cambria Math" w:hAnsi="Cambria Math"/>
                      </w:rPr>
                      <m:t>T</m:t>
                    </m:r>
                  </m:sub>
                </m:sSub>
              </m:oMath>
            </m:oMathPara>
          </w:p>
        </w:tc>
        <w:tc>
          <w:tcPr>
            <w:tcW w:w="5673" w:type="dxa"/>
            <w:shd w:val="clear" w:color="auto" w:fill="auto"/>
          </w:tcPr>
          <w:p w14:paraId="2DA09911" w14:textId="23DD6C20" w:rsidR="003B5B8C" w:rsidRDefault="004A0059"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Probability</w:t>
            </w:r>
            <w:r w:rsidR="003B5B8C">
              <w:t xml:space="preserve"> of leaving late-latent stage (</w:t>
            </w:r>
            <w:r w:rsidR="003B5B8C" w:rsidRPr="00AF629B">
              <w:rPr>
                <w:i/>
                <w:iCs/>
              </w:rPr>
              <w:t xml:space="preserve">L </w:t>
            </w:r>
            <m:oMath>
              <m:r>
                <w:rPr>
                  <w:rFonts w:ascii="Cambria Math" w:hAnsi="Cambria Math"/>
                </w:rPr>
                <m:t>→</m:t>
              </m:r>
            </m:oMath>
            <w:r w:rsidR="003B5B8C" w:rsidRPr="00AF629B">
              <w:rPr>
                <w:i/>
                <w:iCs/>
              </w:rPr>
              <w:t xml:space="preserve"> T</w:t>
            </w:r>
            <w:r w:rsidR="003B5B8C">
              <w:t>)</w:t>
            </w:r>
          </w:p>
        </w:tc>
        <w:tc>
          <w:tcPr>
            <w:tcW w:w="2363" w:type="dxa"/>
            <w:shd w:val="clear" w:color="auto" w:fill="auto"/>
          </w:tcPr>
          <w:p w14:paraId="051CFAB8" w14:textId="55E3257F" w:rsidR="003B5B8C" w:rsidRPr="0092025F" w:rsidRDefault="004F3369"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r w:rsidR="00CB0143">
              <w:t xml:space="preserve"> logN(ln(0.05), 0.7), </w:t>
            </w:r>
            <w:r w:rsidR="00A92196">
              <w:t xml:space="preserve">from 1 to 46 years after exposure </w:t>
            </w:r>
            <w:r w:rsidR="000F4461">
              <w:fldChar w:fldCharType="begin"/>
            </w:r>
            <w:r w:rsidR="000C5DB4">
              <w:instrText xml:space="preserve"> ADDIN ZOTERO_ITEM CSL_CITATION {"citationID":"H5OYqDqV","properties":{"formattedCitation":"[42], [43]","plainCitation":"[42], [43]","noteIndex":0},"citationItems":[{"id":462,"uris":["http://zotero.org/users/9663344/items/5ACJ2TLD"],"itemData":{"id":462,"type":"chapter","abstract":"Syphilis is a systemic bacterial infection caused by the spirochete Treponema pallidum. Due to its many protean clinical manifestations, it has been named the \"great imitator and mimicker.\" The origin of syphilis has been controversial and under great debate, and many theories have been postulated regarding this. The Columbian theory is the most accepted and postulates that syphilis came to Europe in the 1490s when Columbus arrived in Italy from America. After Italy surrendered to the invading French in 1495, this new disease rapidly spread across Europe. The name \"syphilis\" comes from the work of Girolamo Fracastoro, a noted poet and physician in Verona, Italy. In 1530, he wrote about a shepherd named Syphilus who angered Apollo, causing the god to curse the entire population with the affliction that we now know as syphilis. Syphilis is a sexually transmitted disease (STD), and humans are its only host. Treponema bacteria are susceptible to heat, cold, and oxygen exposure, so they do not survive long outside the human body. An initial inoculation with as few as 500 to 1,000 bacterial organisms is sufficient for an individual to become infected. The incubation period of syphilis is roughly 3 to 4 weeks and is inversely proportional to the number of inoculated organisms.  The Wasserman test, the first reliable test for syphilis, was developed in 1906. This nontreponemal complement fixation test has since been replaced by newer nontreponemal assays (such as venereal disease research laboratory [VDRL]  and rapid plasma reagin [RPR]), which are more reliable. The untreated infection progresses through 4 stages (primary, secondary, latent, and tertiary) and can affect multiple organ systems, often many years or even decades after the original infection. Syphilis prevalence peaked in 1947, just before the widespread introduction of penicillin, which caused rates to plummet, but recent trends have shown exponentially rising rates. Today, syphilis remains a contemporary plague that continues to afflict millions of people worldwide, and its incidence is increasing. Its association with the human immunodeficiency virus (HIV) significantly worsens the prognosis and is so prevalent that patients who test positive for either infection should be routinely tested for the other. The cornerstone of eradicating and controlling the disease is early appropriate testing using serologic blood screening with efficient, inexpensive, and widely available nontreponemal tests (VDRL and RPR). Confirmatory testing with a more complex treponemal-specific antibody assay (FTA-ABS, TPPA, and TPHA) is necessary to confirm the diagnosis. As the clinical manifestations are so varied, clinicians must be constantly aware of the possibility of syphilis in the differential diagnosis of symptoms affecting virtually any bodily organ system and perform appropriate screening serologic testing. Fortunately, the causative organism is still very sensitive to penicillin, but despite this, syphilis remains a major modern global public health challenge as testing and treatment efforts so far have been insufficient to halt its progression and increasing prevalence.","call-number":"NBK534780","container-title":"StatPearls","event-place":"Treasure Island (FL)","language":"eng","license":"Copyright © 2025, StatPearls Publishing LLC.","note":"PMID: 30521201","publisher":"StatPearls Publishing","publisher-place":"Treasure Island (FL)","source":"PubMed","title":"Syphilis","URL":"http://www.ncbi.nlm.nih.gov/books/NBK534780/","author":[{"family":"Tudor","given":"Maria E."},{"family":"Al Aboud","given":"Ahmad M."},{"family":"Leslie","given":"Stephen W."},{"family":"Gossman","given":"William"}],"accessed":{"date-parts":[["2025",3,10]]},"issued":{"date-parts":[["2025"]]}}},{"id":470,"uris":["http://zotero.org/users/9663344/items/9S5I39NQ"],"itemData":{"id":470,"type":"article-journal","abstract":"Objective:To review the epidemiology, clinical features, diagnosis, and treatment of syphilis.Data Sources:Studies and reviews were abstracted from MEDLINE (1950–April 2007) using the search term syphilis. AN papers were cross-referenced to identify additional studies and reviews for inclusion.Study Selection and Data Extraction:Pertinent original research articles, review articles, and book chapters were evaluated.Data Synthesis:Syphilis is a spirochetal disease that has plagued mankind for centuries. Following a low incidence of syphilis in the US for the last 2 decades, rates are now increasing both in the US and other parts of (he world. Once acquired, syphilis can pass through 4 distinct stages of disease: primary syphilis. secondary syphilis, latent syphilis, and tertiary syphilis, with each stage being characterized by different symptoms and levels of infectivity. Diagnosis is made primarily by serologic assays with nontreponemal tests such as the Venereal Disease Research Laboratory and the Rapid Plasma Reagin assay used for screening. Treponemal tests including the Treponema pallidum particle agglutination and the fluorescent treponemal antibody absorption test are then used for confirmation. Recommended treatment regimens are based largely on uncontrolled trials and clinical experience. Penicillin is the treatment of choice, with the preparation and treatment duration varying for different stages. Benzathine penicillin is the treatment of choice lor all stages of syphilis except neurosyphilis, for which aqueous crystalline penicillin or procaine penicillin is used due to the central nervous system penetration of these formulations. Coinfection with both syphilis and HIV occurs frequently due to common risk factors. These 2 diseases interact with each other, making both diagnosis and treatment more complicated.Conclusions:Clinicians should be aware of the signs and symptoms of syphitis as well as current guidelines for the management and treatment of this disease.","container-title":"Annals of Pharmacotherapy","DOI":"10.1345/aph.1K086","ISSN":"1060-0280","issue":"2","journalAbbreviation":"Ann Pharmacother","language":"en","note":"publisher: SAGE Publications Inc","page":"226-236","source":"SAGE Journals","title":"Reexamining Syphilis: An Update on Epidemiology, Clinical Manifestations, and Management","title-short":"Reexamining Syphilis","volume":"42","author":[{"family":"Kent","given":"Molly E"},{"family":"Romanelli","given":"Frank"}],"issued":{"date-parts":[["2008",2,1]]}}}],"schema":"https://github.com/citation-style-language/schema/raw/master/csl-citation.json"} </w:instrText>
            </w:r>
            <w:r w:rsidR="000F4461">
              <w:fldChar w:fldCharType="separate"/>
            </w:r>
            <w:r w:rsidR="000C5DB4">
              <w:rPr>
                <w:noProof/>
              </w:rPr>
              <w:t>[42], [43]</w:t>
            </w:r>
            <w:r w:rsidR="000F4461">
              <w:fldChar w:fldCharType="end"/>
            </w:r>
            <w:r w:rsidR="00A92196" w:rsidRPr="0092025F">
              <w:t xml:space="preserve"> </w:t>
            </w:r>
          </w:p>
        </w:tc>
      </w:tr>
      <w:tr w:rsidR="003B5B8C" w:rsidRPr="0092025F" w14:paraId="1FEA144C"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05CF500F" w14:textId="3F1DC325" w:rsidR="003B5B8C" w:rsidRPr="007D0EB4" w:rsidRDefault="007D0EB4" w:rsidP="003B5B8C">
            <w:pPr>
              <w:pStyle w:val="NormalWeb"/>
              <w:spacing w:line="276" w:lineRule="auto"/>
              <w:rPr>
                <w:b w:val="0"/>
                <w:bCs w:val="0"/>
                <w:i/>
              </w:rPr>
            </w:pPr>
            <m:oMathPara>
              <m:oMathParaPr>
                <m:jc m:val="left"/>
              </m:oMathParaPr>
              <m:oMath>
                <m:r>
                  <m:rPr>
                    <m:sty m:val="bi"/>
                  </m:rPr>
                  <w:rPr>
                    <w:rFonts w:ascii="Cambria Math" w:hAnsi="Cambria Math"/>
                  </w:rPr>
                  <m:t>μ</m:t>
                </m:r>
              </m:oMath>
            </m:oMathPara>
          </w:p>
        </w:tc>
        <w:tc>
          <w:tcPr>
            <w:tcW w:w="5673" w:type="dxa"/>
            <w:shd w:val="clear" w:color="auto" w:fill="auto"/>
          </w:tcPr>
          <w:p w14:paraId="7D3EF7D5" w14:textId="2D53733D" w:rsidR="003B5B8C" w:rsidRPr="00610BC1" w:rsidRDefault="003B5B8C"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Rate of seeking treatment due to symptoms</w:t>
            </w:r>
            <w:r w:rsidR="003A6305">
              <w:t xml:space="preserve"> (</w:t>
            </w:r>
            <w:r w:rsidR="003A6305" w:rsidRPr="00AF629B">
              <w:rPr>
                <w:i/>
                <w:iCs/>
              </w:rPr>
              <w:t xml:space="preserve">P/S/T </w:t>
            </w:r>
            <m:oMath>
              <m:r>
                <w:rPr>
                  <w:rFonts w:ascii="Cambria Math" w:hAnsi="Cambria Math"/>
                </w:rPr>
                <m:t>→</m:t>
              </m:r>
            </m:oMath>
            <w:r w:rsidR="003A6305" w:rsidRPr="00AF629B">
              <w:rPr>
                <w:i/>
                <w:iCs/>
              </w:rPr>
              <w:t xml:space="preserve"> R</w:t>
            </w:r>
            <w:r w:rsidR="003A6305">
              <w:t>)</w:t>
            </w:r>
          </w:p>
        </w:tc>
        <w:tc>
          <w:tcPr>
            <w:tcW w:w="2363" w:type="dxa"/>
            <w:shd w:val="clear" w:color="auto" w:fill="auto"/>
          </w:tcPr>
          <w:p w14:paraId="40949A23" w14:textId="66376C15" w:rsidR="003B5B8C" w:rsidRPr="0092025F" w:rsidRDefault="004F3369"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r w:rsidR="001D4B0B">
              <w:t xml:space="preserve"> logN(ln(200), 0.6), </w:t>
            </w:r>
            <w:bookmarkStart w:id="1" w:name="_Hlk195628361"/>
            <w:r w:rsidR="001D4B0B">
              <w:t xml:space="preserve">assuming the same behaviour pattern as gonorrhoea, from 0.7 days to 3.93 days after symptoms </w:t>
            </w:r>
            <w:bookmarkEnd w:id="1"/>
            <w:r w:rsidR="000E18E6">
              <w:fldChar w:fldCharType="begin"/>
            </w:r>
            <w:r w:rsidR="000C5DB4">
              <w:instrText xml:space="preserve"> ADDIN ZOTERO_ITEM CSL_CITATION {"citationID":"HfvSy5i2","properties":{"formattedCitation":"[40]","plainCitation":"[40]","noteIndex":0},"citationItems":[{"id":342,"uris":["http://zotero.org/users/9663344/items/KT468CMT"],"itemData":{"id":342,"type":"article-journal","abstract":"Background Gonorrhoea is a rapidly growing public health threat, with rising incidence and increasing drug resistance. Evidence that the MeNZB and four-component serogroup B meningococcal (4CMenB) vaccines, designed against Neisseria meningitidis, can also offer protection against gonorrhoea has created interest in using 4CMenB for this purpose and for developing gonorrhoea-specific vaccines. However, cost-effectiveness, and how the efficacy and duration of protection affect a gonorrhoea vaccine’s value, have not been assessed.","container-title":"The Lancet Infectious Diseases","DOI":"10.1016/S1473-3099(21)00744-1","ISSN":"14733099","issue":"7","journalAbbreviation":"The Lancet Infectious Diseases","language":"en","page":"1030-1041","source":"DOI.org (Crossref)","title":"Public health impact and cost-effectiveness of gonorrhoea vaccination: an integrated transmission-dynamic health-economic modelling analysis","title-short":"Public health impact and cost-effectiveness of gonorrhoea vaccination","volume":"22","author":[{"family":"Whittles","given":"Lilith K"},{"family":"Didelot","given":"Xavier"},{"family":"White","given":"Peter J"}],"issued":{"date-parts":[["2022",7]]}}}],"schema":"https://github.com/citation-style-language/schema/raw/master/csl-citation.json"} </w:instrText>
            </w:r>
            <w:r w:rsidR="000E18E6">
              <w:fldChar w:fldCharType="separate"/>
            </w:r>
            <w:r w:rsidR="000C5DB4">
              <w:rPr>
                <w:noProof/>
              </w:rPr>
              <w:t>[40]</w:t>
            </w:r>
            <w:r w:rsidR="000E18E6">
              <w:fldChar w:fldCharType="end"/>
            </w:r>
            <w:r w:rsidR="001D4B0B">
              <w:t xml:space="preserve"> </w:t>
            </w:r>
          </w:p>
        </w:tc>
      </w:tr>
      <w:tr w:rsidR="003B5B8C" w:rsidRPr="0092025F" w14:paraId="3D364A59"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060D94CB" w14:textId="31369032" w:rsidR="003B5B8C" w:rsidRPr="007D0EB4" w:rsidRDefault="007D0EB4" w:rsidP="003B5B8C">
            <w:pPr>
              <w:pStyle w:val="NormalWeb"/>
              <w:spacing w:line="276" w:lineRule="auto"/>
              <w:jc w:val="both"/>
              <w:rPr>
                <w:b w:val="0"/>
                <w:bCs w:val="0"/>
                <w:i/>
              </w:rPr>
            </w:pPr>
            <m:oMathPara>
              <m:oMathParaPr>
                <m:jc m:val="left"/>
              </m:oMathParaPr>
              <m:oMath>
                <m:r>
                  <m:rPr>
                    <m:sty m:val="bi"/>
                  </m:rPr>
                  <w:rPr>
                    <w:rFonts w:ascii="Cambria Math" w:hAnsi="Cambria Math"/>
                  </w:rPr>
                  <m:t>ρ</m:t>
                </m:r>
              </m:oMath>
            </m:oMathPara>
          </w:p>
        </w:tc>
        <w:tc>
          <w:tcPr>
            <w:tcW w:w="5673" w:type="dxa"/>
            <w:shd w:val="clear" w:color="auto" w:fill="auto"/>
          </w:tcPr>
          <w:p w14:paraId="5211D3F0" w14:textId="5182CD3A" w:rsidR="003B5B8C" w:rsidRPr="00610BC1" w:rsidRDefault="003B5B8C"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Rate of recovery after treatment</w:t>
            </w:r>
            <w:r w:rsidR="003A6305">
              <w:t xml:space="preserve"> (</w:t>
            </w:r>
            <w:r w:rsidR="003A6305" w:rsidRPr="00AF629B">
              <w:rPr>
                <w:i/>
                <w:iCs/>
              </w:rPr>
              <w:t xml:space="preserve">R </w:t>
            </w:r>
            <m:oMath>
              <m:r>
                <w:rPr>
                  <w:rFonts w:ascii="Cambria Math" w:hAnsi="Cambria Math"/>
                </w:rPr>
                <m:t>→</m:t>
              </m:r>
            </m:oMath>
            <w:r w:rsidR="003A6305" w:rsidRPr="00AF629B">
              <w:rPr>
                <w:i/>
                <w:iCs/>
              </w:rPr>
              <w:t xml:space="preserve"> U</w:t>
            </w:r>
            <w:r w:rsidR="003A6305">
              <w:t>)</w:t>
            </w:r>
          </w:p>
        </w:tc>
        <w:tc>
          <w:tcPr>
            <w:tcW w:w="2363" w:type="dxa"/>
            <w:shd w:val="clear" w:color="auto" w:fill="auto"/>
          </w:tcPr>
          <w:p w14:paraId="3F0BA7EF" w14:textId="2D0C5E5A" w:rsidR="003B5B8C" w:rsidRPr="0092025F" w:rsidRDefault="004F3369"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r w:rsidR="005A1EFE">
              <w:t xml:space="preserve"> logN(ln(20), 0.3), </w:t>
            </w:r>
            <w:r w:rsidR="000F4461">
              <w:t>10 to 28 days</w:t>
            </w:r>
            <w:r w:rsidR="000C1E72">
              <w:t xml:space="preserve"> for treatment</w:t>
            </w:r>
            <w:r w:rsidR="000F4461">
              <w:t xml:space="preserve"> </w:t>
            </w:r>
            <w:r w:rsidR="000F4461">
              <w:fldChar w:fldCharType="begin"/>
            </w:r>
            <w:r w:rsidR="00B93770">
              <w:instrText xml:space="preserve"> ADDIN ZOTERO_ITEM CSL_CITATION {"citationID":"snPNrDI7","properties":{"formattedCitation":"[44]","plainCitation":"[44]","noteIndex":0},"citationItems":[{"id":467,"uris":["http://zotero.org/users/9663344/items/TBJJY8HP"],"itemData":{"id":467,"type":"article-journal","abstract":"Syphilis is a chronic, multi-stage infectious disease that is usually transmitted sexually by contact with an active lesion of a partner or congenitally from an infected pregnant woman to her fetus. Although syphilis is still endemic in many developing countries, it has re-emerged in several developed countries. The resurgence of syphilis is a major concern to global public health, particularly since the lesions of early syphilis increase the risk of acquisition and transmission of infection with human immunodeficiency virus (HIV). Because there is no vaccine to prevent syphilis, control is mainly dependent on the identification and treatment of infected individuals and their contacts with penicillin G, the first-line drug for all stages of syphilis. The emergence of clinically significant azithromycin resistance in Treponema pallidum subsp. pallidum, the syphilis agent, has resulted in treatment failures, thus precluding the routine use of this second-line drug. Information is presented here on the diagnosis and recommended antibiotic treatment of syphilis and the challenge of macrolide-resistant T. pallidum.","container-title":"Epidemiology and Infection","DOI":"10.1017/S0950268814002830","ISSN":"0950-2688","issue":"8","journalAbbreviation":"Epidemiol Infect","note":"PMID: 25358292\nPMCID: PMC9507240","page":"1567-1574","source":"PubMed Central","title":"Syphilis: antibiotic treatment and resistance","title-short":"Syphilis","volume":"143","author":[{"family":"STAMM","given":"L. V."}],"issued":{"date-parts":[["2015",6]]}}}],"schema":"https://github.com/citation-style-language/schema/raw/master/csl-citation.json"} </w:instrText>
            </w:r>
            <w:r w:rsidR="000F4461">
              <w:fldChar w:fldCharType="separate"/>
            </w:r>
            <w:r w:rsidR="00B93770">
              <w:rPr>
                <w:noProof/>
              </w:rPr>
              <w:t>[44]</w:t>
            </w:r>
            <w:r w:rsidR="000F4461">
              <w:fldChar w:fldCharType="end"/>
            </w:r>
          </w:p>
        </w:tc>
      </w:tr>
      <w:tr w:rsidR="003239D9" w:rsidRPr="0092025F" w14:paraId="5FCACAB6"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002F7F70" w14:textId="14D6A109" w:rsidR="003239D9" w:rsidRPr="003239D9" w:rsidRDefault="003239D9" w:rsidP="003B5B8C">
            <w:pPr>
              <w:pStyle w:val="NormalWeb"/>
              <w:spacing w:line="276" w:lineRule="auto"/>
              <w:jc w:val="both"/>
              <w:rPr>
                <w:rFonts w:ascii="Aptos" w:eastAsia="DengXian" w:hAnsi="Aptos"/>
              </w:rPr>
            </w:pPr>
            <m:oMathPara>
              <m:oMathParaPr>
                <m:jc m:val="left"/>
              </m:oMathParaPr>
              <m:oMath>
                <m:sSub>
                  <m:sSubPr>
                    <m:ctrlPr>
                      <w:rPr>
                        <w:rFonts w:ascii="Cambria Math" w:eastAsia="DengXian" w:hAnsi="Cambria Math"/>
                        <w:b w:val="0"/>
                        <w:bCs w:val="0"/>
                        <w:i/>
                      </w:rPr>
                    </m:ctrlPr>
                  </m:sSubPr>
                  <m:e>
                    <m:r>
                      <m:rPr>
                        <m:sty m:val="b"/>
                      </m:rPr>
                      <w:rPr>
                        <w:rFonts w:ascii="Cambria Math" w:eastAsia="DengXian" w:hAnsi="Cambria Math"/>
                      </w:rPr>
                      <m:t>β</m:t>
                    </m:r>
                    <m:ctrlPr>
                      <w:rPr>
                        <w:rFonts w:ascii="Cambria Math" w:eastAsia="DengXian" w:hAnsi="Cambria Math"/>
                      </w:rPr>
                    </m:ctrlPr>
                  </m:e>
                  <m:sub>
                    <m:r>
                      <m:rPr>
                        <m:sty m:val="b"/>
                      </m:rPr>
                      <w:rPr>
                        <w:rFonts w:ascii="Cambria Math" w:eastAsia="DengXian" w:hAnsi="Cambria Math"/>
                      </w:rPr>
                      <m:t>ν</m:t>
                    </m:r>
                  </m:sub>
                </m:sSub>
              </m:oMath>
            </m:oMathPara>
          </w:p>
        </w:tc>
        <w:tc>
          <w:tcPr>
            <w:tcW w:w="5673" w:type="dxa"/>
            <w:shd w:val="clear" w:color="auto" w:fill="auto"/>
          </w:tcPr>
          <w:p w14:paraId="3938AE99" w14:textId="0621E398" w:rsidR="003239D9" w:rsidRPr="00610BC1" w:rsidRDefault="003239D9"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Probability of death at tertiary stage</w:t>
            </w:r>
          </w:p>
        </w:tc>
        <w:tc>
          <w:tcPr>
            <w:tcW w:w="2363" w:type="dxa"/>
            <w:shd w:val="clear" w:color="auto" w:fill="auto"/>
          </w:tcPr>
          <w:p w14:paraId="4E8F054A" w14:textId="1CA86502" w:rsidR="003239D9" w:rsidRDefault="003239D9" w:rsidP="003239D9">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 xml:space="preserve">Prior: U(0.08, 0.58), </w:t>
            </w:r>
            <w:r>
              <w:t xml:space="preserve">128 out of 399 of untreated tertiary syphilis result in death </w:t>
            </w:r>
            <w:r>
              <w:lastRenderedPageBreak/>
              <w:t xml:space="preserve">by the end of 40 years after exposure </w:t>
            </w:r>
            <w:r>
              <w:fldChar w:fldCharType="begin"/>
            </w:r>
            <w:r w:rsidR="00B93770">
              <w:instrText xml:space="preserve"> ADDIN ZOTERO_ITEM CSL_CITATION {"citationID":"Affz5Kpa","properties":{"formattedCitation":"[45]","plainCitation":"[45]","noteIndex":0},"citationItems":[{"id":472,"uris":["http://zotero.org/users/9663344/items/GQZIU8UN"],"itemData":{"id":472,"type":"article-journal","abstract":"This year marks the 50th anniversary of the uncovering of the Tuskegee syphilis study, when the public learned that the Public Health Service (precursor of the CDC) for 40 years intentionally withheld effective therapy against a life-threatening illness in 400 African American men. In 2010, we learned that the same research group had deliberately infected hundreds of Guatemalans with syphilis and gonorrhea in the 1940s, with the goal of developing better methods for preventing these infections. Despite 15 journal articles detailing the results, no physician published a letter criticizing the Tuskegee study. Informed consent was never sought; instead, Public Health Service researchers deceived the men into believing they were receiving expert medical care. The study is an especially powerful parable because readers can identify the key players in the narrative and recognize them as exemplars of people they encounter in daily life—these flesh-and-blood characters convey the principles of research ethics more vividly than a dry account in a textbook of bioethics. The study spurred reforms leading to fundamental changes in the infrastructure of research ethics. The reason people fail to take steps to halt behavior that in retrospect everyone judges reprehensible is complex. Lack of imagination, rationalization, and institutional constraints are formidable obstacles. The central lessons from the study are the need to pause and think, reflect, and examine one’s conscience; the courage to speak; and above all the willpower to act. History, although about the past, is our best defense against future errors and transgressions.","container-title":"American Journal of Respiratory and Critical Care Medicine","DOI":"10.1164/rccm.202201-0136SO","ISSN":"1073-449X","issue":"10","journalAbbreviation":"Am J Respir Crit Care Med","note":"PMID: 35500908\nPMCID: PMC9872801","page":"1145-1158","source":"PubMed Central","title":"Fiftieth Anniversary of Uncovering the Tuskegee Syphilis Study: The Story and Timeless Lessons","title-short":"Fiftieth Anniversary of Uncovering the Tuskegee Syphilis Study","volume":"205","author":[{"family":"Tobin","given":"Martin J."}]}}],"schema":"https://github.com/citation-style-language/schema/raw/master/csl-citation.json"} </w:instrText>
            </w:r>
            <w:r>
              <w:fldChar w:fldCharType="separate"/>
            </w:r>
            <w:r w:rsidR="00B93770">
              <w:rPr>
                <w:noProof/>
              </w:rPr>
              <w:t>[45]</w:t>
            </w:r>
            <w:r>
              <w:fldChar w:fldCharType="end"/>
            </w:r>
            <w:r w:rsidR="00E62314">
              <w:t>,</w:t>
            </w:r>
            <w:bookmarkStart w:id="2" w:name="OLE_LINK3"/>
            <w:r w:rsidR="00513023">
              <w:t xml:space="preserve"> </w:t>
            </w:r>
            <w:r>
              <w:t>8% to 58% with a greater death rate in males</w:t>
            </w:r>
            <w:bookmarkEnd w:id="2"/>
            <w:r w:rsidR="00513023">
              <w:t xml:space="preserve"> </w:t>
            </w:r>
            <w:r>
              <w:fldChar w:fldCharType="begin"/>
            </w:r>
            <w:r w:rsidR="000C5DB4">
              <w:instrText xml:space="preserve"> ADDIN ZOTERO_ITEM CSL_CITATION {"citationID":"CxObxeqB","properties":{"formattedCitation":"[43]","plainCitation":"[43]","noteIndex":0},"citationItems":[{"id":470,"uris":["http://zotero.org/users/9663344/items/9S5I39NQ"],"itemData":{"id":470,"type":"article-journal","abstract":"Objective:To review the epidemiology, clinical features, diagnosis, and treatment of syphilis.Data Sources:Studies and reviews were abstracted from MEDLINE (1950–April 2007) using the search term syphilis. AN papers were cross-referenced to identify additional studies and reviews for inclusion.Study Selection and Data Extraction:Pertinent original research articles, review articles, and book chapters were evaluated.Data Synthesis:Syphilis is a spirochetal disease that has plagued mankind for centuries. Following a low incidence of syphilis in the US for the last 2 decades, rates are now increasing both in the US and other parts of (he world. Once acquired, syphilis can pass through 4 distinct stages of disease: primary syphilis. secondary syphilis, latent syphilis, and tertiary syphilis, with each stage being characterized by different symptoms and levels of infectivity. Diagnosis is made primarily by serologic assays with nontreponemal tests such as the Venereal Disease Research Laboratory and the Rapid Plasma Reagin assay used for screening. Treponemal tests including the Treponema pallidum particle agglutination and the fluorescent treponemal antibody absorption test are then used for confirmation. Recommended treatment regimens are based largely on uncontrolled trials and clinical experience. Penicillin is the treatment of choice, with the preparation and treatment duration varying for different stages. Benzathine penicillin is the treatment of choice lor all stages of syphilis except neurosyphilis, for which aqueous crystalline penicillin or procaine penicillin is used due to the central nervous system penetration of these formulations. Coinfection with both syphilis and HIV occurs frequently due to common risk factors. These 2 diseases interact with each other, making both diagnosis and treatment more complicated.Conclusions:Clinicians should be aware of the signs and symptoms of syphitis as well as current guidelines for the management and treatment of this disease.","container-title":"Annals of Pharmacotherapy","DOI":"10.1345/aph.1K086","ISSN":"1060-0280","issue":"2","journalAbbreviation":"Ann Pharmacother","language":"en","note":"publisher: SAGE Publications Inc","page":"226-236","source":"SAGE Journals","title":"Reexamining Syphilis: An Update on Epidemiology, Clinical Manifestations, and Management","title-short":"Reexamining Syphilis","volume":"42","author":[{"family":"Kent","given":"Molly E"},{"family":"Romanelli","given":"Frank"}],"issued":{"date-parts":[["2008",2,1]]}}}],"schema":"https://github.com/citation-style-language/schema/raw/master/csl-citation.json"} </w:instrText>
            </w:r>
            <w:r>
              <w:fldChar w:fldCharType="separate"/>
            </w:r>
            <w:r w:rsidR="000C5DB4">
              <w:rPr>
                <w:noProof/>
              </w:rPr>
              <w:t>[43]</w:t>
            </w:r>
            <w:r>
              <w:fldChar w:fldCharType="end"/>
            </w:r>
          </w:p>
        </w:tc>
      </w:tr>
      <w:tr w:rsidR="0049375F" w:rsidRPr="0092025F" w14:paraId="5DA3D11B"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BC3C43E" w14:textId="283A56F0" w:rsidR="0049375F" w:rsidRPr="007D0EB4" w:rsidRDefault="007D0EB4" w:rsidP="003B5B8C">
            <w:pPr>
              <w:pStyle w:val="NormalWeb"/>
              <w:spacing w:line="276" w:lineRule="auto"/>
              <w:jc w:val="both"/>
              <w:rPr>
                <w:rFonts w:ascii="Aptos" w:eastAsia="DengXian" w:hAnsi="Aptos"/>
                <w:b w:val="0"/>
                <w:bCs w:val="0"/>
                <w:i/>
              </w:rPr>
            </w:pPr>
            <w:bookmarkStart w:id="3" w:name="_Hlk192514538"/>
            <m:oMathPara>
              <m:oMathParaPr>
                <m:jc m:val="left"/>
              </m:oMathParaPr>
              <m:oMath>
                <m:r>
                  <m:rPr>
                    <m:sty m:val="bi"/>
                  </m:rPr>
                  <w:rPr>
                    <w:rFonts w:ascii="Cambria Math" w:eastAsia="DengXian" w:hAnsi="Cambria Math"/>
                  </w:rPr>
                  <w:lastRenderedPageBreak/>
                  <m:t>ν</m:t>
                </m:r>
              </m:oMath>
            </m:oMathPara>
          </w:p>
        </w:tc>
        <w:tc>
          <w:tcPr>
            <w:tcW w:w="5673" w:type="dxa"/>
            <w:shd w:val="clear" w:color="auto" w:fill="auto"/>
          </w:tcPr>
          <w:p w14:paraId="304C4EA0" w14:textId="58DA5648" w:rsidR="0049375F" w:rsidRPr="00610BC1" w:rsidRDefault="009C2789"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Mortality rate at tertiary stage</w:t>
            </w:r>
          </w:p>
        </w:tc>
        <w:tc>
          <w:tcPr>
            <w:tcW w:w="2363" w:type="dxa"/>
            <w:shd w:val="clear" w:color="auto" w:fill="auto"/>
          </w:tcPr>
          <w:p w14:paraId="7A710A44" w14:textId="578AFC9D" w:rsidR="00743554" w:rsidRPr="0092025F" w:rsidRDefault="004F3369"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r w:rsidR="00E5546C">
              <w:t xml:space="preserve"> logN(ln(0.04), 0.4), </w:t>
            </w:r>
            <w:r w:rsidR="000F4461">
              <w:t>10% to 20% (17.1%) of untreated tertiary syphilis result in death by the end of 40 years after exposure</w:t>
            </w:r>
            <w:r w:rsidR="00743554">
              <w:t xml:space="preserve"> </w:t>
            </w:r>
            <w:r w:rsidR="00743554">
              <w:fldChar w:fldCharType="begin"/>
            </w:r>
            <w:r w:rsidR="00B93770">
              <w:instrText xml:space="preserve"> ADDIN ZOTERO_ITEM CSL_CITATION {"citationID":"lIjztXov","properties":{"formattedCitation":"[46]","plainCitation":"[46]","noteIndex":0},"citationItems":[{"id":465,"uris":["http://zotero.org/users/9663344/items/YAGSPFB3"],"itemData":{"id":465,"type":"article-journal","abstract":"Nowhere in the world is there a more unique opportunity to learn what happens when early syphilis goes untreated than from the files of Boeck of Oslo, Norway. His scientific conviction as to the inadequacies of the specific treatment of the day led him to withhold treatment from approximately 2,000 patients with primary and secondary syphilis during the twenty-year period, 1891–1910. Community protection from infection was aided by the hospitalization of these patients until all traces of the disease had disappeared (from 1 to 12 months, average 3.6 months). In 1929, his successor, E. Bruusgaard, reported on a follow-up study of 473 of these patients and provided information on the outcome of untreated syphilis, which has formed the basis for prognostic statements on syphilis for more than twenty-five years. Now, in the department of Bruusgaard's successor, Danbolt, the entire material has been restudied successfully by Gjestland. This restudy represents a striking example of the application of the modern epidemiologic approach. In addition to the scientific contribution of this investigation, an outstanding illustration of international scientific cooperation has been demonstrated. The remarkable degree of success in obtaining significant information on approximately 80 per cent of the study group, 1,404 Norwegian residents of Oslo of 1891–1910, was undoubtedly due to the careful planning which preceded the tracing efforts. This planning included: (a) a consideration of the nature, extent, and significance of the problem of untreated syphilis; (b) an appraisal of existing information on the subject; (c) the setting up of hypotheses to be tested and questions to be answered; and (d) a detailed outline for a practical experiment design. The pretracing experiment design comprised: the selection of the study group; the listing of possible sources of information; a plan for orderly tracing; a provision for the collection and recording of information; plans for “controls”; and an outline for the analysis of data. Of particular importance is that these features of detailed planning preceded actual data collection. This characteristic of the epidemiologic method is well illustrated by this study. The study was undertaken with the ultimate objective of providing information on the “… natural course of syphilis according to as many indices as the material will allow. …”1 The questions originally asked of the material were: Among patients untreated for secondary syphilis and with no, some, or unknown subsequent treatment: 1. What are the frequencies of secondary relapse, of benign late syphilis, of late symptomatic syphilis, of life-long latency, and of spontaneous cure? 2. What are the effects on longevity, on causes of death and on mortality over that of nonsyphilitics? 3. Does age at time of infection influence outcome? 4. Does sex influence outcome? 5. What are the effects on the outcome of pregnancy at varying intervals following infection? 6. Is morbidity from conditions other than syphilis greater than among nonsyphilitics? Analysis of this material provides useful information in reference to questions 1 to 4. Unfortunately, it was impossible to collect significant data for question 5 and the matter of congenital syphilis was postponed for future investigation on a more limited scale. Data relating to question 6 will be introduced in a subsequent publication22 if satisfactory inferences can be drawn about morbidity from an extensive mortality study. The data relating to the remaining four questions are summarized in the following paragraphs. One of the significant contributions of this investigation is the information obtained on clinical secondary relapse: 23.6 per cent of these patients experienced this manifestation within five years of discharge from the hospital (males 22.7 per cent, females 24.0 per cent) and of these approximately one-fourth had multiple episodes. Benign late syphilis occurred in 14.4 per cent of males and 16.7 per cent of females. It was observed as early as the first year after discharge and as late as the forty-sixth year, the majority developing by the fifteenth year. There was some evidence of earlier appearance in females than in males and some suggestion that the probability of development is greater among females. Cardiovascular syphilis was observed to have developed in 13.6 per cent of males and 7.6 per cent of females, no cases occurring in those infected before the age of 15. Neurosyphilis did develop in patients who were infected before the age of 15 but not in males infected after the age of 40. In neurosyphilis there was a 2 to 1 ratio of males to females (males 9.4 per cent and females 5.0 per cent). The mortality from syphilis among males was twice that of females, but in neither sex was it an important cause of death. It was second as a cause of death in males and fifth in females, but approximately 90 per cent of deaths were from other causes. There was a definite excess mortality among these syphilitics as compared to the population group from which they came. No evidence was found to support the idea of the prognostic importance of either clinical secondary relapse or benign late syphilis. The best definition of spontaneous cure is too rigid to permit quantitative evaluation. More practical is a consideration of the extent of disability during the lifetime of the persons involved. It was estimated that between 60 and 70 out of every 100 of these patients went through life with a minimum of inconvenience despite no treatment for early syphilis. This gives no encouragement to withhold treatment because the final outcome in any individual cannot be predicted, and, too, syphilis is still a transmissible disease when untreated and can cause serious difficulties among 30 to 40 out of each 100 who remain untreated. This is probably the most comprehensive study of untreated syphilis that has yet been made, and the great mass of data that has been collected will provide the basis for additional contributions to our knowledge of syphilis infection. This brief review cannot do justice to this monumental piece of work comprising a monograph of some 500 pages, with 83 tables and 12 figures, and an annex of 70 pages with 30 tables and 2 figures. Gjestland's contribution will stand as a model of carefully planned and successfully executed field research and will provide the medical literature with the long awaited restudy of the Boeck-Bruusgaard material.","container-title":"Journal of Chronic Diseases","DOI":"10.1016/0021-9681(55)90139-9","ISSN":"0021-9681","issue":"3","journalAbbreviation":"Journal of Chronic Diseases","page":"311-344","source":"ScienceDirect","title":"The Oslo study of the natural history of untreated syphilis: An epidemiologic investigation based on a restudy of the Boeck-Bruusgaard material a review and appraisal","title-short":"The Oslo study of the natural history of untreated syphilis","volume":"2","author":[{"family":"Clark","given":"E. Gurney"},{"family":"Danbolt","given":"Niels"}],"issued":{"date-parts":[["1955",9,1]]}}}],"schema":"https://github.com/citation-style-language/schema/raw/master/csl-citation.json"} </w:instrText>
            </w:r>
            <w:r w:rsidR="00743554">
              <w:fldChar w:fldCharType="separate"/>
            </w:r>
            <w:r w:rsidR="00B93770">
              <w:rPr>
                <w:noProof/>
              </w:rPr>
              <w:t>[46]</w:t>
            </w:r>
            <w:r w:rsidR="00743554">
              <w:fldChar w:fldCharType="end"/>
            </w:r>
            <w:r w:rsidR="00743554" w:rsidRPr="0092025F">
              <w:t xml:space="preserve"> </w:t>
            </w:r>
          </w:p>
        </w:tc>
      </w:tr>
      <w:bookmarkEnd w:id="3"/>
      <w:tr w:rsidR="003B5B8C" w:rsidRPr="0092025F" w14:paraId="1ECCA484" w14:textId="77777777" w:rsidTr="00FF3ED2">
        <w:tc>
          <w:tcPr>
            <w:cnfStyle w:val="001000000000" w:firstRow="0" w:lastRow="0" w:firstColumn="1" w:lastColumn="0" w:oddVBand="0" w:evenVBand="0" w:oddHBand="0" w:evenHBand="0" w:firstRowFirstColumn="0" w:firstRowLastColumn="0" w:lastRowFirstColumn="0" w:lastRowLastColumn="0"/>
            <w:tcW w:w="990" w:type="dxa"/>
            <w:tcBorders>
              <w:bottom w:val="single" w:sz="4" w:space="0" w:color="auto"/>
            </w:tcBorders>
            <w:shd w:val="clear" w:color="auto" w:fill="auto"/>
          </w:tcPr>
          <w:p w14:paraId="66CF1FF5" w14:textId="3F90B5AD" w:rsidR="003B5B8C" w:rsidRPr="007D0EB4" w:rsidRDefault="007D0EB4" w:rsidP="003B5B8C">
            <w:pPr>
              <w:pStyle w:val="NormalWeb"/>
              <w:spacing w:line="276" w:lineRule="auto"/>
              <w:jc w:val="both"/>
              <w:rPr>
                <w:b w:val="0"/>
                <w:bCs w:val="0"/>
                <w:i/>
              </w:rPr>
            </w:pPr>
            <m:oMathPara>
              <m:oMathParaPr>
                <m:jc m:val="left"/>
              </m:oMathParaPr>
              <m:oMath>
                <m:r>
                  <m:rPr>
                    <m:sty m:val="bi"/>
                  </m:rPr>
                  <w:rPr>
                    <w:rFonts w:ascii="Cambria Math" w:hAnsi="Cambria Math"/>
                  </w:rPr>
                  <m:t>γ</m:t>
                </m:r>
              </m:oMath>
            </m:oMathPara>
          </w:p>
        </w:tc>
        <w:tc>
          <w:tcPr>
            <w:tcW w:w="5673" w:type="dxa"/>
            <w:tcBorders>
              <w:bottom w:val="single" w:sz="4" w:space="0" w:color="auto"/>
            </w:tcBorders>
            <w:shd w:val="clear" w:color="auto" w:fill="auto"/>
          </w:tcPr>
          <w:p w14:paraId="3309DBDD" w14:textId="3DB92280" w:rsidR="003B5B8C" w:rsidRPr="00610BC1" w:rsidRDefault="003B5B8C"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Years spent in the sexually-active population</w:t>
            </w:r>
          </w:p>
        </w:tc>
        <w:tc>
          <w:tcPr>
            <w:tcW w:w="2363" w:type="dxa"/>
            <w:tcBorders>
              <w:bottom w:val="single" w:sz="4" w:space="0" w:color="auto"/>
            </w:tcBorders>
            <w:shd w:val="clear" w:color="auto" w:fill="auto"/>
          </w:tcPr>
          <w:p w14:paraId="07889BC6" w14:textId="56A90F57" w:rsidR="003B5B8C" w:rsidRPr="0092025F" w:rsidRDefault="000F4461"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50</w:t>
            </w:r>
          </w:p>
        </w:tc>
      </w:tr>
      <w:tr w:rsidR="003B5B8C" w:rsidRPr="0092025F" w14:paraId="4EE34BA3" w14:textId="77777777" w:rsidTr="00FF3ED2">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tcBorders>
            <w:shd w:val="clear" w:color="auto" w:fill="auto"/>
          </w:tcPr>
          <w:p w14:paraId="2BD02E87" w14:textId="75FDA3D7" w:rsidR="003B5B8C" w:rsidRPr="007D0EB4" w:rsidRDefault="00000000" w:rsidP="003B5B8C">
            <w:pPr>
              <w:pStyle w:val="NormalWeb"/>
              <w:spacing w:line="276" w:lineRule="auto"/>
              <w:jc w:val="both"/>
              <w:rPr>
                <w:b w:val="0"/>
                <w:bCs w:val="0"/>
                <w:i/>
              </w:rPr>
            </w:pPr>
            <m:oMath>
              <m:sSub>
                <m:sSubPr>
                  <m:ctrlPr>
                    <w:rPr>
                      <w:rFonts w:ascii="Cambria Math" w:hAnsi="Cambria Math"/>
                      <w:b w:val="0"/>
                      <w:bCs w:val="0"/>
                      <w:i/>
                    </w:rPr>
                  </m:ctrlPr>
                </m:sSubPr>
                <m:e>
                  <m:r>
                    <m:rPr>
                      <m:sty m:val="bi"/>
                    </m:rPr>
                    <w:rPr>
                      <w:rFonts w:ascii="Cambria Math" w:hAnsi="Cambria Math"/>
                    </w:rPr>
                    <m:t>λ</m:t>
                  </m:r>
                </m:e>
                <m:sub>
                  <m:r>
                    <m:rPr>
                      <m:sty m:val="bi"/>
                    </m:rPr>
                    <w:rPr>
                      <w:rFonts w:ascii="Cambria Math" w:hAnsi="Cambria Math"/>
                    </w:rPr>
                    <m:t>j</m:t>
                  </m:r>
                </m:sub>
              </m:sSub>
              <m:d>
                <m:dPr>
                  <m:ctrlPr>
                    <w:rPr>
                      <w:rFonts w:ascii="Cambria Math" w:hAnsi="Cambria Math"/>
                      <w:b w:val="0"/>
                      <w:bCs w:val="0"/>
                      <w:i/>
                    </w:rPr>
                  </m:ctrlPr>
                </m:dPr>
                <m:e>
                  <m:r>
                    <m:rPr>
                      <m:sty m:val="bi"/>
                    </m:rPr>
                    <w:rPr>
                      <w:rFonts w:ascii="Cambria Math" w:hAnsi="Cambria Math"/>
                    </w:rPr>
                    <m:t>t</m:t>
                  </m:r>
                </m:e>
              </m:d>
            </m:oMath>
            <w:r w:rsidR="003B5B8C" w:rsidRPr="007D0EB4">
              <w:rPr>
                <w:b w:val="0"/>
                <w:bCs w:val="0"/>
                <w:i/>
              </w:rPr>
              <w:t xml:space="preserve"> </w:t>
            </w:r>
          </w:p>
        </w:tc>
        <w:tc>
          <w:tcPr>
            <w:tcW w:w="5673" w:type="dxa"/>
            <w:tcBorders>
              <w:top w:val="single" w:sz="4" w:space="0" w:color="auto"/>
            </w:tcBorders>
            <w:shd w:val="clear" w:color="auto" w:fill="auto"/>
          </w:tcPr>
          <w:p w14:paraId="6C95AAF6" w14:textId="2D7FF1F8" w:rsidR="003B5B8C" w:rsidRPr="00610BC1" w:rsidRDefault="003B5B8C"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 xml:space="preserve">Force of infection in group </w:t>
            </w:r>
            <m:oMath>
              <m:r>
                <w:rPr>
                  <w:rFonts w:ascii="Cambria Math" w:hAnsi="Cambria Math"/>
                </w:rPr>
                <m:t>j</m:t>
              </m:r>
            </m:oMath>
            <w:r>
              <w:t xml:space="preserve"> (</w:t>
            </w:r>
            <w:r w:rsidRPr="00AF629B">
              <w:rPr>
                <w:i/>
                <w:iCs/>
              </w:rPr>
              <w:t xml:space="preserve">U </w:t>
            </w:r>
            <m:oMath>
              <m:r>
                <w:rPr>
                  <w:rFonts w:ascii="Cambria Math" w:hAnsi="Cambria Math"/>
                </w:rPr>
                <m:t>→</m:t>
              </m:r>
            </m:oMath>
            <w:r w:rsidRPr="00AF629B">
              <w:rPr>
                <w:i/>
                <w:iCs/>
              </w:rPr>
              <w:t xml:space="preserve"> I</w:t>
            </w:r>
            <w:r>
              <w:t>)</w:t>
            </w:r>
          </w:p>
        </w:tc>
        <w:tc>
          <w:tcPr>
            <w:tcW w:w="2363" w:type="dxa"/>
            <w:tcBorders>
              <w:top w:val="single" w:sz="4" w:space="0" w:color="auto"/>
            </w:tcBorders>
            <w:shd w:val="clear" w:color="auto" w:fill="auto"/>
          </w:tcPr>
          <w:p w14:paraId="75AB7CE5" w14:textId="1134C6CA" w:rsidR="003B5B8C" w:rsidRPr="0092025F" w:rsidRDefault="00A043A4"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TD</w:t>
            </w:r>
          </w:p>
        </w:tc>
      </w:tr>
      <w:tr w:rsidR="003B5B8C" w:rsidRPr="0092025F" w14:paraId="19184D64"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A1C35E2" w14:textId="5C1EC431" w:rsidR="003B5B8C" w:rsidRPr="007D0EB4" w:rsidRDefault="00000000" w:rsidP="003B5B8C">
            <w:pPr>
              <w:pStyle w:val="NormalWeb"/>
              <w:spacing w:line="276" w:lineRule="auto"/>
              <w:jc w:val="both"/>
              <w:rPr>
                <w:rFonts w:ascii="Aptos" w:eastAsia="DengXian" w:hAnsi="Aptos"/>
                <w:b w:val="0"/>
                <w:bCs w:val="0"/>
                <w:i/>
              </w:rPr>
            </w:pPr>
            <m:oMathPara>
              <m:oMathParaPr>
                <m:jc m:val="left"/>
              </m:oMathParaPr>
              <m:oMath>
                <m:sSub>
                  <m:sSubPr>
                    <m:ctrlPr>
                      <w:rPr>
                        <w:rFonts w:ascii="Cambria Math" w:eastAsia="DengXian" w:hAnsi="Cambria Math"/>
                        <w:b w:val="0"/>
                        <w:bCs w:val="0"/>
                        <w:i/>
                      </w:rPr>
                    </m:ctrlPr>
                  </m:sSubPr>
                  <m:e>
                    <m:r>
                      <m:rPr>
                        <m:sty m:val="bi"/>
                      </m:rPr>
                      <w:rPr>
                        <w:rFonts w:ascii="Cambria Math" w:eastAsia="DengXian" w:hAnsi="Cambria Math"/>
                      </w:rPr>
                      <m:t>c</m:t>
                    </m:r>
                  </m:e>
                  <m:sub>
                    <m:r>
                      <m:rPr>
                        <m:sty m:val="bi"/>
                      </m:rPr>
                      <w:rPr>
                        <w:rFonts w:ascii="Cambria Math" w:eastAsia="DengXian" w:hAnsi="Cambria Math"/>
                      </w:rPr>
                      <m:t>L</m:t>
                    </m:r>
                  </m:sub>
                </m:sSub>
              </m:oMath>
            </m:oMathPara>
          </w:p>
        </w:tc>
        <w:tc>
          <w:tcPr>
            <w:tcW w:w="5673" w:type="dxa"/>
            <w:shd w:val="clear" w:color="auto" w:fill="auto"/>
          </w:tcPr>
          <w:p w14:paraId="374BEDC7" w14:textId="200DB5FB" w:rsidR="003B5B8C" w:rsidRPr="00610BC1" w:rsidRDefault="003B5B8C"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 xml:space="preserve">Annual rate of partner change in group </w:t>
            </w:r>
            <w:r w:rsidRPr="006C7107">
              <w:rPr>
                <w:i/>
                <w:iCs/>
              </w:rPr>
              <w:t>L</w:t>
            </w:r>
          </w:p>
        </w:tc>
        <w:tc>
          <w:tcPr>
            <w:tcW w:w="2363" w:type="dxa"/>
            <w:shd w:val="clear" w:color="auto" w:fill="auto"/>
          </w:tcPr>
          <w:p w14:paraId="76EDBA7D" w14:textId="4463724F" w:rsidR="003B5B8C" w:rsidRPr="0092025F" w:rsidRDefault="00CC787B"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1.989</w:t>
            </w:r>
          </w:p>
        </w:tc>
      </w:tr>
      <w:tr w:rsidR="003B5B8C" w:rsidRPr="0092025F" w14:paraId="7BF21EAA"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60210DCC" w14:textId="157FF2A1" w:rsidR="003B5B8C" w:rsidRPr="007D0EB4" w:rsidRDefault="00000000" w:rsidP="003B5B8C">
            <w:pPr>
              <w:pStyle w:val="NormalWeb"/>
              <w:spacing w:line="276" w:lineRule="auto"/>
              <w:jc w:val="both"/>
              <w:rPr>
                <w:rFonts w:ascii="Aptos" w:eastAsia="DengXian" w:hAnsi="Aptos"/>
                <w:b w:val="0"/>
                <w:bCs w:val="0"/>
                <w:i/>
              </w:rPr>
            </w:pPr>
            <m:oMathPara>
              <m:oMathParaPr>
                <m:jc m:val="left"/>
              </m:oMathParaPr>
              <m:oMath>
                <m:sSub>
                  <m:sSubPr>
                    <m:ctrlPr>
                      <w:rPr>
                        <w:rFonts w:ascii="Cambria Math" w:eastAsia="DengXian" w:hAnsi="Cambria Math"/>
                        <w:b w:val="0"/>
                        <w:bCs w:val="0"/>
                        <w:i/>
                      </w:rPr>
                    </m:ctrlPr>
                  </m:sSubPr>
                  <m:e>
                    <m:r>
                      <m:rPr>
                        <m:sty m:val="bi"/>
                      </m:rPr>
                      <w:rPr>
                        <w:rFonts w:ascii="Cambria Math" w:eastAsia="DengXian" w:hAnsi="Cambria Math"/>
                      </w:rPr>
                      <m:t>c</m:t>
                    </m:r>
                  </m:e>
                  <m:sub>
                    <m:r>
                      <m:rPr>
                        <m:sty m:val="bi"/>
                      </m:rPr>
                      <w:rPr>
                        <w:rFonts w:ascii="Cambria Math" w:eastAsia="DengXian" w:hAnsi="Cambria Math"/>
                      </w:rPr>
                      <m:t>H</m:t>
                    </m:r>
                  </m:sub>
                </m:sSub>
              </m:oMath>
            </m:oMathPara>
          </w:p>
        </w:tc>
        <w:tc>
          <w:tcPr>
            <w:tcW w:w="5673" w:type="dxa"/>
            <w:shd w:val="clear" w:color="auto" w:fill="auto"/>
          </w:tcPr>
          <w:p w14:paraId="6F1B2686" w14:textId="1B51BBBE" w:rsidR="003B5B8C" w:rsidRPr="00610BC1" w:rsidRDefault="003B5B8C"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 xml:space="preserve">Annual rate of partner change in group </w:t>
            </w:r>
            <w:r w:rsidRPr="006C7107">
              <w:rPr>
                <w:i/>
                <w:iCs/>
              </w:rPr>
              <w:t>H</w:t>
            </w:r>
          </w:p>
        </w:tc>
        <w:tc>
          <w:tcPr>
            <w:tcW w:w="2363" w:type="dxa"/>
            <w:shd w:val="clear" w:color="auto" w:fill="auto"/>
          </w:tcPr>
          <w:p w14:paraId="7FA1C43C" w14:textId="37B5E713" w:rsidR="003B5B8C" w:rsidRPr="0092025F" w:rsidRDefault="00CC787B"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14.866</w:t>
            </w:r>
          </w:p>
        </w:tc>
      </w:tr>
      <w:tr w:rsidR="003B5B8C" w:rsidRPr="0092025F" w14:paraId="6A0ECFEF"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6D9E4EDE" w14:textId="52A1EE4F" w:rsidR="003B5B8C" w:rsidRPr="007D0EB4" w:rsidRDefault="007D0EB4" w:rsidP="003B5B8C">
            <w:pPr>
              <w:pStyle w:val="NormalWeb"/>
              <w:spacing w:line="276" w:lineRule="auto"/>
              <w:jc w:val="both"/>
              <w:rPr>
                <w:rFonts w:ascii="Aptos" w:eastAsia="DengXian" w:hAnsi="Aptos"/>
                <w:b w:val="0"/>
                <w:bCs w:val="0"/>
                <w:i/>
              </w:rPr>
            </w:pPr>
            <m:oMathPara>
              <m:oMathParaPr>
                <m:jc m:val="left"/>
              </m:oMathParaPr>
              <m:oMath>
                <m:r>
                  <m:rPr>
                    <m:sty m:val="bi"/>
                  </m:rPr>
                  <w:rPr>
                    <w:rFonts w:ascii="Cambria Math" w:eastAsia="DengXian" w:hAnsi="Cambria Math"/>
                  </w:rPr>
                  <m:t>β</m:t>
                </m:r>
              </m:oMath>
            </m:oMathPara>
          </w:p>
        </w:tc>
        <w:tc>
          <w:tcPr>
            <w:tcW w:w="5673" w:type="dxa"/>
            <w:shd w:val="clear" w:color="auto" w:fill="auto"/>
          </w:tcPr>
          <w:p w14:paraId="6D449036" w14:textId="3ED47BCD" w:rsidR="003B5B8C" w:rsidRPr="00610BC1" w:rsidRDefault="003B5B8C"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Probability of transmission per partnership</w:t>
            </w:r>
          </w:p>
        </w:tc>
        <w:tc>
          <w:tcPr>
            <w:tcW w:w="2363" w:type="dxa"/>
            <w:shd w:val="clear" w:color="auto" w:fill="auto"/>
          </w:tcPr>
          <w:p w14:paraId="7A5D583B" w14:textId="1DF2825F" w:rsidR="003B5B8C" w:rsidRPr="0092025F" w:rsidRDefault="004F3369"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r w:rsidR="00F61FD2">
              <w:t xml:space="preserve"> U(0,1)</w:t>
            </w:r>
          </w:p>
        </w:tc>
      </w:tr>
      <w:tr w:rsidR="003B5B8C" w:rsidRPr="0092025F" w14:paraId="7D28F25E"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D1D5F95" w14:textId="51FC112E" w:rsidR="003B5B8C" w:rsidRPr="007D0EB4" w:rsidRDefault="00000000" w:rsidP="003B5B8C">
            <w:pPr>
              <w:pStyle w:val="NormalWeb"/>
              <w:spacing w:line="276" w:lineRule="auto"/>
              <w:jc w:val="both"/>
              <w:rPr>
                <w:rFonts w:ascii="Aptos" w:eastAsia="DengXian" w:hAnsi="Aptos"/>
                <w:b w:val="0"/>
                <w:bCs w:val="0"/>
                <w:i/>
              </w:rPr>
            </w:pPr>
            <m:oMathPara>
              <m:oMathParaPr>
                <m:jc m:val="left"/>
              </m:oMathParaPr>
              <m:oMath>
                <m:sSub>
                  <m:sSubPr>
                    <m:ctrlPr>
                      <w:rPr>
                        <w:rFonts w:ascii="Cambria Math" w:eastAsia="DengXian" w:hAnsi="Cambria Math"/>
                        <w:b w:val="0"/>
                        <w:bCs w:val="0"/>
                        <w:i/>
                      </w:rPr>
                    </m:ctrlPr>
                  </m:sSubPr>
                  <m:e>
                    <m:r>
                      <m:rPr>
                        <m:sty m:val="bi"/>
                      </m:rPr>
                      <w:rPr>
                        <w:rFonts w:ascii="Cambria Math" w:eastAsia="DengXian" w:hAnsi="Cambria Math"/>
                      </w:rPr>
                      <m:t>ϕ</m:t>
                    </m:r>
                  </m:e>
                  <m:sub>
                    <m:r>
                      <m:rPr>
                        <m:sty m:val="bi"/>
                      </m:rPr>
                      <w:rPr>
                        <w:rFonts w:ascii="Cambria Math" w:eastAsia="DengXian" w:hAnsi="Cambria Math"/>
                      </w:rPr>
                      <m:t>β</m:t>
                    </m:r>
                  </m:sub>
                </m:sSub>
              </m:oMath>
            </m:oMathPara>
          </w:p>
        </w:tc>
        <w:tc>
          <w:tcPr>
            <w:tcW w:w="5673" w:type="dxa"/>
            <w:shd w:val="clear" w:color="auto" w:fill="auto"/>
          </w:tcPr>
          <w:p w14:paraId="2AE8AC53" w14:textId="774AAEE1" w:rsidR="003B5B8C" w:rsidRPr="00610BC1" w:rsidRDefault="003B5B8C"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Annual increase in transmission risk behaviour</w:t>
            </w:r>
          </w:p>
        </w:tc>
        <w:tc>
          <w:tcPr>
            <w:tcW w:w="2363" w:type="dxa"/>
            <w:shd w:val="clear" w:color="auto" w:fill="auto"/>
          </w:tcPr>
          <w:p w14:paraId="3B27B3C9" w14:textId="77726EAF" w:rsidR="003B5B8C" w:rsidRPr="0092025F" w:rsidRDefault="004F3369"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r w:rsidR="00F61FD2">
              <w:t xml:space="preserve"> U(0,1)</w:t>
            </w:r>
          </w:p>
        </w:tc>
      </w:tr>
      <w:tr w:rsidR="003B5B8C" w:rsidRPr="0092025F" w14:paraId="4A03B145"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16E928D3" w14:textId="06FDE621" w:rsidR="003B5B8C" w:rsidRPr="007D0EB4" w:rsidRDefault="007D0EB4" w:rsidP="003B5B8C">
            <w:pPr>
              <w:pStyle w:val="NormalWeb"/>
              <w:spacing w:line="276" w:lineRule="auto"/>
              <w:jc w:val="both"/>
              <w:rPr>
                <w:rFonts w:ascii="Aptos" w:eastAsia="DengXian" w:hAnsi="Aptos"/>
                <w:b w:val="0"/>
                <w:bCs w:val="0"/>
                <w:i/>
              </w:rPr>
            </w:pPr>
            <m:oMathPara>
              <m:oMathParaPr>
                <m:jc m:val="left"/>
              </m:oMathParaPr>
              <m:oMath>
                <m:r>
                  <m:rPr>
                    <m:sty m:val="bi"/>
                  </m:rPr>
                  <w:rPr>
                    <w:rFonts w:ascii="Cambria Math" w:eastAsia="DengXian" w:hAnsi="Cambria Math"/>
                  </w:rPr>
                  <m:t>ϵ</m:t>
                </m:r>
              </m:oMath>
            </m:oMathPara>
          </w:p>
        </w:tc>
        <w:tc>
          <w:tcPr>
            <w:tcW w:w="5673" w:type="dxa"/>
            <w:shd w:val="clear" w:color="auto" w:fill="auto"/>
          </w:tcPr>
          <w:p w14:paraId="09CFDBDB" w14:textId="19577ECF" w:rsidR="003B5B8C" w:rsidRPr="00610BC1" w:rsidRDefault="003B5B8C"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Level of assortativity in sexual mixing</w:t>
            </w:r>
          </w:p>
        </w:tc>
        <w:tc>
          <w:tcPr>
            <w:tcW w:w="2363" w:type="dxa"/>
            <w:shd w:val="clear" w:color="auto" w:fill="auto"/>
          </w:tcPr>
          <w:p w14:paraId="063212B1" w14:textId="3E89E48D" w:rsidR="003B5B8C" w:rsidRPr="0092025F" w:rsidRDefault="004F3369"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r w:rsidR="00F61FD2">
              <w:t xml:space="preserve"> U(0,1)</w:t>
            </w:r>
          </w:p>
        </w:tc>
      </w:tr>
      <w:tr w:rsidR="003B5B8C" w:rsidRPr="0092025F" w14:paraId="4750DD73"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56995423" w14:textId="5B4D7AF9" w:rsidR="003B5B8C" w:rsidRPr="007D0EB4" w:rsidRDefault="00000000" w:rsidP="003B5B8C">
            <w:pPr>
              <w:pStyle w:val="NormalWeb"/>
              <w:spacing w:line="276" w:lineRule="auto"/>
              <w:jc w:val="both"/>
              <w:rPr>
                <w:rFonts w:ascii="Aptos" w:eastAsia="DengXian" w:hAnsi="Aptos"/>
                <w:b w:val="0"/>
                <w:bCs w:val="0"/>
                <w:i/>
              </w:rPr>
            </w:pPr>
            <m:oMathPara>
              <m:oMathParaPr>
                <m:jc m:val="left"/>
              </m:oMathParaPr>
              <m:oMath>
                <m:sSub>
                  <m:sSubPr>
                    <m:ctrlPr>
                      <w:rPr>
                        <w:rFonts w:ascii="Cambria Math" w:eastAsia="DengXian" w:hAnsi="Cambria Math"/>
                        <w:b w:val="0"/>
                        <w:bCs w:val="0"/>
                        <w:i/>
                      </w:rPr>
                    </m:ctrlPr>
                  </m:sSubPr>
                  <m:e>
                    <m:r>
                      <m:rPr>
                        <m:sty m:val="bi"/>
                      </m:rPr>
                      <w:rPr>
                        <w:rFonts w:ascii="Cambria Math" w:eastAsia="DengXian" w:hAnsi="Cambria Math"/>
                      </w:rPr>
                      <m:t>C</m:t>
                    </m:r>
                  </m:e>
                  <m:sub>
                    <m:r>
                      <m:rPr>
                        <m:sty m:val="bi"/>
                      </m:rPr>
                      <w:rPr>
                        <w:rFonts w:ascii="Cambria Math" w:eastAsia="DengXian" w:hAnsi="Cambria Math"/>
                      </w:rPr>
                      <m:t>j</m:t>
                    </m:r>
                  </m:sub>
                </m:sSub>
                <m:d>
                  <m:dPr>
                    <m:ctrlPr>
                      <w:rPr>
                        <w:rFonts w:ascii="Cambria Math" w:eastAsia="DengXian" w:hAnsi="Cambria Math"/>
                        <w:b w:val="0"/>
                        <w:bCs w:val="0"/>
                        <w:i/>
                      </w:rPr>
                    </m:ctrlPr>
                  </m:dPr>
                  <m:e>
                    <m:r>
                      <m:rPr>
                        <m:sty m:val="bi"/>
                      </m:rPr>
                      <w:rPr>
                        <w:rFonts w:ascii="Cambria Math" w:eastAsia="DengXian" w:hAnsi="Cambria Math"/>
                      </w:rPr>
                      <m:t>t</m:t>
                    </m:r>
                  </m:e>
                </m:d>
              </m:oMath>
            </m:oMathPara>
          </w:p>
        </w:tc>
        <w:tc>
          <w:tcPr>
            <w:tcW w:w="5673" w:type="dxa"/>
            <w:shd w:val="clear" w:color="auto" w:fill="auto"/>
          </w:tcPr>
          <w:p w14:paraId="533DA984" w14:textId="5A5F9FA8" w:rsidR="003B5B8C" w:rsidRPr="00610BC1" w:rsidRDefault="003B5B8C"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 xml:space="preserve">Infectious population size of MSM in group </w:t>
            </w:r>
            <m:oMath>
              <m:r>
                <w:rPr>
                  <w:rFonts w:ascii="Cambria Math" w:hAnsi="Cambria Math"/>
                </w:rPr>
                <m:t>j</m:t>
              </m:r>
            </m:oMath>
          </w:p>
        </w:tc>
        <w:tc>
          <w:tcPr>
            <w:tcW w:w="2363" w:type="dxa"/>
            <w:shd w:val="clear" w:color="auto" w:fill="auto"/>
          </w:tcPr>
          <w:p w14:paraId="7F9D0EE1" w14:textId="677903AE" w:rsidR="003B5B8C" w:rsidRPr="0092025F" w:rsidRDefault="00A043A4"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TD</w:t>
            </w:r>
          </w:p>
        </w:tc>
      </w:tr>
      <w:tr w:rsidR="003B5B8C" w:rsidRPr="0092025F" w14:paraId="4694F0B8"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07205096" w14:textId="52B073A5" w:rsidR="003B5B8C" w:rsidRPr="007D0EB4" w:rsidRDefault="007D0EB4" w:rsidP="003B5B8C">
            <w:pPr>
              <w:pStyle w:val="NormalWeb"/>
              <w:spacing w:line="276" w:lineRule="auto"/>
              <w:jc w:val="both"/>
              <w:rPr>
                <w:rFonts w:ascii="Aptos" w:eastAsia="DengXian" w:hAnsi="Aptos"/>
                <w:b w:val="0"/>
                <w:bCs w:val="0"/>
                <w:i/>
              </w:rPr>
            </w:pPr>
            <m:oMathPara>
              <m:oMathParaPr>
                <m:jc m:val="left"/>
              </m:oMathParaPr>
              <m:oMath>
                <m:r>
                  <m:rPr>
                    <m:sty m:val="bi"/>
                  </m:rPr>
                  <w:rPr>
                    <w:rFonts w:ascii="Cambria Math" w:eastAsia="DengXian" w:hAnsi="Cambria Math"/>
                  </w:rPr>
                  <m:t>N</m:t>
                </m:r>
                <m:d>
                  <m:dPr>
                    <m:ctrlPr>
                      <w:rPr>
                        <w:rFonts w:ascii="Cambria Math" w:eastAsia="DengXian" w:hAnsi="Cambria Math"/>
                        <w:b w:val="0"/>
                        <w:bCs w:val="0"/>
                        <w:i/>
                      </w:rPr>
                    </m:ctrlPr>
                  </m:dPr>
                  <m:e>
                    <m:sSub>
                      <m:sSubPr>
                        <m:ctrlPr>
                          <w:rPr>
                            <w:rFonts w:ascii="Cambria Math" w:eastAsia="DengXian" w:hAnsi="Cambria Math"/>
                            <w:b w:val="0"/>
                            <w:bCs w:val="0"/>
                            <w:i/>
                          </w:rPr>
                        </m:ctrlPr>
                      </m:sSubPr>
                      <m:e>
                        <m:r>
                          <m:rPr>
                            <m:sty m:val="bi"/>
                          </m:rPr>
                          <w:rPr>
                            <w:rFonts w:ascii="Cambria Math" w:eastAsia="DengXian" w:hAnsi="Cambria Math"/>
                          </w:rPr>
                          <m:t>t</m:t>
                        </m:r>
                      </m:e>
                      <m:sub>
                        <m:r>
                          <m:rPr>
                            <m:sty m:val="bi"/>
                          </m:rPr>
                          <w:rPr>
                            <w:rFonts w:ascii="Cambria Math" w:eastAsia="DengXian" w:hAnsi="Cambria Math"/>
                          </w:rPr>
                          <m:t>0</m:t>
                        </m:r>
                      </m:sub>
                    </m:sSub>
                  </m:e>
                </m:d>
              </m:oMath>
            </m:oMathPara>
          </w:p>
        </w:tc>
        <w:tc>
          <w:tcPr>
            <w:tcW w:w="5673" w:type="dxa"/>
            <w:shd w:val="clear" w:color="auto" w:fill="auto"/>
          </w:tcPr>
          <w:p w14:paraId="7DC044C8" w14:textId="16082C3B" w:rsidR="003B5B8C" w:rsidRPr="00610BC1" w:rsidRDefault="003B5B8C"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Initial population size of MSM</w:t>
            </w:r>
          </w:p>
        </w:tc>
        <w:tc>
          <w:tcPr>
            <w:tcW w:w="2363" w:type="dxa"/>
            <w:shd w:val="clear" w:color="auto" w:fill="auto"/>
          </w:tcPr>
          <w:p w14:paraId="541BB8FF" w14:textId="65456AAB" w:rsidR="003B5B8C" w:rsidRPr="0092025F" w:rsidRDefault="000F4461"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139,000</w:t>
            </w:r>
          </w:p>
        </w:tc>
      </w:tr>
      <w:tr w:rsidR="003B5B8C" w:rsidRPr="0092025F" w14:paraId="6EA31D30" w14:textId="77777777" w:rsidTr="00FF3ED2">
        <w:tc>
          <w:tcPr>
            <w:cnfStyle w:val="001000000000" w:firstRow="0" w:lastRow="0" w:firstColumn="1" w:lastColumn="0" w:oddVBand="0" w:evenVBand="0" w:oddHBand="0" w:evenHBand="0" w:firstRowFirstColumn="0" w:firstRowLastColumn="0" w:lastRowFirstColumn="0" w:lastRowLastColumn="0"/>
            <w:tcW w:w="990" w:type="dxa"/>
            <w:tcBorders>
              <w:bottom w:val="single" w:sz="4" w:space="0" w:color="auto"/>
            </w:tcBorders>
            <w:shd w:val="clear" w:color="auto" w:fill="auto"/>
          </w:tcPr>
          <w:p w14:paraId="3C367655" w14:textId="65E6A519" w:rsidR="003B5B8C" w:rsidRPr="007D0EB4" w:rsidRDefault="00000000" w:rsidP="003B5B8C">
            <w:pPr>
              <w:pStyle w:val="NormalWeb"/>
              <w:spacing w:line="276" w:lineRule="auto"/>
              <w:jc w:val="both"/>
              <w:rPr>
                <w:rFonts w:ascii="Aptos" w:eastAsia="DengXian" w:hAnsi="Aptos"/>
                <w:b w:val="0"/>
                <w:bCs w:val="0"/>
                <w:i/>
              </w:rPr>
            </w:pPr>
            <m:oMathPara>
              <m:oMathParaPr>
                <m:jc m:val="left"/>
              </m:oMathParaPr>
              <m:oMath>
                <m:sSub>
                  <m:sSubPr>
                    <m:ctrlPr>
                      <w:rPr>
                        <w:rFonts w:ascii="Cambria Math" w:eastAsia="DengXian" w:hAnsi="Cambria Math"/>
                        <w:b w:val="0"/>
                        <w:bCs w:val="0"/>
                        <w:i/>
                      </w:rPr>
                    </m:ctrlPr>
                  </m:sSubPr>
                  <m:e>
                    <m:r>
                      <m:rPr>
                        <m:sty m:val="bi"/>
                      </m:rPr>
                      <w:rPr>
                        <w:rFonts w:ascii="Cambria Math" w:eastAsia="DengXian" w:hAnsi="Cambria Math"/>
                      </w:rPr>
                      <m:t>π</m:t>
                    </m:r>
                  </m:e>
                  <m:sub>
                    <m:r>
                      <m:rPr>
                        <m:sty m:val="bi"/>
                      </m:rPr>
                      <w:rPr>
                        <w:rFonts w:ascii="Cambria Math" w:eastAsia="DengXian" w:hAnsi="Cambria Math"/>
                      </w:rPr>
                      <m:t>j</m:t>
                    </m:r>
                  </m:sub>
                </m:sSub>
                <m:d>
                  <m:dPr>
                    <m:ctrlPr>
                      <w:rPr>
                        <w:rFonts w:ascii="Cambria Math" w:eastAsia="DengXian" w:hAnsi="Cambria Math"/>
                        <w:b w:val="0"/>
                        <w:bCs w:val="0"/>
                        <w:i/>
                      </w:rPr>
                    </m:ctrlPr>
                  </m:dPr>
                  <m:e>
                    <m:r>
                      <m:rPr>
                        <m:sty m:val="bi"/>
                      </m:rPr>
                      <w:rPr>
                        <w:rFonts w:ascii="Cambria Math" w:eastAsia="DengXian" w:hAnsi="Cambria Math"/>
                      </w:rPr>
                      <m:t>t</m:t>
                    </m:r>
                  </m:e>
                </m:d>
              </m:oMath>
            </m:oMathPara>
          </w:p>
        </w:tc>
        <w:tc>
          <w:tcPr>
            <w:tcW w:w="5673" w:type="dxa"/>
            <w:tcBorders>
              <w:bottom w:val="single" w:sz="4" w:space="0" w:color="auto"/>
            </w:tcBorders>
            <w:shd w:val="clear" w:color="auto" w:fill="auto"/>
          </w:tcPr>
          <w:p w14:paraId="10666044" w14:textId="4DF49A48" w:rsidR="003B5B8C" w:rsidRPr="00610BC1" w:rsidRDefault="003B5B8C"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 xml:space="preserve">Proportion of all partnerships in the population that involve a member of group </w:t>
            </w:r>
            <m:oMath>
              <m:r>
                <w:rPr>
                  <w:rFonts w:ascii="Cambria Math" w:hAnsi="Cambria Math"/>
                </w:rPr>
                <m:t>j</m:t>
              </m:r>
            </m:oMath>
          </w:p>
        </w:tc>
        <w:tc>
          <w:tcPr>
            <w:tcW w:w="2363" w:type="dxa"/>
            <w:tcBorders>
              <w:bottom w:val="single" w:sz="4" w:space="0" w:color="auto"/>
            </w:tcBorders>
            <w:shd w:val="clear" w:color="auto" w:fill="auto"/>
          </w:tcPr>
          <w:p w14:paraId="4287CBD2" w14:textId="16198F5C" w:rsidR="003B5B8C" w:rsidRPr="0092025F" w:rsidRDefault="00A043A4"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TD</w:t>
            </w:r>
          </w:p>
        </w:tc>
      </w:tr>
      <w:tr w:rsidR="003B5B8C" w:rsidRPr="0092025F" w14:paraId="7922E2D4" w14:textId="77777777" w:rsidTr="00FF3ED2">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tcBorders>
            <w:shd w:val="clear" w:color="auto" w:fill="auto"/>
          </w:tcPr>
          <w:p w14:paraId="00D97C05" w14:textId="3C21C43C" w:rsidR="003B5B8C" w:rsidRPr="007D0EB4" w:rsidRDefault="00000000" w:rsidP="003B5B8C">
            <w:pPr>
              <w:pStyle w:val="NormalWeb"/>
              <w:spacing w:line="276" w:lineRule="auto"/>
              <w:jc w:val="both"/>
              <w:rPr>
                <w:b w:val="0"/>
                <w:bCs w:val="0"/>
                <w:i/>
              </w:rPr>
            </w:pPr>
            <m:oMathPara>
              <m:oMathParaPr>
                <m:jc m:val="left"/>
              </m:oMathParaPr>
              <m:oMath>
                <m:sSub>
                  <m:sSubPr>
                    <m:ctrlPr>
                      <w:rPr>
                        <w:rFonts w:ascii="Cambria Math" w:hAnsi="Cambria Math"/>
                        <w:b w:val="0"/>
                        <w:bCs w:val="0"/>
                        <w:i/>
                      </w:rPr>
                    </m:ctrlPr>
                  </m:sSubPr>
                  <m:e>
                    <m:r>
                      <m:rPr>
                        <m:sty m:val="bi"/>
                      </m:rPr>
                      <w:rPr>
                        <w:rFonts w:ascii="Cambria Math" w:hAnsi="Cambria Math"/>
                      </w:rPr>
                      <m:t>η</m:t>
                    </m:r>
                  </m:e>
                  <m:sub>
                    <m:r>
                      <m:rPr>
                        <m:sty m:val="bi"/>
                      </m:rPr>
                      <w:rPr>
                        <w:rFonts w:ascii="Cambria Math" w:hAnsi="Cambria Math"/>
                      </w:rPr>
                      <m:t>j</m:t>
                    </m:r>
                  </m:sub>
                </m:sSub>
                <m:d>
                  <m:dPr>
                    <m:ctrlPr>
                      <w:rPr>
                        <w:rFonts w:ascii="Cambria Math" w:hAnsi="Cambria Math"/>
                        <w:b w:val="0"/>
                        <w:bCs w:val="0"/>
                        <w:i/>
                      </w:rPr>
                    </m:ctrlPr>
                  </m:dPr>
                  <m:e>
                    <m:r>
                      <m:rPr>
                        <m:sty m:val="bi"/>
                      </m:rPr>
                      <w:rPr>
                        <w:rFonts w:ascii="Cambria Math" w:hAnsi="Cambria Math"/>
                      </w:rPr>
                      <m:t>t</m:t>
                    </m:r>
                  </m:e>
                </m:d>
              </m:oMath>
            </m:oMathPara>
          </w:p>
        </w:tc>
        <w:tc>
          <w:tcPr>
            <w:tcW w:w="5673" w:type="dxa"/>
            <w:tcBorders>
              <w:top w:val="single" w:sz="4" w:space="0" w:color="auto"/>
            </w:tcBorders>
            <w:shd w:val="clear" w:color="auto" w:fill="auto"/>
          </w:tcPr>
          <w:p w14:paraId="32776A17" w14:textId="16D1308D" w:rsidR="003B5B8C" w:rsidRPr="00610BC1" w:rsidRDefault="003B5B8C"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 xml:space="preserve">Rate of screening in the absence of symptoms in group </w:t>
            </w:r>
            <m:oMath>
              <m:r>
                <w:rPr>
                  <w:rFonts w:ascii="Cambria Math" w:hAnsi="Cambria Math"/>
                </w:rPr>
                <m:t>j</m:t>
              </m:r>
            </m:oMath>
            <w:r w:rsidR="00A53871">
              <w:t xml:space="preserve"> (</w:t>
            </w:r>
            <w:r w:rsidR="00A53871" w:rsidRPr="006C7107">
              <w:rPr>
                <w:i/>
                <w:iCs/>
              </w:rPr>
              <w:t xml:space="preserve">E/L </w:t>
            </w:r>
            <m:oMath>
              <m:r>
                <w:rPr>
                  <w:rFonts w:ascii="Cambria Math" w:hAnsi="Cambria Math"/>
                </w:rPr>
                <m:t>→</m:t>
              </m:r>
            </m:oMath>
            <w:r w:rsidR="00A53871" w:rsidRPr="006C7107">
              <w:rPr>
                <w:i/>
                <w:iCs/>
              </w:rPr>
              <w:t xml:space="preserve"> R</w:t>
            </w:r>
            <w:r w:rsidR="00A53871">
              <w:t>)</w:t>
            </w:r>
          </w:p>
        </w:tc>
        <w:tc>
          <w:tcPr>
            <w:tcW w:w="2363" w:type="dxa"/>
            <w:tcBorders>
              <w:top w:val="single" w:sz="4" w:space="0" w:color="auto"/>
            </w:tcBorders>
            <w:shd w:val="clear" w:color="auto" w:fill="auto"/>
          </w:tcPr>
          <w:p w14:paraId="36BFDA35" w14:textId="76D1B1BF" w:rsidR="003B5B8C" w:rsidRPr="0092025F" w:rsidRDefault="00A043A4"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TD</w:t>
            </w:r>
          </w:p>
        </w:tc>
      </w:tr>
      <w:tr w:rsidR="003B5B8C" w:rsidRPr="0092025F" w14:paraId="363BB534"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A64D0C2" w14:textId="700DFD2B" w:rsidR="003B5B8C" w:rsidRPr="007D0EB4" w:rsidRDefault="00000000" w:rsidP="003B5B8C">
            <w:pPr>
              <w:pStyle w:val="NormalWeb"/>
              <w:spacing w:line="276" w:lineRule="auto"/>
              <w:jc w:val="both"/>
              <w:rPr>
                <w:b w:val="0"/>
                <w:bCs w:val="0"/>
                <w:i/>
              </w:rPr>
            </w:pPr>
            <m:oMathPara>
              <m:oMathParaPr>
                <m:jc m:val="left"/>
              </m:oMathParaPr>
              <m:oMath>
                <m:sSub>
                  <m:sSubPr>
                    <m:ctrlPr>
                      <w:rPr>
                        <w:rFonts w:ascii="Cambria Math" w:hAnsi="Cambria Math"/>
                        <w:b w:val="0"/>
                        <w:bCs w:val="0"/>
                        <w:i/>
                      </w:rPr>
                    </m:ctrlPr>
                  </m:sSubPr>
                  <m:e>
                    <m:r>
                      <m:rPr>
                        <m:sty m:val="bi"/>
                      </m:rPr>
                      <w:rPr>
                        <w:rFonts w:ascii="Cambria Math" w:hAnsi="Cambria Math"/>
                      </w:rPr>
                      <m:t>η</m:t>
                    </m:r>
                  </m:e>
                  <m:sub>
                    <m:r>
                      <m:rPr>
                        <m:sty m:val="bi"/>
                      </m:rPr>
                      <w:rPr>
                        <w:rFonts w:ascii="Cambria Math" w:hAnsi="Cambria Math"/>
                      </w:rPr>
                      <m:t>H</m:t>
                    </m:r>
                  </m:sub>
                </m:sSub>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0</m:t>
                        </m:r>
                      </m:sub>
                    </m:sSub>
                  </m:e>
                </m:d>
              </m:oMath>
            </m:oMathPara>
          </w:p>
        </w:tc>
        <w:tc>
          <w:tcPr>
            <w:tcW w:w="5673" w:type="dxa"/>
            <w:shd w:val="clear" w:color="auto" w:fill="auto"/>
          </w:tcPr>
          <w:p w14:paraId="18A971FA" w14:textId="1E750122" w:rsidR="003B5B8C" w:rsidRPr="00610BC1" w:rsidRDefault="003B5B8C"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 xml:space="preserve">Initial rate of asymptomatic screening in group </w:t>
            </w:r>
            <w:r w:rsidRPr="006C7107">
              <w:rPr>
                <w:i/>
                <w:iCs/>
              </w:rPr>
              <w:t>H</w:t>
            </w:r>
          </w:p>
        </w:tc>
        <w:tc>
          <w:tcPr>
            <w:tcW w:w="2363" w:type="dxa"/>
            <w:shd w:val="clear" w:color="auto" w:fill="auto"/>
          </w:tcPr>
          <w:p w14:paraId="3728E090" w14:textId="1633B078" w:rsidR="003B5B8C" w:rsidRPr="0092025F" w:rsidRDefault="000C5DB4"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w:t>
            </w:r>
            <w:r w:rsidR="004F3369">
              <w:t>Prior:</w:t>
            </w:r>
            <w:r w:rsidR="00F61FD2">
              <w:t xml:space="preserve"> U(0,4)</w:t>
            </w:r>
          </w:p>
        </w:tc>
      </w:tr>
      <w:tr w:rsidR="003B5B8C" w:rsidRPr="0092025F" w14:paraId="569B6B44" w14:textId="77777777" w:rsidTr="00FF3ED2">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BA34AE8" w14:textId="662F0155" w:rsidR="003B5B8C" w:rsidRPr="007D0EB4" w:rsidRDefault="00000000" w:rsidP="003B5B8C">
            <w:pPr>
              <w:pStyle w:val="NormalWeb"/>
              <w:spacing w:line="276" w:lineRule="auto"/>
              <w:jc w:val="both"/>
              <w:rPr>
                <w:b w:val="0"/>
                <w:bCs w:val="0"/>
                <w:i/>
              </w:rPr>
            </w:pPr>
            <m:oMathPara>
              <m:oMathParaPr>
                <m:jc m:val="left"/>
              </m:oMathParaPr>
              <m:oMath>
                <m:sSub>
                  <m:sSubPr>
                    <m:ctrlPr>
                      <w:rPr>
                        <w:rFonts w:ascii="Cambria Math" w:hAnsi="Cambria Math"/>
                        <w:b w:val="0"/>
                        <w:bCs w:val="0"/>
                        <w:i/>
                      </w:rPr>
                    </m:ctrlPr>
                  </m:sSubPr>
                  <m:e>
                    <m:r>
                      <m:rPr>
                        <m:sty m:val="bi"/>
                      </m:rPr>
                      <w:rPr>
                        <w:rFonts w:ascii="Cambria Math" w:hAnsi="Cambria Math"/>
                      </w:rPr>
                      <m:t>ϕ</m:t>
                    </m:r>
                  </m:e>
                  <m:sub>
                    <m:r>
                      <m:rPr>
                        <m:sty m:val="bi"/>
                      </m:rPr>
                      <w:rPr>
                        <w:rFonts w:ascii="Cambria Math" w:hAnsi="Cambria Math"/>
                      </w:rPr>
                      <m:t>η</m:t>
                    </m:r>
                  </m:sub>
                </m:sSub>
              </m:oMath>
            </m:oMathPara>
          </w:p>
        </w:tc>
        <w:tc>
          <w:tcPr>
            <w:tcW w:w="5673" w:type="dxa"/>
            <w:shd w:val="clear" w:color="auto" w:fill="auto"/>
          </w:tcPr>
          <w:p w14:paraId="327D76E8" w14:textId="2D9B657D" w:rsidR="003B5B8C" w:rsidRPr="000F4461" w:rsidRDefault="003B5B8C"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610BC1">
              <w:t>Annual increase in screening rate</w:t>
            </w:r>
          </w:p>
        </w:tc>
        <w:tc>
          <w:tcPr>
            <w:tcW w:w="2363" w:type="dxa"/>
            <w:shd w:val="clear" w:color="auto" w:fill="auto"/>
          </w:tcPr>
          <w:p w14:paraId="584127A9" w14:textId="2B38EDE3" w:rsidR="003B5B8C" w:rsidRPr="0092025F" w:rsidRDefault="004F3369"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r w:rsidR="009F4788">
              <w:t xml:space="preserve"> U(0,1)</w:t>
            </w:r>
          </w:p>
        </w:tc>
      </w:tr>
      <w:tr w:rsidR="003B5B8C" w:rsidRPr="0092025F" w14:paraId="2A3716CA" w14:textId="77777777" w:rsidTr="0076345E">
        <w:tc>
          <w:tcPr>
            <w:cnfStyle w:val="001000000000" w:firstRow="0" w:lastRow="0" w:firstColumn="1" w:lastColumn="0" w:oddVBand="0" w:evenVBand="0" w:oddHBand="0" w:evenHBand="0" w:firstRowFirstColumn="0" w:firstRowLastColumn="0" w:lastRowFirstColumn="0" w:lastRowLastColumn="0"/>
            <w:tcW w:w="990" w:type="dxa"/>
            <w:tcBorders>
              <w:bottom w:val="single" w:sz="4" w:space="0" w:color="auto"/>
            </w:tcBorders>
            <w:shd w:val="clear" w:color="auto" w:fill="auto"/>
          </w:tcPr>
          <w:p w14:paraId="236EE69F" w14:textId="6FAFB0BE" w:rsidR="003B5B8C" w:rsidRPr="007D0EB4" w:rsidRDefault="007D0EB4" w:rsidP="003B5B8C">
            <w:pPr>
              <w:pStyle w:val="NormalWeb"/>
              <w:spacing w:line="276" w:lineRule="auto"/>
              <w:jc w:val="both"/>
              <w:rPr>
                <w:b w:val="0"/>
                <w:bCs w:val="0"/>
                <w:i/>
              </w:rPr>
            </w:pPr>
            <m:oMathPara>
              <m:oMathParaPr>
                <m:jc m:val="left"/>
              </m:oMathParaPr>
              <m:oMath>
                <m:r>
                  <m:rPr>
                    <m:sty m:val="bi"/>
                  </m:rPr>
                  <w:rPr>
                    <w:rFonts w:ascii="Cambria Math" w:hAnsi="Cambria Math"/>
                  </w:rPr>
                  <m:t>ω</m:t>
                </m:r>
              </m:oMath>
            </m:oMathPara>
          </w:p>
        </w:tc>
        <w:tc>
          <w:tcPr>
            <w:tcW w:w="5673" w:type="dxa"/>
            <w:tcBorders>
              <w:bottom w:val="single" w:sz="4" w:space="0" w:color="auto"/>
            </w:tcBorders>
            <w:shd w:val="clear" w:color="auto" w:fill="auto"/>
          </w:tcPr>
          <w:p w14:paraId="70923036" w14:textId="7183CF8A" w:rsidR="003B5B8C" w:rsidRPr="00610BC1" w:rsidRDefault="003B5B8C"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610BC1">
              <w:t xml:space="preserve">Ratio of screening rate in group </w:t>
            </w:r>
            <w:r w:rsidRPr="006C7107">
              <w:rPr>
                <w:i/>
                <w:iCs/>
              </w:rPr>
              <w:t>L</w:t>
            </w:r>
            <w:r w:rsidRPr="00610BC1">
              <w:t xml:space="preserve"> vs group </w:t>
            </w:r>
            <w:r w:rsidRPr="006C7107">
              <w:rPr>
                <w:i/>
                <w:iCs/>
              </w:rPr>
              <w:t>H</w:t>
            </w:r>
          </w:p>
        </w:tc>
        <w:tc>
          <w:tcPr>
            <w:tcW w:w="2363" w:type="dxa"/>
            <w:tcBorders>
              <w:bottom w:val="single" w:sz="4" w:space="0" w:color="auto"/>
            </w:tcBorders>
            <w:shd w:val="clear" w:color="auto" w:fill="auto"/>
          </w:tcPr>
          <w:p w14:paraId="2EBD2B69" w14:textId="35B38ACD" w:rsidR="003B5B8C" w:rsidRPr="0092025F" w:rsidRDefault="000C5DB4" w:rsidP="003B5B8C">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w:t>
            </w:r>
            <w:r w:rsidR="004F3369">
              <w:t>Prior:</w:t>
            </w:r>
            <w:r w:rsidR="00F61FD2">
              <w:t xml:space="preserve"> logN(-0.87,0.39)</w:t>
            </w:r>
            <w:r w:rsidR="00660E38" w:rsidRPr="0092025F">
              <w:t xml:space="preserve"> </w:t>
            </w:r>
          </w:p>
        </w:tc>
      </w:tr>
      <w:tr w:rsidR="00CA1AED" w:rsidRPr="0092025F" w14:paraId="4C461BB4" w14:textId="77777777" w:rsidTr="005D288A">
        <w:tc>
          <w:tcPr>
            <w:cnfStyle w:val="001000000000" w:firstRow="0" w:lastRow="0" w:firstColumn="1" w:lastColumn="0" w:oddVBand="0" w:evenVBand="0" w:oddHBand="0" w:evenHBand="0" w:firstRowFirstColumn="0" w:firstRowLastColumn="0" w:lastRowFirstColumn="0" w:lastRowLastColumn="0"/>
            <w:tcW w:w="990" w:type="dxa"/>
            <w:tcBorders>
              <w:bottom w:val="single" w:sz="4" w:space="0" w:color="auto"/>
            </w:tcBorders>
            <w:shd w:val="clear" w:color="auto" w:fill="auto"/>
          </w:tcPr>
          <w:p w14:paraId="085264B1" w14:textId="709A047D" w:rsidR="00CA1AED" w:rsidRPr="00CA1AED" w:rsidRDefault="00CA1AED" w:rsidP="00CA1AED">
            <w:pPr>
              <w:pStyle w:val="NormalWeb"/>
              <w:spacing w:line="276" w:lineRule="auto"/>
              <w:jc w:val="both"/>
              <w:rPr>
                <w:rFonts w:ascii="Aptos" w:eastAsia="DengXian" w:hAnsi="Aptos"/>
              </w:rPr>
            </w:pPr>
            <m:oMathPara>
              <m:oMathParaPr>
                <m:jc m:val="left"/>
              </m:oMathParaPr>
              <m:oMath>
                <m:sSub>
                  <m:sSubPr>
                    <m:ctrlPr>
                      <w:rPr>
                        <w:rFonts w:ascii="Cambria Math" w:eastAsia="DengXian" w:hAnsi="Cambria Math"/>
                        <w:b w:val="0"/>
                        <w:bCs w:val="0"/>
                        <w:i/>
                      </w:rPr>
                    </m:ctrlPr>
                  </m:sSubPr>
                  <m:e>
                    <m:r>
                      <w:rPr>
                        <w:rFonts w:ascii="Cambria Math" w:eastAsia="DengXian" w:hAnsi="Cambria Math"/>
                      </w:rPr>
                      <m:t>κ</m:t>
                    </m:r>
                  </m:e>
                  <m:sub>
                    <m:r>
                      <w:rPr>
                        <w:rFonts w:ascii="Cambria Math" w:eastAsia="DengXian" w:hAnsi="Cambria Math"/>
                      </w:rPr>
                      <m:t>D</m:t>
                    </m:r>
                  </m:sub>
                </m:sSub>
              </m:oMath>
            </m:oMathPara>
          </w:p>
        </w:tc>
        <w:tc>
          <w:tcPr>
            <w:tcW w:w="5673" w:type="dxa"/>
            <w:tcBorders>
              <w:bottom w:val="single" w:sz="4" w:space="0" w:color="auto"/>
            </w:tcBorders>
            <w:shd w:val="clear" w:color="auto" w:fill="auto"/>
            <w:vAlign w:val="center"/>
          </w:tcPr>
          <w:p w14:paraId="5BED9857" w14:textId="5FAB324F" w:rsidR="00CA1AED" w:rsidRPr="00610BC1"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76345E">
              <w:rPr>
                <w:color w:val="0D0D0D"/>
                <w:shd w:val="clear" w:color="auto" w:fill="FFFFFF"/>
              </w:rPr>
              <w:t>Shape parameter of communicable disease surveillance data</w:t>
            </w:r>
          </w:p>
        </w:tc>
        <w:tc>
          <w:tcPr>
            <w:tcW w:w="2363" w:type="dxa"/>
            <w:tcBorders>
              <w:bottom w:val="single" w:sz="4" w:space="0" w:color="auto"/>
            </w:tcBorders>
            <w:shd w:val="clear" w:color="auto" w:fill="auto"/>
          </w:tcPr>
          <w:p w14:paraId="44FA2ABB" w14:textId="72CA794B" w:rsidR="00CA1AED"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r w:rsidR="00F61FD2">
              <w:t xml:space="preserve"> U(0,1)</w:t>
            </w:r>
          </w:p>
        </w:tc>
      </w:tr>
      <w:tr w:rsidR="00CA1AED" w:rsidRPr="0092025F" w14:paraId="03ADBF03" w14:textId="77777777" w:rsidTr="005D288A">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tcBorders>
            <w:shd w:val="clear" w:color="auto" w:fill="FFFF00"/>
          </w:tcPr>
          <w:p w14:paraId="1E720D57" w14:textId="22E2CFFC" w:rsidR="00CA1AED" w:rsidRPr="007D0EB4" w:rsidRDefault="00CA1AED" w:rsidP="00CA1AED">
            <w:pPr>
              <w:pStyle w:val="NormalWeb"/>
              <w:spacing w:line="276" w:lineRule="auto"/>
              <w:jc w:val="both"/>
              <w:rPr>
                <w:b w:val="0"/>
                <w:bCs w:val="0"/>
                <w:i/>
              </w:rPr>
            </w:pPr>
            <m:oMathPara>
              <m:oMathParaPr>
                <m:jc m:val="left"/>
              </m:oMathParaPr>
              <m:oMath>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d</m:t>
                    </m:r>
                  </m:sub>
                </m:sSub>
              </m:oMath>
            </m:oMathPara>
          </w:p>
        </w:tc>
        <w:tc>
          <w:tcPr>
            <w:tcW w:w="5673" w:type="dxa"/>
            <w:tcBorders>
              <w:top w:val="single" w:sz="4" w:space="0" w:color="auto"/>
            </w:tcBorders>
            <w:shd w:val="clear" w:color="auto" w:fill="FFFF00"/>
          </w:tcPr>
          <w:p w14:paraId="187680CC" w14:textId="2FB1A1DF" w:rsidR="00CA1AED" w:rsidRPr="00610BC1"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E06340">
              <w:t>Efficacy of doxycycline against infections</w:t>
            </w:r>
          </w:p>
        </w:tc>
        <w:tc>
          <w:tcPr>
            <w:tcW w:w="2363" w:type="dxa"/>
            <w:tcBorders>
              <w:top w:val="single" w:sz="4" w:space="0" w:color="auto"/>
            </w:tcBorders>
            <w:shd w:val="clear" w:color="auto" w:fill="FFFF00"/>
          </w:tcPr>
          <w:p w14:paraId="1C04EABB" w14:textId="398B13E8" w:rsidR="00CA1AED" w:rsidRPr="0092025F"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1-100%</w:t>
            </w:r>
          </w:p>
        </w:tc>
      </w:tr>
      <w:tr w:rsidR="00CA1AED" w:rsidRPr="0092025F" w14:paraId="350A5C6E" w14:textId="77777777" w:rsidTr="005D288A">
        <w:tc>
          <w:tcPr>
            <w:cnfStyle w:val="001000000000" w:firstRow="0" w:lastRow="0" w:firstColumn="1" w:lastColumn="0" w:oddVBand="0" w:evenVBand="0" w:oddHBand="0" w:evenHBand="0" w:firstRowFirstColumn="0" w:firstRowLastColumn="0" w:lastRowFirstColumn="0" w:lastRowLastColumn="0"/>
            <w:tcW w:w="990" w:type="dxa"/>
            <w:shd w:val="clear" w:color="auto" w:fill="FFFF00"/>
          </w:tcPr>
          <w:p w14:paraId="634DC06C" w14:textId="43A0C695" w:rsidR="00CA1AED" w:rsidRPr="007D0EB4" w:rsidRDefault="00CA1AED" w:rsidP="00CA1AED">
            <w:pPr>
              <w:pStyle w:val="NormalWeb"/>
              <w:spacing w:line="276" w:lineRule="auto"/>
              <w:jc w:val="both"/>
              <w:rPr>
                <w:rFonts w:ascii="Aptos" w:eastAsia="DengXian" w:hAnsi="Aptos"/>
                <w:b w:val="0"/>
                <w:bCs w:val="0"/>
                <w:i/>
              </w:rPr>
            </w:pPr>
            <m:oMathPara>
              <m:oMathParaPr>
                <m:jc m:val="left"/>
              </m:oMathParaPr>
              <m:oMath>
                <m:r>
                  <m:rPr>
                    <m:sty m:val="bi"/>
                  </m:rPr>
                  <w:rPr>
                    <w:rFonts w:ascii="Cambria Math" w:eastAsia="DengXian" w:hAnsi="Cambria Math"/>
                  </w:rPr>
                  <m:t>ζ</m:t>
                </m:r>
              </m:oMath>
            </m:oMathPara>
          </w:p>
        </w:tc>
        <w:tc>
          <w:tcPr>
            <w:tcW w:w="5673" w:type="dxa"/>
            <w:shd w:val="clear" w:color="auto" w:fill="FFFF00"/>
          </w:tcPr>
          <w:p w14:paraId="38DBE40C" w14:textId="35A8C801" w:rsidR="00CA1AED" w:rsidRPr="00986B7B"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986B7B">
              <w:t>Scaling factor accounting for doxycycline inefficacy due to inconsistent and irregular usage</w:t>
            </w:r>
          </w:p>
        </w:tc>
        <w:tc>
          <w:tcPr>
            <w:tcW w:w="2363" w:type="dxa"/>
            <w:shd w:val="clear" w:color="auto" w:fill="FFFF00"/>
          </w:tcPr>
          <w:p w14:paraId="66C88104" w14:textId="27EEFC14" w:rsidR="00CA1AED" w:rsidRPr="00986B7B"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1-100%</w:t>
            </w:r>
          </w:p>
        </w:tc>
      </w:tr>
      <w:tr w:rsidR="00CA1AED" w:rsidRPr="0092025F" w14:paraId="785E1CB8" w14:textId="77777777" w:rsidTr="005D288A">
        <w:tc>
          <w:tcPr>
            <w:cnfStyle w:val="001000000000" w:firstRow="0" w:lastRow="0" w:firstColumn="1" w:lastColumn="0" w:oddVBand="0" w:evenVBand="0" w:oddHBand="0" w:evenHBand="0" w:firstRowFirstColumn="0" w:firstRowLastColumn="0" w:lastRowFirstColumn="0" w:lastRowLastColumn="0"/>
            <w:tcW w:w="990" w:type="dxa"/>
            <w:shd w:val="clear" w:color="auto" w:fill="FFFF00"/>
          </w:tcPr>
          <w:p w14:paraId="3B85769C" w14:textId="68B805D2" w:rsidR="00CA1AED" w:rsidRPr="007D0EB4" w:rsidRDefault="00CA1AED" w:rsidP="00CA1AED">
            <w:pPr>
              <w:pStyle w:val="NormalWeb"/>
              <w:spacing w:line="276" w:lineRule="auto"/>
              <w:jc w:val="both"/>
              <w:rPr>
                <w:b w:val="0"/>
                <w:bCs w:val="0"/>
                <w:i/>
              </w:rPr>
            </w:pPr>
            <m:oMathPara>
              <m:oMathParaPr>
                <m:jc m:val="left"/>
              </m:oMathParaPr>
              <m:oMath>
                <m:r>
                  <m:rPr>
                    <m:sty m:val="bi"/>
                  </m:rPr>
                  <w:rPr>
                    <w:rFonts w:ascii="Cambria Math" w:hAnsi="Cambria Math"/>
                  </w:rPr>
                  <m:t>δ</m:t>
                </m:r>
                <m:d>
                  <m:dPr>
                    <m:ctrlPr>
                      <w:rPr>
                        <w:rFonts w:ascii="Cambria Math" w:hAnsi="Cambria Math"/>
                        <w:b w:val="0"/>
                        <w:bCs w:val="0"/>
                        <w:i/>
                      </w:rPr>
                    </m:ctrlPr>
                  </m:dPr>
                  <m:e>
                    <m:r>
                      <m:rPr>
                        <m:sty m:val="bi"/>
                      </m:rPr>
                      <w:rPr>
                        <w:rFonts w:ascii="Cambria Math" w:hAnsi="Cambria Math"/>
                      </w:rPr>
                      <m:t>t</m:t>
                    </m:r>
                  </m:e>
                </m:d>
              </m:oMath>
            </m:oMathPara>
          </w:p>
        </w:tc>
        <w:tc>
          <w:tcPr>
            <w:tcW w:w="5673" w:type="dxa"/>
            <w:shd w:val="clear" w:color="auto" w:fill="FFFF00"/>
          </w:tcPr>
          <w:p w14:paraId="0A241212" w14:textId="5753F09C" w:rsidR="00CA1AED" w:rsidRPr="00986B7B"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Effective r</w:t>
            </w:r>
            <w:r w:rsidRPr="00986B7B">
              <w:t>ate of adherence for transitioning from a doxy-inconsistent regimen to an adherent doxy-PEP regimen</w:t>
            </w:r>
          </w:p>
        </w:tc>
        <w:tc>
          <w:tcPr>
            <w:tcW w:w="2363" w:type="dxa"/>
            <w:shd w:val="clear" w:color="auto" w:fill="FFFF00"/>
          </w:tcPr>
          <w:p w14:paraId="3F59F022" w14:textId="7E3E52C1" w:rsidR="00CA1AED" w:rsidRPr="00986B7B"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TD</w:t>
            </w:r>
          </w:p>
        </w:tc>
      </w:tr>
      <w:tr w:rsidR="00CA1AED" w:rsidRPr="0092025F" w14:paraId="37F8ABA1" w14:textId="77777777" w:rsidTr="005D288A">
        <w:tc>
          <w:tcPr>
            <w:cnfStyle w:val="001000000000" w:firstRow="0" w:lastRow="0" w:firstColumn="1" w:lastColumn="0" w:oddVBand="0" w:evenVBand="0" w:oddHBand="0" w:evenHBand="0" w:firstRowFirstColumn="0" w:firstRowLastColumn="0" w:lastRowFirstColumn="0" w:lastRowLastColumn="0"/>
            <w:tcW w:w="990" w:type="dxa"/>
            <w:shd w:val="clear" w:color="auto" w:fill="FFFF00"/>
          </w:tcPr>
          <w:p w14:paraId="6506FB14" w14:textId="0E2686F7" w:rsidR="00CA1AED" w:rsidRPr="00330B18" w:rsidRDefault="00CA1AED" w:rsidP="00CA1AED">
            <w:pPr>
              <w:pStyle w:val="NormalWeb"/>
              <w:spacing w:line="276" w:lineRule="auto"/>
              <w:jc w:val="both"/>
              <w:rPr>
                <w:rFonts w:ascii="Aptos" w:eastAsia="DengXian" w:hAnsi="Aptos"/>
              </w:rPr>
            </w:pPr>
            <m:oMathPara>
              <m:oMathParaPr>
                <m:jc m:val="left"/>
              </m:oMathParaPr>
              <m:oMath>
                <m:r>
                  <m:rPr>
                    <m:sty m:val="bi"/>
                  </m:rPr>
                  <w:rPr>
                    <w:rFonts w:ascii="Cambria Math" w:hAnsi="Cambria Math"/>
                  </w:rPr>
                  <m:t>δ</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0</m:t>
                        </m:r>
                      </m:sub>
                    </m:sSub>
                  </m:e>
                </m:d>
              </m:oMath>
            </m:oMathPara>
          </w:p>
        </w:tc>
        <w:tc>
          <w:tcPr>
            <w:tcW w:w="5673" w:type="dxa"/>
            <w:shd w:val="clear" w:color="auto" w:fill="FFFF00"/>
          </w:tcPr>
          <w:p w14:paraId="57DB1AE9" w14:textId="00939544" w:rsidR="00CA1AED"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 xml:space="preserve">Initial </w:t>
            </w:r>
            <w:r>
              <w:t>r</w:t>
            </w:r>
            <w:r w:rsidRPr="00986B7B">
              <w:t>ate of adherence for transitioning from a doxy-inconsistent regimen to an adherent doxy-PEP regimen</w:t>
            </w:r>
          </w:p>
        </w:tc>
        <w:tc>
          <w:tcPr>
            <w:tcW w:w="2363" w:type="dxa"/>
            <w:shd w:val="clear" w:color="auto" w:fill="FFFF00"/>
          </w:tcPr>
          <w:p w14:paraId="0BA44506" w14:textId="493D2642" w:rsidR="00CA1AED"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p>
        </w:tc>
      </w:tr>
      <w:tr w:rsidR="00CA1AED" w:rsidRPr="0092025F" w14:paraId="6A7BB882" w14:textId="77777777" w:rsidTr="005D288A">
        <w:tc>
          <w:tcPr>
            <w:cnfStyle w:val="001000000000" w:firstRow="0" w:lastRow="0" w:firstColumn="1" w:lastColumn="0" w:oddVBand="0" w:evenVBand="0" w:oddHBand="0" w:evenHBand="0" w:firstRowFirstColumn="0" w:firstRowLastColumn="0" w:lastRowFirstColumn="0" w:lastRowLastColumn="0"/>
            <w:tcW w:w="990" w:type="dxa"/>
            <w:shd w:val="clear" w:color="auto" w:fill="FFFF00"/>
          </w:tcPr>
          <w:p w14:paraId="21DA13FD" w14:textId="077A1342" w:rsidR="00CA1AED" w:rsidRPr="007D0EB4" w:rsidRDefault="00CA1AED" w:rsidP="00CA1AED">
            <w:pPr>
              <w:pStyle w:val="NormalWeb"/>
              <w:spacing w:line="276" w:lineRule="auto"/>
              <w:jc w:val="both"/>
              <w:rPr>
                <w:rFonts w:ascii="Aptos" w:eastAsia="DengXian" w:hAnsi="Aptos"/>
                <w:b w:val="0"/>
                <w:bCs w:val="0"/>
                <w:i/>
              </w:rPr>
            </w:pPr>
            <m:oMathPara>
              <m:oMathParaPr>
                <m:jc m:val="left"/>
              </m:oMathParaPr>
              <m:oMath>
                <m:sSub>
                  <m:sSubPr>
                    <m:ctrlPr>
                      <w:rPr>
                        <w:rFonts w:ascii="Cambria Math" w:eastAsia="DengXian" w:hAnsi="Cambria Math"/>
                        <w:b w:val="0"/>
                        <w:bCs w:val="0"/>
                        <w:i/>
                      </w:rPr>
                    </m:ctrlPr>
                  </m:sSubPr>
                  <m:e>
                    <m:r>
                      <m:rPr>
                        <m:sty m:val="bi"/>
                      </m:rPr>
                      <w:rPr>
                        <w:rFonts w:ascii="Cambria Math" w:eastAsia="DengXian" w:hAnsi="Cambria Math"/>
                      </w:rPr>
                      <m:t>k</m:t>
                    </m:r>
                  </m:e>
                  <m:sub>
                    <m:r>
                      <m:rPr>
                        <m:sty m:val="bi"/>
                      </m:rPr>
                      <w:rPr>
                        <w:rFonts w:ascii="Cambria Math" w:eastAsia="DengXian" w:hAnsi="Cambria Math"/>
                      </w:rPr>
                      <m:t>δ</m:t>
                    </m:r>
                  </m:sub>
                </m:sSub>
              </m:oMath>
            </m:oMathPara>
          </w:p>
        </w:tc>
        <w:tc>
          <w:tcPr>
            <w:tcW w:w="5673" w:type="dxa"/>
            <w:shd w:val="clear" w:color="auto" w:fill="FFFF00"/>
          </w:tcPr>
          <w:p w14:paraId="463D8523" w14:textId="77C84361" w:rsidR="00CA1AED" w:rsidRPr="00986B7B"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986B7B">
              <w:t>Transition speed from a doxy-inconsistent regimen to an adherent doxy-PEP regimen</w:t>
            </w:r>
          </w:p>
        </w:tc>
        <w:tc>
          <w:tcPr>
            <w:tcW w:w="2363" w:type="dxa"/>
            <w:shd w:val="clear" w:color="auto" w:fill="FFFF00"/>
          </w:tcPr>
          <w:p w14:paraId="41295A58" w14:textId="6C7DC86A" w:rsidR="00CA1AED" w:rsidRPr="00986B7B"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p>
        </w:tc>
      </w:tr>
      <w:bookmarkStart w:id="4" w:name="_Hlk192520696"/>
      <w:tr w:rsidR="00CA1AED" w:rsidRPr="00F61FD2" w14:paraId="455D9272" w14:textId="77777777" w:rsidTr="005D288A">
        <w:tc>
          <w:tcPr>
            <w:cnfStyle w:val="001000000000" w:firstRow="0" w:lastRow="0" w:firstColumn="1" w:lastColumn="0" w:oddVBand="0" w:evenVBand="0" w:oddHBand="0" w:evenHBand="0" w:firstRowFirstColumn="0" w:firstRowLastColumn="0" w:lastRowFirstColumn="0" w:lastRowLastColumn="0"/>
            <w:tcW w:w="990" w:type="dxa"/>
            <w:shd w:val="clear" w:color="auto" w:fill="FFFF00"/>
          </w:tcPr>
          <w:p w14:paraId="457625A9" w14:textId="376A4936" w:rsidR="00CA1AED" w:rsidRPr="007D0EB4" w:rsidRDefault="00CA1AED" w:rsidP="00CA1AED">
            <w:pPr>
              <w:pStyle w:val="NormalWeb"/>
              <w:spacing w:line="276" w:lineRule="auto"/>
              <w:jc w:val="both"/>
              <w:rPr>
                <w:rFonts w:ascii="Aptos" w:eastAsia="DengXian" w:hAnsi="Aptos"/>
                <w:b w:val="0"/>
                <w:bCs w:val="0"/>
                <w:i/>
              </w:rPr>
            </w:pPr>
            <m:oMathPara>
              <m:oMathParaPr>
                <m:jc m:val="left"/>
              </m:oMathParaPr>
              <m:oMath>
                <m:sSub>
                  <m:sSubPr>
                    <m:ctrlPr>
                      <w:rPr>
                        <w:rFonts w:ascii="Cambria Math" w:hAnsi="Cambria Math"/>
                        <w:b w:val="0"/>
                        <w:bCs w:val="0"/>
                        <w:i/>
                      </w:rPr>
                    </m:ctrlPr>
                  </m:sSubPr>
                  <m:e>
                    <m:r>
                      <m:rPr>
                        <m:sty m:val="bi"/>
                      </m:rPr>
                      <w:rPr>
                        <w:rFonts w:ascii="Cambria Math" w:hAnsi="Cambria Math"/>
                      </w:rPr>
                      <m:t>ξ</m:t>
                    </m:r>
                  </m:e>
                  <m:sub>
                    <m:r>
                      <m:rPr>
                        <m:sty m:val="bi"/>
                      </m:rPr>
                      <w:rPr>
                        <w:rFonts w:ascii="Cambria Math" w:hAnsi="Cambria Math"/>
                      </w:rPr>
                      <m:t>m</m:t>
                    </m:r>
                  </m:sub>
                </m:sSub>
              </m:oMath>
            </m:oMathPara>
          </w:p>
        </w:tc>
        <w:tc>
          <w:tcPr>
            <w:tcW w:w="5673" w:type="dxa"/>
            <w:shd w:val="clear" w:color="auto" w:fill="FFFF00"/>
          </w:tcPr>
          <w:p w14:paraId="608FACFE" w14:textId="395BD696" w:rsidR="00CA1AED" w:rsidRPr="00986B7B"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E05C7D">
              <w:t>Effective doxycycline intolerance rate</w:t>
            </w:r>
          </w:p>
        </w:tc>
        <w:tc>
          <w:tcPr>
            <w:tcW w:w="2363" w:type="dxa"/>
            <w:shd w:val="clear" w:color="auto" w:fill="FFFF00"/>
          </w:tcPr>
          <w:p w14:paraId="02EC7BFF" w14:textId="526392B3" w:rsidR="00CA1AED" w:rsidRPr="00986B7B"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p>
        </w:tc>
      </w:tr>
      <w:bookmarkEnd w:id="4"/>
      <w:tr w:rsidR="00CA1AED" w:rsidRPr="0092025F" w14:paraId="68896BCA" w14:textId="77777777" w:rsidTr="005D288A">
        <w:tc>
          <w:tcPr>
            <w:cnfStyle w:val="001000000000" w:firstRow="0" w:lastRow="0" w:firstColumn="1" w:lastColumn="0" w:oddVBand="0" w:evenVBand="0" w:oddHBand="0" w:evenHBand="0" w:firstRowFirstColumn="0" w:firstRowLastColumn="0" w:lastRowFirstColumn="0" w:lastRowLastColumn="0"/>
            <w:tcW w:w="990" w:type="dxa"/>
            <w:shd w:val="clear" w:color="auto" w:fill="FFFF00"/>
          </w:tcPr>
          <w:p w14:paraId="786BBF42" w14:textId="3E13073C" w:rsidR="00CA1AED" w:rsidRPr="007D0EB4" w:rsidRDefault="00CA1AED" w:rsidP="00CA1AED">
            <w:pPr>
              <w:pStyle w:val="NormalWeb"/>
              <w:spacing w:line="276" w:lineRule="auto"/>
              <w:jc w:val="both"/>
              <w:rPr>
                <w:rFonts w:ascii="Aptos" w:eastAsia="DengXian" w:hAnsi="Aptos"/>
                <w:b w:val="0"/>
                <w:bCs w:val="0"/>
                <w:i/>
              </w:rPr>
            </w:pPr>
            <m:oMathPara>
              <m:oMathParaPr>
                <m:jc m:val="left"/>
              </m:oMathParaPr>
              <m:oMath>
                <m:sSub>
                  <m:sSubPr>
                    <m:ctrlPr>
                      <w:rPr>
                        <w:rFonts w:ascii="Cambria Math" w:hAnsi="Cambria Math"/>
                        <w:b w:val="0"/>
                        <w:bCs w:val="0"/>
                        <w:i/>
                      </w:rPr>
                    </m:ctrlPr>
                  </m:sSubPr>
                  <m:e>
                    <m:r>
                      <m:rPr>
                        <m:sty m:val="bi"/>
                      </m:rPr>
                      <w:rPr>
                        <w:rFonts w:ascii="Cambria Math" w:hAnsi="Cambria Math"/>
                      </w:rPr>
                      <m:t>ξ</m:t>
                    </m:r>
                  </m:e>
                  <m:sub>
                    <m:r>
                      <m:rPr>
                        <m:sty m:val="bi"/>
                      </m:rPr>
                      <w:rPr>
                        <w:rFonts w:ascii="Cambria Math" w:hAnsi="Cambria Math"/>
                      </w:rPr>
                      <m:t>n</m:t>
                    </m:r>
                  </m:sub>
                </m:sSub>
                <m:d>
                  <m:dPr>
                    <m:ctrlPr>
                      <w:rPr>
                        <w:rFonts w:ascii="Cambria Math" w:hAnsi="Cambria Math"/>
                        <w:b w:val="0"/>
                        <w:bCs w:val="0"/>
                        <w:i/>
                      </w:rPr>
                    </m:ctrlPr>
                  </m:dPr>
                  <m:e>
                    <m:r>
                      <m:rPr>
                        <m:sty m:val="bi"/>
                      </m:rPr>
                      <w:rPr>
                        <w:rFonts w:ascii="Cambria Math" w:hAnsi="Cambria Math"/>
                      </w:rPr>
                      <m:t>t</m:t>
                    </m:r>
                  </m:e>
                </m:d>
              </m:oMath>
            </m:oMathPara>
          </w:p>
        </w:tc>
        <w:tc>
          <w:tcPr>
            <w:tcW w:w="5673" w:type="dxa"/>
            <w:shd w:val="clear" w:color="auto" w:fill="FFFF00"/>
          </w:tcPr>
          <w:p w14:paraId="58954CCC" w14:textId="33F12881" w:rsidR="00CA1AED" w:rsidRPr="00986B7B"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Effective discontinuation rate of doxy-PEP</w:t>
            </w:r>
          </w:p>
        </w:tc>
        <w:tc>
          <w:tcPr>
            <w:tcW w:w="2363" w:type="dxa"/>
            <w:shd w:val="clear" w:color="auto" w:fill="FFFF00"/>
          </w:tcPr>
          <w:p w14:paraId="72B017AE" w14:textId="5603C66C" w:rsidR="00CA1AED" w:rsidRPr="00986B7B"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TD</w:t>
            </w:r>
          </w:p>
        </w:tc>
      </w:tr>
      <w:tr w:rsidR="00CA1AED" w:rsidRPr="0092025F" w14:paraId="7338491E" w14:textId="77777777" w:rsidTr="005D288A">
        <w:tc>
          <w:tcPr>
            <w:cnfStyle w:val="001000000000" w:firstRow="0" w:lastRow="0" w:firstColumn="1" w:lastColumn="0" w:oddVBand="0" w:evenVBand="0" w:oddHBand="0" w:evenHBand="0" w:firstRowFirstColumn="0" w:firstRowLastColumn="0" w:lastRowFirstColumn="0" w:lastRowLastColumn="0"/>
            <w:tcW w:w="990" w:type="dxa"/>
            <w:shd w:val="clear" w:color="auto" w:fill="FFFF00"/>
          </w:tcPr>
          <w:p w14:paraId="6523A007" w14:textId="452C36DF" w:rsidR="00CA1AED" w:rsidRPr="007D0EB4" w:rsidRDefault="00CA1AED" w:rsidP="00CA1AED">
            <w:pPr>
              <w:pStyle w:val="NormalWeb"/>
              <w:spacing w:line="276" w:lineRule="auto"/>
              <w:jc w:val="both"/>
              <w:rPr>
                <w:b w:val="0"/>
                <w:bCs w:val="0"/>
                <w:i/>
              </w:rPr>
            </w:pPr>
            <m:oMathPara>
              <m:oMathParaPr>
                <m:jc m:val="left"/>
              </m:oMathParaPr>
              <m:oMath>
                <m:sSub>
                  <m:sSubPr>
                    <m:ctrlPr>
                      <w:rPr>
                        <w:rFonts w:ascii="Cambria Math" w:hAnsi="Cambria Math"/>
                        <w:b w:val="0"/>
                        <w:bCs w:val="0"/>
                        <w:i/>
                      </w:rPr>
                    </m:ctrlPr>
                  </m:sSubPr>
                  <m:e>
                    <m:r>
                      <m:rPr>
                        <m:sty m:val="bi"/>
                      </m:rPr>
                      <w:rPr>
                        <w:rFonts w:ascii="Cambria Math" w:hAnsi="Cambria Math"/>
                      </w:rPr>
                      <m:t>ξ</m:t>
                    </m:r>
                  </m:e>
                  <m:sub>
                    <m:r>
                      <m:rPr>
                        <m:sty m:val="bi"/>
                      </m:rPr>
                      <w:rPr>
                        <w:rFonts w:ascii="Cambria Math" w:hAnsi="Cambria Math"/>
                      </w:rPr>
                      <m:t>n</m:t>
                    </m:r>
                  </m:sub>
                </m:sSub>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t</m:t>
                        </m:r>
                        <m:ctrlPr>
                          <w:rPr>
                            <w:rFonts w:ascii="Cambria Math" w:hAnsi="Cambria Math"/>
                            <w:i/>
                          </w:rPr>
                        </m:ctrlPr>
                      </m:e>
                      <m:sub>
                        <m:r>
                          <m:rPr>
                            <m:sty m:val="bi"/>
                          </m:rPr>
                          <w:rPr>
                            <w:rFonts w:ascii="Cambria Math" w:hAnsi="Cambria Math"/>
                          </w:rPr>
                          <m:t>0</m:t>
                        </m:r>
                      </m:sub>
                    </m:sSub>
                  </m:e>
                </m:d>
              </m:oMath>
            </m:oMathPara>
          </w:p>
        </w:tc>
        <w:tc>
          <w:tcPr>
            <w:tcW w:w="5673" w:type="dxa"/>
            <w:shd w:val="clear" w:color="auto" w:fill="FFFF00"/>
          </w:tcPr>
          <w:p w14:paraId="22BF2A80" w14:textId="2FFB272D" w:rsidR="00CA1AED" w:rsidRPr="00986B7B"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 xml:space="preserve">Initial </w:t>
            </w:r>
            <w:r>
              <w:t>discontinuation rate of doxy-PEP</w:t>
            </w:r>
          </w:p>
        </w:tc>
        <w:tc>
          <w:tcPr>
            <w:tcW w:w="2363" w:type="dxa"/>
            <w:shd w:val="clear" w:color="auto" w:fill="FFFF00"/>
          </w:tcPr>
          <w:p w14:paraId="1ACE30F1" w14:textId="3EDC8C23" w:rsidR="00CA1AED" w:rsidRPr="00986B7B"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p>
        </w:tc>
      </w:tr>
      <w:tr w:rsidR="00CA1AED" w:rsidRPr="0092025F" w14:paraId="58447530" w14:textId="77777777" w:rsidTr="005D288A">
        <w:tc>
          <w:tcPr>
            <w:cnfStyle w:val="001000000000" w:firstRow="0" w:lastRow="0" w:firstColumn="1" w:lastColumn="0" w:oddVBand="0" w:evenVBand="0" w:oddHBand="0" w:evenHBand="0" w:firstRowFirstColumn="0" w:firstRowLastColumn="0" w:lastRowFirstColumn="0" w:lastRowLastColumn="0"/>
            <w:tcW w:w="990" w:type="dxa"/>
            <w:shd w:val="clear" w:color="auto" w:fill="FFFF00"/>
          </w:tcPr>
          <w:p w14:paraId="629B768F" w14:textId="42D032AA" w:rsidR="00CA1AED" w:rsidRPr="007D0EB4" w:rsidRDefault="00CA1AED" w:rsidP="00CA1AED">
            <w:pPr>
              <w:pStyle w:val="NormalWeb"/>
              <w:spacing w:line="276" w:lineRule="auto"/>
              <w:jc w:val="both"/>
              <w:rPr>
                <w:rFonts w:ascii="Aptos" w:eastAsia="DengXian" w:hAnsi="Aptos"/>
                <w:b w:val="0"/>
                <w:bCs w:val="0"/>
                <w:i/>
              </w:rPr>
            </w:pPr>
            <m:oMathPara>
              <m:oMathParaPr>
                <m:jc m:val="left"/>
              </m:oMathParaPr>
              <m:oMath>
                <m:sSub>
                  <m:sSubPr>
                    <m:ctrlPr>
                      <w:rPr>
                        <w:rFonts w:ascii="Cambria Math" w:eastAsia="DengXian" w:hAnsi="Cambria Math"/>
                        <w:b w:val="0"/>
                        <w:bCs w:val="0"/>
                        <w:i/>
                      </w:rPr>
                    </m:ctrlPr>
                  </m:sSubPr>
                  <m:e>
                    <m:r>
                      <m:rPr>
                        <m:sty m:val="bi"/>
                      </m:rPr>
                      <w:rPr>
                        <w:rFonts w:ascii="Cambria Math" w:eastAsia="DengXian" w:hAnsi="Cambria Math"/>
                      </w:rPr>
                      <m:t>k</m:t>
                    </m:r>
                  </m:e>
                  <m:sub>
                    <m:r>
                      <m:rPr>
                        <m:sty m:val="bi"/>
                      </m:rPr>
                      <w:rPr>
                        <w:rFonts w:ascii="Cambria Math" w:eastAsia="DengXian" w:hAnsi="Cambria Math"/>
                      </w:rPr>
                      <m:t>n</m:t>
                    </m:r>
                  </m:sub>
                </m:sSub>
              </m:oMath>
            </m:oMathPara>
          </w:p>
        </w:tc>
        <w:tc>
          <w:tcPr>
            <w:tcW w:w="5673" w:type="dxa"/>
            <w:shd w:val="clear" w:color="auto" w:fill="FFFF00"/>
          </w:tcPr>
          <w:p w14:paraId="012035C1" w14:textId="213BE2D3" w:rsidR="00CA1AED" w:rsidRPr="00986B7B"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rsidRPr="007B42C1">
              <w:t>Transition speed for discontinuation of doxy-PEP</w:t>
            </w:r>
          </w:p>
        </w:tc>
        <w:tc>
          <w:tcPr>
            <w:tcW w:w="2363" w:type="dxa"/>
            <w:shd w:val="clear" w:color="auto" w:fill="FFFF00"/>
          </w:tcPr>
          <w:p w14:paraId="4BBACC82" w14:textId="7FD29360" w:rsidR="00CA1AED" w:rsidRPr="00986B7B"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p>
        </w:tc>
      </w:tr>
      <w:tr w:rsidR="00CA1AED" w:rsidRPr="0092025F" w14:paraId="27B6B134" w14:textId="77777777" w:rsidTr="005D288A">
        <w:tc>
          <w:tcPr>
            <w:cnfStyle w:val="001000000000" w:firstRow="0" w:lastRow="0" w:firstColumn="1" w:lastColumn="0" w:oddVBand="0" w:evenVBand="0" w:oddHBand="0" w:evenHBand="0" w:firstRowFirstColumn="0" w:firstRowLastColumn="0" w:lastRowFirstColumn="0" w:lastRowLastColumn="0"/>
            <w:tcW w:w="990" w:type="dxa"/>
            <w:tcBorders>
              <w:bottom w:val="single" w:sz="4" w:space="0" w:color="auto"/>
            </w:tcBorders>
            <w:shd w:val="clear" w:color="auto" w:fill="FFFF00"/>
          </w:tcPr>
          <w:p w14:paraId="617CA8E5" w14:textId="59F591CB" w:rsidR="00CA1AED" w:rsidRPr="007D0EB4" w:rsidRDefault="00CA1AED" w:rsidP="00CA1AED">
            <w:pPr>
              <w:pStyle w:val="NormalWeb"/>
              <w:spacing w:line="276" w:lineRule="auto"/>
              <w:jc w:val="both"/>
              <w:rPr>
                <w:rFonts w:ascii="Aptos" w:eastAsia="DengXian" w:hAnsi="Aptos"/>
                <w:b w:val="0"/>
                <w:bCs w:val="0"/>
                <w:i/>
              </w:rPr>
            </w:pPr>
            <m:oMathPara>
              <m:oMathParaPr>
                <m:jc m:val="left"/>
              </m:oMathParaPr>
              <m:oMath>
                <m:r>
                  <m:rPr>
                    <m:sty m:val="bi"/>
                  </m:rPr>
                  <w:rPr>
                    <w:rFonts w:ascii="Cambria Math" w:eastAsia="DengXian" w:hAnsi="Cambria Math"/>
                  </w:rPr>
                  <m:t>ι</m:t>
                </m:r>
              </m:oMath>
            </m:oMathPara>
          </w:p>
        </w:tc>
        <w:tc>
          <w:tcPr>
            <w:tcW w:w="5673" w:type="dxa"/>
            <w:tcBorders>
              <w:bottom w:val="single" w:sz="4" w:space="0" w:color="auto"/>
            </w:tcBorders>
            <w:shd w:val="clear" w:color="auto" w:fill="FFFF00"/>
          </w:tcPr>
          <w:p w14:paraId="0668350F" w14:textId="0F5E7DCD" w:rsidR="00CA1AED" w:rsidRPr="007B42C1"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Effective rate</w:t>
            </w:r>
            <w:r w:rsidRPr="007B42C1">
              <w:t xml:space="preserve"> of doxycycline acquisition from non-STI medical clinics</w:t>
            </w:r>
          </w:p>
        </w:tc>
        <w:tc>
          <w:tcPr>
            <w:tcW w:w="2363" w:type="dxa"/>
            <w:tcBorders>
              <w:bottom w:val="single" w:sz="4" w:space="0" w:color="auto"/>
            </w:tcBorders>
            <w:shd w:val="clear" w:color="auto" w:fill="FFFF00"/>
          </w:tcPr>
          <w:p w14:paraId="66C82816" w14:textId="1A94C349" w:rsidR="00CA1AED" w:rsidRPr="00986B7B"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Prior</w:t>
            </w:r>
          </w:p>
        </w:tc>
      </w:tr>
      <w:tr w:rsidR="00CA1AED" w:rsidRPr="0092025F" w14:paraId="699ACB66" w14:textId="77777777" w:rsidTr="005D288A">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tcBorders>
            <w:shd w:val="clear" w:color="auto" w:fill="FFFF00"/>
          </w:tcPr>
          <w:p w14:paraId="4BAD71C1" w14:textId="0E5A5CF2" w:rsidR="00CA1AED" w:rsidRPr="007D0EB4" w:rsidRDefault="00CA1AED" w:rsidP="00CA1AED">
            <w:pPr>
              <w:pStyle w:val="NormalWeb"/>
              <w:spacing w:line="276" w:lineRule="auto"/>
              <w:jc w:val="both"/>
              <w:rPr>
                <w:rFonts w:ascii="Aptos" w:eastAsia="DengXian" w:hAnsi="Aptos"/>
                <w:b w:val="0"/>
                <w:bCs w:val="0"/>
                <w:i/>
              </w:rPr>
            </w:pPr>
            <m:oMathPara>
              <m:oMathParaPr>
                <m:jc m:val="left"/>
              </m:oMathParaPr>
              <m:oMath>
                <m:sSup>
                  <m:sSupPr>
                    <m:ctrlPr>
                      <w:rPr>
                        <w:rFonts w:ascii="Cambria Math" w:eastAsia="DengXian" w:hAnsi="Cambria Math"/>
                        <w:b w:val="0"/>
                        <w:bCs w:val="0"/>
                        <w:i/>
                      </w:rPr>
                    </m:ctrlPr>
                  </m:sSupPr>
                  <m:e>
                    <m:r>
                      <m:rPr>
                        <m:sty m:val="bi"/>
                      </m:rPr>
                      <w:rPr>
                        <w:rFonts w:ascii="Cambria Math" w:eastAsia="DengXian" w:hAnsi="Cambria Math"/>
                      </w:rPr>
                      <m:t>p</m:t>
                    </m:r>
                  </m:e>
                  <m:sup>
                    <m:r>
                      <m:rPr>
                        <m:sty m:val="bi"/>
                      </m:rPr>
                      <w:rPr>
                        <w:rFonts w:ascii="Cambria Math" w:eastAsia="DengXian" w:hAnsi="Cambria Math"/>
                      </w:rPr>
                      <m:t>DbE</m:t>
                    </m:r>
                  </m:sup>
                </m:sSup>
              </m:oMath>
            </m:oMathPara>
          </w:p>
        </w:tc>
        <w:tc>
          <w:tcPr>
            <w:tcW w:w="5673" w:type="dxa"/>
            <w:tcBorders>
              <w:top w:val="single" w:sz="4" w:space="0" w:color="auto"/>
            </w:tcBorders>
            <w:shd w:val="clear" w:color="auto" w:fill="FFFF00"/>
          </w:tcPr>
          <w:p w14:paraId="57F1E83B" w14:textId="62CC1E33" w:rsidR="00CA1AED" w:rsidRPr="007B42C1"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Probability</w:t>
            </w:r>
            <w:r w:rsidRPr="00610BC1">
              <w:t xml:space="preserve"> of uptake of doxycycline before entry into the sexually-active population</w:t>
            </w:r>
          </w:p>
        </w:tc>
        <w:tc>
          <w:tcPr>
            <w:tcW w:w="2363" w:type="dxa"/>
            <w:tcBorders>
              <w:top w:val="single" w:sz="4" w:space="0" w:color="auto"/>
            </w:tcBorders>
            <w:shd w:val="clear" w:color="auto" w:fill="FFFF00"/>
          </w:tcPr>
          <w:p w14:paraId="76670795" w14:textId="270B4963" w:rsidR="00CA1AED" w:rsidRPr="007B42C1"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1-100%</w:t>
            </w:r>
          </w:p>
        </w:tc>
      </w:tr>
      <w:tr w:rsidR="00CA1AED" w:rsidRPr="0092025F" w14:paraId="1C39A42C" w14:textId="77777777" w:rsidTr="005D288A">
        <w:tc>
          <w:tcPr>
            <w:cnfStyle w:val="001000000000" w:firstRow="0" w:lastRow="0" w:firstColumn="1" w:lastColumn="0" w:oddVBand="0" w:evenVBand="0" w:oddHBand="0" w:evenHBand="0" w:firstRowFirstColumn="0" w:firstRowLastColumn="0" w:lastRowFirstColumn="0" w:lastRowLastColumn="0"/>
            <w:tcW w:w="990" w:type="dxa"/>
            <w:shd w:val="clear" w:color="auto" w:fill="FFFF00"/>
          </w:tcPr>
          <w:p w14:paraId="132B1144" w14:textId="7EBFD083" w:rsidR="00CA1AED" w:rsidRPr="007D0EB4" w:rsidRDefault="00CA1AED" w:rsidP="00CA1AED">
            <w:pPr>
              <w:pStyle w:val="NormalWeb"/>
              <w:spacing w:line="276" w:lineRule="auto"/>
              <w:jc w:val="both"/>
              <w:rPr>
                <w:rFonts w:ascii="Aptos" w:eastAsia="DengXian" w:hAnsi="Aptos"/>
                <w:b w:val="0"/>
                <w:bCs w:val="0"/>
                <w:i/>
              </w:rPr>
            </w:pPr>
            <m:oMathPara>
              <m:oMathParaPr>
                <m:jc m:val="left"/>
              </m:oMathParaPr>
              <m:oMath>
                <m:sSup>
                  <m:sSupPr>
                    <m:ctrlPr>
                      <w:rPr>
                        <w:rFonts w:ascii="Cambria Math" w:eastAsia="DengXian" w:hAnsi="Cambria Math"/>
                        <w:b w:val="0"/>
                        <w:bCs w:val="0"/>
                        <w:i/>
                      </w:rPr>
                    </m:ctrlPr>
                  </m:sSupPr>
                  <m:e>
                    <m:r>
                      <m:rPr>
                        <m:sty m:val="bi"/>
                      </m:rPr>
                      <w:rPr>
                        <w:rFonts w:ascii="Cambria Math" w:eastAsia="DengXian" w:hAnsi="Cambria Math"/>
                      </w:rPr>
                      <m:t>p</m:t>
                    </m:r>
                  </m:e>
                  <m:sup>
                    <m:r>
                      <m:rPr>
                        <m:sty m:val="bi"/>
                      </m:rPr>
                      <w:rPr>
                        <w:rFonts w:ascii="Cambria Math" w:eastAsia="DengXian" w:hAnsi="Cambria Math"/>
                      </w:rPr>
                      <m:t>DoD</m:t>
                    </m:r>
                  </m:sup>
                </m:sSup>
              </m:oMath>
            </m:oMathPara>
          </w:p>
        </w:tc>
        <w:tc>
          <w:tcPr>
            <w:tcW w:w="5673" w:type="dxa"/>
            <w:shd w:val="clear" w:color="auto" w:fill="FFFF00"/>
          </w:tcPr>
          <w:p w14:paraId="76420783" w14:textId="1E1ED59E" w:rsidR="00CA1AED" w:rsidRPr="00610BC1"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Probability</w:t>
            </w:r>
            <w:r w:rsidRPr="00610BC1">
              <w:t xml:space="preserve"> of uptake of doxycycline on diagnosis</w:t>
            </w:r>
          </w:p>
        </w:tc>
        <w:tc>
          <w:tcPr>
            <w:tcW w:w="2363" w:type="dxa"/>
            <w:shd w:val="clear" w:color="auto" w:fill="FFFF00"/>
          </w:tcPr>
          <w:p w14:paraId="5E271410" w14:textId="34744505" w:rsidR="00CA1AED" w:rsidRPr="0092025F"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1-100%</w:t>
            </w:r>
          </w:p>
        </w:tc>
      </w:tr>
      <w:tr w:rsidR="00CA1AED" w:rsidRPr="0092025F" w14:paraId="50B486DB" w14:textId="77777777" w:rsidTr="005D288A">
        <w:tc>
          <w:tcPr>
            <w:cnfStyle w:val="001000000000" w:firstRow="0" w:lastRow="0" w:firstColumn="1" w:lastColumn="0" w:oddVBand="0" w:evenVBand="0" w:oddHBand="0" w:evenHBand="0" w:firstRowFirstColumn="0" w:firstRowLastColumn="0" w:lastRowFirstColumn="0" w:lastRowLastColumn="0"/>
            <w:tcW w:w="990" w:type="dxa"/>
            <w:tcBorders>
              <w:bottom w:val="single" w:sz="4" w:space="0" w:color="auto"/>
            </w:tcBorders>
            <w:shd w:val="clear" w:color="auto" w:fill="FFFF00"/>
          </w:tcPr>
          <w:p w14:paraId="0765F4DF" w14:textId="725E7F5A" w:rsidR="00CA1AED" w:rsidRPr="007D0EB4" w:rsidRDefault="00CA1AED" w:rsidP="00CA1AED">
            <w:pPr>
              <w:pStyle w:val="NormalWeb"/>
              <w:spacing w:line="276" w:lineRule="auto"/>
              <w:jc w:val="both"/>
              <w:rPr>
                <w:rFonts w:ascii="Aptos" w:eastAsia="DengXian" w:hAnsi="Aptos"/>
                <w:b w:val="0"/>
                <w:bCs w:val="0"/>
                <w:i/>
              </w:rPr>
            </w:pPr>
            <m:oMathPara>
              <m:oMathParaPr>
                <m:jc m:val="left"/>
              </m:oMathParaPr>
              <m:oMath>
                <m:sSubSup>
                  <m:sSubSupPr>
                    <m:ctrlPr>
                      <w:rPr>
                        <w:rFonts w:ascii="Cambria Math" w:eastAsia="DengXian" w:hAnsi="Cambria Math"/>
                        <w:b w:val="0"/>
                        <w:bCs w:val="0"/>
                        <w:i/>
                      </w:rPr>
                    </m:ctrlPr>
                  </m:sSubSupPr>
                  <m:e>
                    <m:r>
                      <m:rPr>
                        <m:sty m:val="bi"/>
                      </m:rPr>
                      <w:rPr>
                        <w:rFonts w:ascii="Cambria Math" w:eastAsia="DengXian" w:hAnsi="Cambria Math"/>
                      </w:rPr>
                      <m:t>p</m:t>
                    </m:r>
                  </m:e>
                  <m:sub>
                    <m:r>
                      <m:rPr>
                        <m:sty m:val="bi"/>
                      </m:rPr>
                      <w:rPr>
                        <w:rFonts w:ascii="Cambria Math" w:eastAsia="DengXian" w:hAnsi="Cambria Math"/>
                      </w:rPr>
                      <m:t>j</m:t>
                    </m:r>
                  </m:sub>
                  <m:sup>
                    <m:r>
                      <m:rPr>
                        <m:sty m:val="bi"/>
                      </m:rPr>
                      <w:rPr>
                        <w:rFonts w:ascii="Cambria Math" w:eastAsia="DengXian" w:hAnsi="Cambria Math"/>
                      </w:rPr>
                      <m:t>DoS</m:t>
                    </m:r>
                  </m:sup>
                </m:sSubSup>
              </m:oMath>
            </m:oMathPara>
          </w:p>
        </w:tc>
        <w:tc>
          <w:tcPr>
            <w:tcW w:w="5673" w:type="dxa"/>
            <w:tcBorders>
              <w:bottom w:val="single" w:sz="4" w:space="0" w:color="auto"/>
            </w:tcBorders>
            <w:shd w:val="clear" w:color="auto" w:fill="FFFF00"/>
          </w:tcPr>
          <w:p w14:paraId="6D6FCBB4" w14:textId="300070C6" w:rsidR="00CA1AED" w:rsidRPr="00610BC1"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Probability</w:t>
            </w:r>
            <w:r w:rsidRPr="00610BC1">
              <w:t xml:space="preserve"> of uptake of doxycycline on screening with negative results in group </w:t>
            </w:r>
            <m:oMath>
              <m:r>
                <w:rPr>
                  <w:rFonts w:ascii="Cambria Math" w:hAnsi="Cambria Math"/>
                </w:rPr>
                <m:t>j</m:t>
              </m:r>
            </m:oMath>
          </w:p>
        </w:tc>
        <w:tc>
          <w:tcPr>
            <w:tcW w:w="2363" w:type="dxa"/>
            <w:tcBorders>
              <w:bottom w:val="single" w:sz="4" w:space="0" w:color="auto"/>
            </w:tcBorders>
            <w:shd w:val="clear" w:color="auto" w:fill="FFFF00"/>
          </w:tcPr>
          <w:p w14:paraId="74E6AE2A" w14:textId="594C1BCD" w:rsidR="00CA1AED" w:rsidRPr="0092025F" w:rsidRDefault="00CA1AED" w:rsidP="00CA1AED">
            <w:pPr>
              <w:pStyle w:val="NormalWeb"/>
              <w:spacing w:line="276" w:lineRule="auto"/>
              <w:jc w:val="both"/>
              <w:cnfStyle w:val="000000000000" w:firstRow="0" w:lastRow="0" w:firstColumn="0" w:lastColumn="0" w:oddVBand="0" w:evenVBand="0" w:oddHBand="0" w:evenHBand="0" w:firstRowFirstColumn="0" w:firstRowLastColumn="0" w:lastRowFirstColumn="0" w:lastRowLastColumn="0"/>
            </w:pPr>
            <w:r>
              <w:t>1-100%</w:t>
            </w:r>
          </w:p>
        </w:tc>
      </w:tr>
    </w:tbl>
    <w:p w14:paraId="6AB0A7FC" w14:textId="77777777" w:rsidR="00234C89" w:rsidRPr="00DA4A84" w:rsidRDefault="00234C89" w:rsidP="00155CFE">
      <w:pPr>
        <w:pStyle w:val="NormalWeb"/>
        <w:spacing w:line="276" w:lineRule="auto"/>
        <w:jc w:val="both"/>
        <w:rPr>
          <w:lang w:val="en-US"/>
        </w:rPr>
        <w:sectPr w:rsidR="00234C89" w:rsidRPr="00DA4A84" w:rsidSect="00155CFE">
          <w:pgSz w:w="11906" w:h="16838"/>
          <w:pgMar w:top="1440" w:right="1440" w:bottom="1440" w:left="1440" w:header="708" w:footer="708" w:gutter="0"/>
          <w:cols w:space="708"/>
          <w:docGrid w:linePitch="360"/>
        </w:sectPr>
      </w:pPr>
    </w:p>
    <w:p w14:paraId="02059702" w14:textId="463F788D" w:rsidR="00CA1AED" w:rsidRDefault="00AA76AD" w:rsidP="00CA1AED">
      <w:pPr>
        <w:jc w:val="center"/>
        <w:rPr>
          <w:b/>
          <w:bCs/>
        </w:rPr>
      </w:pPr>
      <w:r>
        <w:rPr>
          <w:b/>
          <w:bCs/>
          <w:noProof/>
        </w:rPr>
        <w:lastRenderedPageBreak/>
        <w:drawing>
          <wp:inline distT="0" distB="0" distL="0" distR="0" wp14:anchorId="0C008AD3" wp14:editId="13C3D3D2">
            <wp:extent cx="2391429" cy="3240000"/>
            <wp:effectExtent l="0" t="0" r="0" b="0"/>
            <wp:docPr id="16584320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32033" name="Picture 1658432033"/>
                    <pic:cNvPicPr/>
                  </pic:nvPicPr>
                  <pic:blipFill>
                    <a:blip r:embed="rId8"/>
                    <a:stretch>
                      <a:fillRect/>
                    </a:stretch>
                  </pic:blipFill>
                  <pic:spPr>
                    <a:xfrm>
                      <a:off x="0" y="0"/>
                      <a:ext cx="2391429" cy="3240000"/>
                    </a:xfrm>
                    <a:prstGeom prst="rect">
                      <a:avLst/>
                    </a:prstGeom>
                  </pic:spPr>
                </pic:pic>
              </a:graphicData>
            </a:graphic>
          </wp:inline>
        </w:drawing>
      </w:r>
    </w:p>
    <w:p w14:paraId="35F1C7F3" w14:textId="7BD7D514" w:rsidR="00CA1AED" w:rsidRPr="007F0702" w:rsidRDefault="00CA1AED" w:rsidP="00CA1A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imes New Roman" w:hAnsi="Times New Roman" w:cs="Times New Roman"/>
          <w:lang w:val="en-US"/>
        </w:rPr>
        <w:sectPr w:rsidR="00CA1AED" w:rsidRPr="007F0702" w:rsidSect="00CA1AED">
          <w:pgSz w:w="16840" w:h="11879" w:orient="landscape"/>
          <w:pgMar w:top="1440" w:right="1440" w:bottom="1440" w:left="1440" w:header="709" w:footer="709" w:gutter="0"/>
          <w:cols w:space="708"/>
          <w:docGrid w:linePitch="360"/>
        </w:sectPr>
      </w:pPr>
      <w:r w:rsidRPr="007F0702">
        <w:rPr>
          <w:rFonts w:ascii="Times New Roman" w:hAnsi="Times New Roman" w:cs="Times New Roman"/>
          <w:lang w:val="en-US"/>
        </w:rPr>
        <w:t>Figure 1</w:t>
      </w:r>
      <w:r w:rsidRPr="007F4B4D">
        <w:rPr>
          <w:rFonts w:ascii="Times New Roman" w:hAnsi="Times New Roman" w:cs="Times New Roman"/>
          <w:lang w:val="en-US"/>
        </w:rPr>
        <w:t>: Model architecture</w:t>
      </w:r>
      <w:r>
        <w:rPr>
          <w:rFonts w:ascii="Times New Roman" w:hAnsi="Times New Roman" w:cs="Times New Roman"/>
          <w:lang w:val="en-US"/>
        </w:rPr>
        <w:t xml:space="preserve"> for syphilis transmission</w:t>
      </w:r>
      <w:r w:rsidRPr="007F4B4D">
        <w:rPr>
          <w:rFonts w:ascii="Times New Roman" w:hAnsi="Times New Roman" w:cs="Times New Roman"/>
          <w:lang w:val="en-US"/>
        </w:rPr>
        <w:t xml:space="preserve">. </w:t>
      </w:r>
      <w:r w:rsidRPr="007F4B4D">
        <w:rPr>
          <w:rFonts w:ascii="Times New Roman" w:hAnsi="Times New Roman" w:cs="Times New Roman"/>
        </w:rPr>
        <w:t>Individuals enter the sexually active population as uninfected</w:t>
      </w:r>
      <w:r w:rsidRPr="007F4B4D">
        <w:rPr>
          <w:rFonts w:ascii="Times New Roman" w:hAnsi="Times New Roman" w:cs="Times New Roman"/>
          <w:color w:val="000000"/>
          <w:kern w:val="0"/>
          <w:lang w:val="en-GB"/>
        </w:rPr>
        <w:t xml:space="preserve"> (</w:t>
      </w:r>
      <m:oMath>
        <m:sSub>
          <m:sSubPr>
            <m:ctrlPr>
              <w:rPr>
                <w:rFonts w:ascii="Cambria Math" w:hAnsi="Cambria Math" w:cs="Times New Roman"/>
                <w:i/>
                <w:color w:val="000000"/>
                <w:kern w:val="0"/>
                <w:lang w:val="en-GB"/>
              </w:rPr>
            </m:ctrlPr>
          </m:sSubPr>
          <m:e>
            <m:r>
              <w:rPr>
                <w:rFonts w:ascii="Cambria Math" w:hAnsi="Cambria Math" w:cs="Times New Roman"/>
                <w:color w:val="000000"/>
                <w:kern w:val="0"/>
                <w:lang w:val="en-GB"/>
              </w:rPr>
              <m:t>U</m:t>
            </m:r>
          </m:e>
          <m:sub>
            <m:r>
              <w:rPr>
                <w:rFonts w:ascii="Cambria Math" w:hAnsi="Cambria Math" w:cs="Times New Roman"/>
                <w:color w:val="000000"/>
                <w:kern w:val="0"/>
                <w:lang w:val="en-GB"/>
              </w:rPr>
              <m:t>j</m:t>
            </m:r>
          </m:sub>
        </m:sSub>
      </m:oMath>
      <w:r w:rsidRPr="007F4B4D">
        <w:rPr>
          <w:rFonts w:ascii="Times New Roman" w:hAnsi="Times New Roman" w:cs="Times New Roman"/>
          <w:color w:val="000000"/>
          <w:kern w:val="0"/>
          <w:lang w:val="en-GB"/>
        </w:rPr>
        <w:t xml:space="preserve">). </w:t>
      </w:r>
      <w:r w:rsidRPr="007F4B4D">
        <w:rPr>
          <w:rFonts w:ascii="Times New Roman" w:hAnsi="Times New Roman" w:cs="Times New Roman"/>
        </w:rPr>
        <w:t>Upon infection, they progress through an incubation phase</w:t>
      </w:r>
      <w:r w:rsidRPr="007F4B4D">
        <w:rPr>
          <w:rFonts w:ascii="Times New Roman" w:hAnsi="Times New Roman" w:cs="Times New Roman"/>
          <w:color w:val="000000"/>
          <w:kern w:val="0"/>
          <w:lang w:val="en-GB"/>
        </w:rPr>
        <w:t xml:space="preserve"> (</w:t>
      </w:r>
      <m:oMath>
        <m:sSub>
          <m:sSubPr>
            <m:ctrlPr>
              <w:rPr>
                <w:rFonts w:ascii="Cambria Math" w:hAnsi="Cambria Math" w:cs="Times New Roman"/>
                <w:i/>
                <w:color w:val="000000"/>
                <w:kern w:val="0"/>
                <w:lang w:val="en-GB"/>
              </w:rPr>
            </m:ctrlPr>
          </m:sSubPr>
          <m:e>
            <m:r>
              <w:rPr>
                <w:rFonts w:ascii="Cambria Math" w:hAnsi="Cambria Math" w:cs="Times New Roman"/>
                <w:color w:val="000000"/>
                <w:kern w:val="0"/>
                <w:lang w:val="en-GB"/>
              </w:rPr>
              <m:t>I</m:t>
            </m:r>
          </m:e>
          <m:sub>
            <m:r>
              <w:rPr>
                <w:rFonts w:ascii="Cambria Math" w:hAnsi="Cambria Math" w:cs="Times New Roman"/>
                <w:color w:val="000000"/>
                <w:kern w:val="0"/>
                <w:lang w:val="en-GB"/>
              </w:rPr>
              <m:t>j</m:t>
            </m:r>
          </m:sub>
        </m:sSub>
      </m:oMath>
      <w:r w:rsidRPr="007F4B4D">
        <w:rPr>
          <w:rFonts w:ascii="Times New Roman" w:hAnsi="Times New Roman" w:cs="Times New Roman"/>
          <w:color w:val="000000"/>
          <w:kern w:val="0"/>
          <w:lang w:val="en-GB"/>
        </w:rPr>
        <w:t xml:space="preserve">) </w:t>
      </w:r>
      <w:r w:rsidRPr="007F4B4D">
        <w:rPr>
          <w:rFonts w:ascii="Times New Roman" w:hAnsi="Times New Roman" w:cs="Times New Roman"/>
        </w:rPr>
        <w:t>before advancing to the primary</w:t>
      </w:r>
      <w:r w:rsidRPr="007F4B4D">
        <w:rPr>
          <w:rFonts w:ascii="Times New Roman" w:hAnsi="Times New Roman" w:cs="Times New Roman"/>
          <w:color w:val="000000"/>
          <w:kern w:val="0"/>
          <w:lang w:val="en-GB"/>
        </w:rPr>
        <w:t xml:space="preserve"> (</w:t>
      </w:r>
      <m:oMath>
        <m:sSub>
          <m:sSubPr>
            <m:ctrlPr>
              <w:rPr>
                <w:rFonts w:ascii="Cambria Math" w:hAnsi="Cambria Math" w:cs="Times New Roman"/>
                <w:i/>
                <w:color w:val="000000"/>
                <w:kern w:val="0"/>
                <w:lang w:val="en-GB"/>
              </w:rPr>
            </m:ctrlPr>
          </m:sSubPr>
          <m:e>
            <m:r>
              <w:rPr>
                <w:rFonts w:ascii="Cambria Math" w:hAnsi="Cambria Math" w:cs="Times New Roman"/>
                <w:color w:val="000000"/>
                <w:kern w:val="0"/>
                <w:lang w:val="en-GB"/>
              </w:rPr>
              <m:t>P</m:t>
            </m:r>
          </m:e>
          <m:sub>
            <m:r>
              <w:rPr>
                <w:rFonts w:ascii="Cambria Math" w:hAnsi="Cambria Math" w:cs="Times New Roman"/>
                <w:color w:val="000000"/>
                <w:kern w:val="0"/>
                <w:lang w:val="en-GB"/>
              </w:rPr>
              <m:t>j</m:t>
            </m:r>
          </m:sub>
        </m:sSub>
      </m:oMath>
      <w:r w:rsidRPr="007F4B4D">
        <w:rPr>
          <w:rFonts w:ascii="Times New Roman" w:hAnsi="Times New Roman" w:cs="Times New Roman"/>
          <w:color w:val="000000"/>
          <w:kern w:val="0"/>
          <w:lang w:val="en-GB"/>
        </w:rPr>
        <w:t>), secondary (</w:t>
      </w:r>
      <m:oMath>
        <m:sSub>
          <m:sSubPr>
            <m:ctrlPr>
              <w:rPr>
                <w:rFonts w:ascii="Cambria Math" w:hAnsi="Cambria Math" w:cs="Times New Roman"/>
                <w:i/>
                <w:color w:val="000000"/>
                <w:kern w:val="0"/>
                <w:lang w:val="en-GB"/>
              </w:rPr>
            </m:ctrlPr>
          </m:sSubPr>
          <m:e>
            <m:r>
              <w:rPr>
                <w:rFonts w:ascii="Cambria Math" w:hAnsi="Cambria Math" w:cs="Times New Roman"/>
                <w:color w:val="000000"/>
                <w:kern w:val="0"/>
                <w:lang w:val="en-GB"/>
              </w:rPr>
              <m:t>S</m:t>
            </m:r>
          </m:e>
          <m:sub>
            <m:r>
              <w:rPr>
                <w:rFonts w:ascii="Cambria Math" w:hAnsi="Cambria Math" w:cs="Times New Roman"/>
                <w:color w:val="000000"/>
                <w:kern w:val="0"/>
                <w:lang w:val="en-GB"/>
              </w:rPr>
              <m:t>j</m:t>
            </m:r>
          </m:sub>
        </m:sSub>
      </m:oMath>
      <w:r w:rsidRPr="007F4B4D">
        <w:rPr>
          <w:rFonts w:ascii="Times New Roman" w:hAnsi="Times New Roman" w:cs="Times New Roman"/>
          <w:color w:val="000000"/>
          <w:kern w:val="0"/>
          <w:lang w:val="en-GB"/>
        </w:rPr>
        <w:t>), early latent (</w:t>
      </w:r>
      <m:oMath>
        <m:sSub>
          <m:sSubPr>
            <m:ctrlPr>
              <w:rPr>
                <w:rFonts w:ascii="Cambria Math" w:hAnsi="Cambria Math" w:cs="Times New Roman"/>
                <w:i/>
                <w:color w:val="000000"/>
                <w:kern w:val="0"/>
                <w:lang w:val="en-GB"/>
              </w:rPr>
            </m:ctrlPr>
          </m:sSubPr>
          <m:e>
            <m:r>
              <w:rPr>
                <w:rFonts w:ascii="Cambria Math" w:hAnsi="Cambria Math" w:cs="Times New Roman"/>
                <w:color w:val="000000"/>
                <w:kern w:val="0"/>
                <w:lang w:val="en-GB"/>
              </w:rPr>
              <m:t>E</m:t>
            </m:r>
          </m:e>
          <m:sub>
            <m:r>
              <w:rPr>
                <w:rFonts w:ascii="Cambria Math" w:hAnsi="Cambria Math" w:cs="Times New Roman"/>
                <w:color w:val="000000"/>
                <w:kern w:val="0"/>
                <w:lang w:val="en-GB"/>
              </w:rPr>
              <m:t>j</m:t>
            </m:r>
          </m:sub>
        </m:sSub>
      </m:oMath>
      <w:r w:rsidRPr="007F4B4D">
        <w:rPr>
          <w:rFonts w:ascii="Times New Roman" w:hAnsi="Times New Roman" w:cs="Times New Roman"/>
          <w:color w:val="000000"/>
          <w:kern w:val="0"/>
          <w:lang w:val="en-GB"/>
        </w:rPr>
        <w:t>), late latent (</w:t>
      </w:r>
      <m:oMath>
        <m:sSub>
          <m:sSubPr>
            <m:ctrlPr>
              <w:rPr>
                <w:rFonts w:ascii="Cambria Math" w:hAnsi="Cambria Math" w:cs="Times New Roman"/>
                <w:i/>
                <w:color w:val="000000"/>
                <w:kern w:val="0"/>
                <w:lang w:val="en-GB"/>
              </w:rPr>
            </m:ctrlPr>
          </m:sSubPr>
          <m:e>
            <m:r>
              <w:rPr>
                <w:rFonts w:ascii="Cambria Math" w:hAnsi="Cambria Math" w:cs="Times New Roman"/>
                <w:color w:val="000000"/>
                <w:kern w:val="0"/>
                <w:lang w:val="en-GB"/>
              </w:rPr>
              <m:t>L</m:t>
            </m:r>
          </m:e>
          <m:sub>
            <m:r>
              <w:rPr>
                <w:rFonts w:ascii="Cambria Math" w:hAnsi="Cambria Math" w:cs="Times New Roman"/>
                <w:color w:val="000000"/>
                <w:kern w:val="0"/>
                <w:lang w:val="en-GB"/>
              </w:rPr>
              <m:t>j</m:t>
            </m:r>
          </m:sub>
        </m:sSub>
      </m:oMath>
      <w:r w:rsidRPr="007F4B4D">
        <w:rPr>
          <w:rFonts w:ascii="Times New Roman" w:hAnsi="Times New Roman" w:cs="Times New Roman"/>
          <w:color w:val="000000"/>
          <w:kern w:val="0"/>
          <w:lang w:val="en-GB"/>
        </w:rPr>
        <w:t>), and tertiary (</w:t>
      </w:r>
      <m:oMath>
        <m:sSub>
          <m:sSubPr>
            <m:ctrlPr>
              <w:rPr>
                <w:rFonts w:ascii="Cambria Math" w:hAnsi="Cambria Math" w:cs="Times New Roman"/>
                <w:i/>
                <w:color w:val="000000"/>
                <w:kern w:val="0"/>
                <w:lang w:val="en-GB"/>
              </w:rPr>
            </m:ctrlPr>
          </m:sSubPr>
          <m:e>
            <m:r>
              <w:rPr>
                <w:rFonts w:ascii="Cambria Math" w:hAnsi="Cambria Math" w:cs="Times New Roman"/>
                <w:color w:val="000000"/>
                <w:kern w:val="0"/>
                <w:lang w:val="en-GB"/>
              </w:rPr>
              <m:t>T</m:t>
            </m:r>
          </m:e>
          <m:sub>
            <m:r>
              <w:rPr>
                <w:rFonts w:ascii="Cambria Math" w:hAnsi="Cambria Math" w:cs="Times New Roman"/>
                <w:color w:val="000000"/>
                <w:kern w:val="0"/>
                <w:lang w:val="en-GB"/>
              </w:rPr>
              <m:t>j</m:t>
            </m:r>
          </m:sub>
        </m:sSub>
      </m:oMath>
      <w:r w:rsidRPr="007F4B4D">
        <w:rPr>
          <w:rFonts w:ascii="Times New Roman" w:hAnsi="Times New Roman" w:cs="Times New Roman"/>
          <w:color w:val="000000"/>
          <w:kern w:val="0"/>
          <w:lang w:val="en-GB"/>
        </w:rPr>
        <w:t xml:space="preserve">) stages. </w:t>
      </w:r>
      <w:r w:rsidRPr="007F4B4D">
        <w:rPr>
          <w:rFonts w:ascii="Times New Roman" w:hAnsi="Times New Roman" w:cs="Times New Roman"/>
        </w:rPr>
        <w:t>The primary, secondary, and tertiary stages are symptomatic, prompting individuals to seek treatment and transition to the recovered state</w:t>
      </w:r>
      <w:r w:rsidRPr="007F4B4D">
        <w:rPr>
          <w:rFonts w:ascii="Times New Roman" w:hAnsi="Times New Roman" w:cs="Times New Roman"/>
          <w:color w:val="000000"/>
          <w:kern w:val="0"/>
          <w:lang w:val="en-GB"/>
        </w:rPr>
        <w:t xml:space="preserve"> (</w:t>
      </w:r>
      <m:oMath>
        <m:sSub>
          <m:sSubPr>
            <m:ctrlPr>
              <w:rPr>
                <w:rFonts w:ascii="Cambria Math" w:hAnsi="Cambria Math" w:cs="Times New Roman"/>
                <w:i/>
                <w:color w:val="000000"/>
                <w:kern w:val="0"/>
                <w:lang w:val="en-GB"/>
              </w:rPr>
            </m:ctrlPr>
          </m:sSubPr>
          <m:e>
            <m:r>
              <w:rPr>
                <w:rFonts w:ascii="Cambria Math" w:hAnsi="Cambria Math" w:cs="Times New Roman"/>
                <w:color w:val="000000"/>
                <w:kern w:val="0"/>
                <w:lang w:val="en-GB"/>
              </w:rPr>
              <m:t>R</m:t>
            </m:r>
          </m:e>
          <m:sub>
            <m:r>
              <w:rPr>
                <w:rFonts w:ascii="Cambria Math" w:hAnsi="Cambria Math" w:cs="Times New Roman"/>
                <w:color w:val="000000"/>
                <w:kern w:val="0"/>
                <w:lang w:val="en-GB"/>
              </w:rPr>
              <m:t>j</m:t>
            </m:r>
          </m:sub>
        </m:sSub>
      </m:oMath>
      <w:r w:rsidRPr="007F4B4D">
        <w:rPr>
          <w:rFonts w:ascii="Times New Roman" w:hAnsi="Times New Roman" w:cs="Times New Roman"/>
          <w:color w:val="000000"/>
          <w:kern w:val="0"/>
          <w:lang w:val="en-GB"/>
        </w:rPr>
        <w:t xml:space="preserve">). </w:t>
      </w:r>
      <w:r w:rsidRPr="007F4B4D">
        <w:rPr>
          <w:rFonts w:ascii="Times New Roman" w:hAnsi="Times New Roman" w:cs="Times New Roman"/>
        </w:rPr>
        <w:t>In contrast, early latent and late latent stages are asymptomatic, with infections typically detected through screening, leading to treatment and recovery</w:t>
      </w:r>
      <w:r w:rsidRPr="007F4B4D">
        <w:rPr>
          <w:rFonts w:ascii="Times New Roman" w:hAnsi="Times New Roman" w:cs="Times New Roman"/>
          <w:color w:val="000000"/>
          <w:kern w:val="0"/>
          <w:lang w:val="en-GB"/>
        </w:rPr>
        <w:t xml:space="preserve"> (</w:t>
      </w:r>
      <m:oMath>
        <m:sSub>
          <m:sSubPr>
            <m:ctrlPr>
              <w:rPr>
                <w:rFonts w:ascii="Cambria Math" w:hAnsi="Cambria Math" w:cs="Times New Roman"/>
                <w:i/>
                <w:color w:val="000000"/>
                <w:kern w:val="0"/>
                <w:lang w:val="en-GB"/>
              </w:rPr>
            </m:ctrlPr>
          </m:sSubPr>
          <m:e>
            <m:r>
              <w:rPr>
                <w:rFonts w:ascii="Cambria Math" w:hAnsi="Cambria Math" w:cs="Times New Roman"/>
                <w:color w:val="000000"/>
                <w:kern w:val="0"/>
                <w:lang w:val="en-GB"/>
              </w:rPr>
              <m:t>R</m:t>
            </m:r>
          </m:e>
          <m:sub>
            <m:r>
              <w:rPr>
                <w:rFonts w:ascii="Cambria Math" w:hAnsi="Cambria Math" w:cs="Times New Roman"/>
                <w:color w:val="000000"/>
                <w:kern w:val="0"/>
                <w:lang w:val="en-GB"/>
              </w:rPr>
              <m:t>j</m:t>
            </m:r>
          </m:sub>
        </m:sSub>
      </m:oMath>
      <w:r w:rsidRPr="007F4B4D">
        <w:rPr>
          <w:rFonts w:ascii="Times New Roman" w:hAnsi="Times New Roman" w:cs="Times New Roman"/>
          <w:color w:val="000000"/>
          <w:kern w:val="0"/>
          <w:lang w:val="en-GB"/>
        </w:rPr>
        <w:t xml:space="preserve">). </w:t>
      </w:r>
      <w:r w:rsidRPr="007F4B4D">
        <w:rPr>
          <w:rFonts w:ascii="Times New Roman" w:hAnsi="Times New Roman" w:cs="Times New Roman"/>
        </w:rPr>
        <w:t>Individuals in the tertiary stage face a risk of mortality, permanently exiting the compartments. Notably, only the incubation, primary, secondary, and early latent stages are infectious, while the late latent and tertiary stages are non-infectious. All treated infections are considered cured, with individuals returning to the uninfected state.</w:t>
      </w:r>
      <w:r w:rsidRPr="007F4B4D">
        <w:rPr>
          <w:rFonts w:ascii="Times New Roman" w:hAnsi="Times New Roman" w:cs="Times New Roman"/>
          <w:color w:val="000000"/>
          <w:kern w:val="0"/>
          <w:lang w:val="en-GB"/>
        </w:rPr>
        <w:t xml:space="preserve"> </w:t>
      </w:r>
      <w:r w:rsidRPr="007F4B4D">
        <w:rPr>
          <w:rFonts w:ascii="Times New Roman" w:hAnsi="Times New Roman" w:cs="Times New Roman"/>
        </w:rPr>
        <w:t>Individuals may exit the sexually active population due to aging at any stage. The model includes separate compartments for individuals with low and high sexual activity levels</w:t>
      </w:r>
      <w:r w:rsidRPr="007F4B4D">
        <w:rPr>
          <w:rFonts w:ascii="Times New Roman" w:hAnsi="Times New Roman" w:cs="Times New Roman"/>
          <w:color w:val="000000"/>
          <w:kern w:val="0"/>
          <w:lang w:val="en-GB"/>
        </w:rPr>
        <w:t xml:space="preserve"> (</w:t>
      </w:r>
      <m:oMath>
        <m:r>
          <w:rPr>
            <w:rFonts w:ascii="Cambria Math" w:hAnsi="Cambria Math" w:cs="Times New Roman"/>
            <w:color w:val="000000"/>
            <w:kern w:val="0"/>
            <w:lang w:val="en-GB"/>
          </w:rPr>
          <m:t>j</m:t>
        </m:r>
        <m:r>
          <m:rPr>
            <m:sty m:val="p"/>
          </m:rPr>
          <w:rPr>
            <w:rFonts w:ascii="Cambria Math" w:hAnsi="Cambria Math" w:cs="Times New Roman"/>
            <w:color w:val="000000"/>
            <w:kern w:val="0"/>
            <w:lang w:val="en-GB"/>
          </w:rPr>
          <m:t>∈</m:t>
        </m:r>
        <m:r>
          <w:rPr>
            <w:rFonts w:ascii="Cambria Math" w:hAnsi="Cambria Math" w:cs="Times New Roman"/>
            <w:color w:val="000000"/>
            <w:kern w:val="0"/>
            <w:lang w:val="en-GB"/>
          </w:rPr>
          <m:t>L,H</m:t>
        </m:r>
      </m:oMath>
      <w:r w:rsidRPr="007F4B4D">
        <w:rPr>
          <w:rFonts w:ascii="Times New Roman" w:hAnsi="Times New Roman" w:cs="Times New Roman"/>
          <w:color w:val="000000"/>
          <w:kern w:val="0"/>
          <w:lang w:val="en-GB"/>
        </w:rPr>
        <w:t xml:space="preserve">), </w:t>
      </w:r>
      <w:r w:rsidRPr="007F4B4D">
        <w:rPr>
          <w:rFonts w:ascii="Times New Roman" w:hAnsi="Times New Roman" w:cs="Times New Roman"/>
        </w:rPr>
        <w:t>represented by the</w:t>
      </w:r>
      <w:r w:rsidRPr="007F0702">
        <w:rPr>
          <w:rFonts w:ascii="Times New Roman" w:hAnsi="Times New Roman" w:cs="Times New Roman"/>
        </w:rPr>
        <w:t xml:space="preserve"> purple and grey layers in the figure. Both groups share an identical compartmental structure, though, for clarity, only the transitions in and out of the high-activity group (upper layer) are depicted</w:t>
      </w:r>
      <w:r>
        <w:rPr>
          <w:rFonts w:ascii="Times New Roman" w:hAnsi="Times New Roman" w:cs="Times New Roman"/>
        </w:rPr>
        <w:t>.</w:t>
      </w:r>
    </w:p>
    <w:p w14:paraId="599EA376" w14:textId="77777777" w:rsidR="00CA1AED" w:rsidRPr="00CA1AED" w:rsidRDefault="00CA1AED" w:rsidP="00CA1AED">
      <w:pPr>
        <w:jc w:val="center"/>
        <w:rPr>
          <w:b/>
          <w:bCs/>
          <w:lang w:val="en-US"/>
        </w:rPr>
      </w:pPr>
    </w:p>
    <w:p w14:paraId="1C158AF5" w14:textId="49C3B70F" w:rsidR="00155CFE" w:rsidRPr="00A46B9E" w:rsidRDefault="00AA76AD">
      <w:pPr>
        <w:rPr>
          <w:b/>
          <w:bCs/>
        </w:rPr>
      </w:pPr>
      <w:r>
        <w:rPr>
          <w:b/>
          <w:bCs/>
          <w:noProof/>
        </w:rPr>
        <w:drawing>
          <wp:inline distT="0" distB="0" distL="0" distR="0" wp14:anchorId="74528B72" wp14:editId="6185DF92">
            <wp:extent cx="8864600" cy="3426460"/>
            <wp:effectExtent l="0" t="0" r="0" b="2540"/>
            <wp:docPr id="21907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772" name="Picture 2190772"/>
                    <pic:cNvPicPr/>
                  </pic:nvPicPr>
                  <pic:blipFill>
                    <a:blip r:embed="rId9"/>
                    <a:stretch>
                      <a:fillRect/>
                    </a:stretch>
                  </pic:blipFill>
                  <pic:spPr>
                    <a:xfrm>
                      <a:off x="0" y="0"/>
                      <a:ext cx="8864600" cy="3426460"/>
                    </a:xfrm>
                    <a:prstGeom prst="rect">
                      <a:avLst/>
                    </a:prstGeom>
                  </pic:spPr>
                </pic:pic>
              </a:graphicData>
            </a:graphic>
          </wp:inline>
        </w:drawing>
      </w:r>
    </w:p>
    <w:p w14:paraId="3E816C3B" w14:textId="22DF2BD2" w:rsidR="00A02475" w:rsidRPr="007F0702" w:rsidRDefault="0092025F" w:rsidP="001E6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imes New Roman" w:hAnsi="Times New Roman" w:cs="Times New Roman"/>
          <w:lang w:val="en-US"/>
        </w:rPr>
        <w:sectPr w:rsidR="00A02475" w:rsidRPr="007F0702" w:rsidSect="00155CFE">
          <w:pgSz w:w="16840" w:h="11879" w:orient="landscape"/>
          <w:pgMar w:top="1440" w:right="1440" w:bottom="1440" w:left="1440" w:header="709" w:footer="709" w:gutter="0"/>
          <w:cols w:space="708"/>
          <w:docGrid w:linePitch="360"/>
        </w:sectPr>
      </w:pPr>
      <w:r w:rsidRPr="007F0702">
        <w:rPr>
          <w:rFonts w:ascii="Times New Roman" w:hAnsi="Times New Roman" w:cs="Times New Roman"/>
          <w:lang w:val="en-US"/>
        </w:rPr>
        <w:t xml:space="preserve">Figure </w:t>
      </w:r>
      <w:r w:rsidR="00CA1AED">
        <w:rPr>
          <w:rFonts w:ascii="Times New Roman" w:hAnsi="Times New Roman" w:cs="Times New Roman"/>
          <w:lang w:val="en-US"/>
        </w:rPr>
        <w:t>2</w:t>
      </w:r>
      <w:r w:rsidRPr="007F4B4D">
        <w:rPr>
          <w:rFonts w:ascii="Times New Roman" w:hAnsi="Times New Roman" w:cs="Times New Roman"/>
          <w:lang w:val="en-US"/>
        </w:rPr>
        <w:t>: Model architecture</w:t>
      </w:r>
      <w:r w:rsidR="00CA1AED">
        <w:rPr>
          <w:rFonts w:ascii="Times New Roman" w:hAnsi="Times New Roman" w:cs="Times New Roman"/>
          <w:lang w:val="en-US"/>
        </w:rPr>
        <w:t xml:space="preserve"> for doxy-PEP</w:t>
      </w:r>
      <w:r w:rsidRPr="007F4B4D">
        <w:rPr>
          <w:rFonts w:ascii="Times New Roman" w:hAnsi="Times New Roman" w:cs="Times New Roman"/>
          <w:lang w:val="en-US"/>
        </w:rPr>
        <w:t>.</w:t>
      </w:r>
      <w:r w:rsidR="00691909">
        <w:rPr>
          <w:rFonts w:ascii="Times New Roman" w:hAnsi="Times New Roman" w:cs="Times New Roman"/>
          <w:lang w:val="en-US"/>
        </w:rPr>
        <w:t xml:space="preserve"> </w:t>
      </w:r>
      <w:r w:rsidR="00691909" w:rsidRPr="007F4B4D">
        <w:rPr>
          <w:rFonts w:ascii="Times New Roman" w:hAnsi="Times New Roman" w:cs="Times New Roman"/>
          <w:lang w:val="en-US"/>
        </w:rPr>
        <w:t xml:space="preserve">For each doxy-PEP stratum </w:t>
      </w:r>
      <m:oMath>
        <m:r>
          <w:rPr>
            <w:rFonts w:ascii="Cambria Math" w:hAnsi="Cambria Math" w:cs="Times New Roman"/>
            <w:lang w:val="en-US"/>
          </w:rPr>
          <m:t>i</m:t>
        </m:r>
        <m:r>
          <m:rPr>
            <m:sty m:val="p"/>
          </m:rPr>
          <w:rPr>
            <w:rFonts w:ascii="Cambria Math" w:hAnsi="Cambria Math" w:cs="Times New Roman"/>
            <w:lang w:val="en-US"/>
          </w:rPr>
          <m:t>∈</m:t>
        </m:r>
        <m:r>
          <m:rPr>
            <m:lit/>
            <m:sty m:val="p"/>
          </m:rPr>
          <w:rPr>
            <w:rFonts w:ascii="Cambria Math" w:hAnsi="Cambria Math" w:cs="Times New Roman"/>
            <w:lang w:val="en-US"/>
          </w:rPr>
          <m:t>{</m:t>
        </m:r>
        <m:r>
          <w:rPr>
            <w:rFonts w:ascii="Cambria Math" w:hAnsi="Cambria Math" w:cs="Times New Roman"/>
            <w:lang w:val="en-US"/>
          </w:rPr>
          <m:t>N,X,D,M</m:t>
        </m:r>
        <m:r>
          <m:rPr>
            <m:lit/>
          </m:rPr>
          <w:rPr>
            <w:rFonts w:ascii="Cambria Math" w:hAnsi="Cambria Math" w:cs="Times New Roman"/>
            <w:lang w:val="en-US"/>
          </w:rPr>
          <m:t>}</m:t>
        </m:r>
      </m:oMath>
      <w:r w:rsidR="00691909" w:rsidRPr="007F4B4D">
        <w:rPr>
          <w:rFonts w:ascii="Times New Roman" w:hAnsi="Times New Roman" w:cs="Times New Roman"/>
          <w:lang w:val="en-US"/>
        </w:rPr>
        <w:t xml:space="preserve">, </w:t>
      </w:r>
      <w:r w:rsidR="00691909" w:rsidRPr="007F4B4D">
        <w:rPr>
          <w:rFonts w:ascii="Times New Roman" w:hAnsi="Times New Roman" w:cs="Times New Roman"/>
        </w:rPr>
        <w:t>the population is categorized into compartments representing different stages of syphilis infection</w:t>
      </w:r>
      <w:r w:rsidR="00BC7012">
        <w:rPr>
          <w:rFonts w:ascii="Times New Roman" w:hAnsi="Times New Roman" w:cs="Times New Roman"/>
        </w:rPr>
        <w:t>.</w:t>
      </w:r>
    </w:p>
    <w:p w14:paraId="4FB7B96B" w14:textId="7E558DEB" w:rsidR="00CA1AED" w:rsidRPr="00C93922" w:rsidRDefault="00CA1AED" w:rsidP="00CA1AED">
      <w:pPr>
        <w:pStyle w:val="NormalWeb"/>
        <w:spacing w:line="276" w:lineRule="auto"/>
        <w:jc w:val="both"/>
        <w:rPr>
          <w:rFonts w:eastAsiaTheme="minorEastAsia"/>
          <w:lang w:val="en-US"/>
        </w:rPr>
      </w:pPr>
      <w:r>
        <w:rPr>
          <w:rFonts w:eastAsiaTheme="minorEastAsia"/>
          <w:lang w:val="en-US"/>
        </w:rPr>
        <w:lastRenderedPageBreak/>
        <w:t>Model of syphilis transmission:</w:t>
      </w:r>
    </w:p>
    <w:p w14:paraId="6D221620" w14:textId="056672CA" w:rsidR="00CA1AED" w:rsidRPr="009767EA" w:rsidRDefault="00CA1AED" w:rsidP="009169AC">
      <w:pPr>
        <w:pStyle w:val="NormalWeb"/>
        <w:spacing w:line="276" w:lineRule="auto"/>
        <w:jc w:val="both"/>
        <w:rPr>
          <w:rFonts w:eastAsiaTheme="minorEastAsia"/>
          <w:i/>
          <w:lang w:val="en-US"/>
        </w:rPr>
      </w:pPr>
      <m:oMathPara>
        <m:oMathParaPr>
          <m:jc m:val="left"/>
        </m:oMathParaPr>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m:t>
                      </m:r>
                    </m:den>
                  </m:f>
                </m:e>
              </m:d>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r>
            <w:rPr>
              <w:rFonts w:ascii="Cambria Math" w:hAnsi="Cambria Math"/>
              <w:lang w:val="en-US"/>
            </w:rPr>
            <w:br/>
          </m:r>
        </m:oMath>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r>
                    <w:rPr>
                      <w:rFonts w:ascii="Cambria Math" w:hAnsi="Cambria Math"/>
                      <w:lang w:val="en-US"/>
                    </w:rPr>
                    <m:t>σ+</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m:t>
                      </m:r>
                    </m:den>
                  </m:f>
                </m:e>
              </m:d>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e>
          </m:eqArr>
          <m:r>
            <w:rPr>
              <w:rFonts w:ascii="Cambria Math" w:eastAsiaTheme="minorEastAsia" w:hAnsi="Cambria Math"/>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=σ</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S</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e>
              </m:d>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m:t>
                  </m:r>
                </m:e>
              </m:d>
            </m:e>
          </m:eqArr>
          <m:r>
            <w:rPr>
              <w:rFonts w:ascii="Cambria Math" w:eastAsiaTheme="minorEastAsia" w:hAnsi="Cambria Math"/>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S</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E</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e>
              </m:d>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e>
          </m:eqArr>
          <m:r>
            <w:rPr>
              <w:rFonts w:ascii="Cambria Math" w:eastAsiaTheme="minorEastAsia" w:hAnsi="Cambria Math"/>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E</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L</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m:t>
                  </m:r>
                </m:e>
              </m:d>
            </m:e>
          </m:eqArr>
          <m:r>
            <w:rPr>
              <w:rFonts w:ascii="Cambria Math" w:eastAsiaTheme="minorEastAsia" w:hAnsi="Cambria Math"/>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L</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e>
              </m:d>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6</m:t>
                  </m:r>
                </m:e>
              </m:d>
            </m:e>
          </m:eqArr>
          <m:r>
            <w:rPr>
              <w:rFonts w:ascii="Cambria Math" w:eastAsiaTheme="minorEastAsia" w:hAnsi="Cambria Math"/>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T</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μ+</m:t>
                  </m:r>
                  <m:sSub>
                    <m:sSubPr>
                      <m:ctrlPr>
                        <w:rPr>
                          <w:rFonts w:ascii="Cambria Math" w:eastAsiaTheme="minorEastAsia" w:hAnsi="Cambria Math"/>
                          <w:i/>
                          <w:lang w:val="en-US"/>
                        </w:rPr>
                      </m:ctrlPr>
                    </m:sSubPr>
                    <m:e>
                      <m:r>
                        <m:rPr>
                          <m:sty m:val="p"/>
                        </m:rPr>
                        <w:rPr>
                          <w:rFonts w:ascii="Cambria Math" w:eastAsiaTheme="minorEastAsia" w:hAnsi="Cambria Math"/>
                          <w:lang w:val="en-US"/>
                        </w:rPr>
                        <m:t>β</m:t>
                      </m:r>
                    </m:e>
                    <m:sub>
                      <m:r>
                        <m:rPr>
                          <m:sty m:val="p"/>
                        </m:rPr>
                        <w:rPr>
                          <w:rFonts w:ascii="Cambria Math" w:eastAsiaTheme="minorEastAsia" w:hAnsi="Cambria Math"/>
                          <w:lang w:val="en-US"/>
                        </w:rPr>
                        <m:t>ν</m:t>
                      </m:r>
                    </m:sub>
                  </m:sSub>
                  <m:r>
                    <w:rPr>
                      <w:rFonts w:ascii="Cambria Math" w:eastAsiaTheme="minorEastAsia" w:hAnsi="Cambria Math"/>
                      <w:lang w:val="en-US"/>
                    </w:rPr>
                    <m:t>ν+</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e>
              </m:d>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7</m:t>
                  </m:r>
                </m:e>
              </m:d>
            </m:e>
          </m:eqArr>
          <m:r>
            <w:rPr>
              <w:rFonts w:ascii="Cambria Math" w:eastAsiaTheme="minorEastAsia" w:hAnsi="Cambria Math"/>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=μ</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t</m:t>
                  </m:r>
                </m:e>
              </m:d>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8</m:t>
                  </m:r>
                </m:e>
              </m:d>
            </m:e>
          </m:eqArr>
        </m:oMath>
      </m:oMathPara>
    </w:p>
    <w:p w14:paraId="46B919F0" w14:textId="77777777" w:rsidR="00C701BF" w:rsidRPr="00106D73" w:rsidRDefault="00C701BF" w:rsidP="00C70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kern w:val="0"/>
          <w:lang w:val="en-GB"/>
        </w:rPr>
      </w:pPr>
      <w:r w:rsidRPr="00106D73">
        <w:rPr>
          <w:rFonts w:ascii="Times New Roman" w:hAnsi="Times New Roman" w:cs="Times New Roman"/>
          <w:color w:val="000000"/>
          <w:kern w:val="0"/>
          <w:lang w:val="en-GB"/>
        </w:rPr>
        <w:t xml:space="preserve">We compared the observed annual number of syphilis diagnoses </w:t>
      </w:r>
      <m:oMath>
        <m:sSub>
          <m:sSubPr>
            <m:ctrlPr>
              <w:rPr>
                <w:rFonts w:ascii="Cambria Math" w:hAnsi="Cambria Math" w:cs="Times New Roman"/>
                <w:i/>
                <w:color w:val="0D0D0D"/>
                <w:shd w:val="clear" w:color="auto" w:fill="FFFFFF"/>
                <w:lang w:val="en-US"/>
              </w:rPr>
            </m:ctrlPr>
          </m:sSubPr>
          <m:e>
            <m:r>
              <w:rPr>
                <w:rFonts w:ascii="Cambria Math" w:hAnsi="Cambria Math" w:cs="Times New Roman"/>
                <w:color w:val="0D0D0D"/>
                <w:shd w:val="clear" w:color="auto" w:fill="FFFFFF"/>
                <w:lang w:val="en-US"/>
              </w:rPr>
              <m:t>Z</m:t>
            </m:r>
          </m:e>
          <m:sub>
            <m:r>
              <w:rPr>
                <w:rFonts w:ascii="Cambria Math" w:hAnsi="Cambria Math" w:cs="Times New Roman"/>
                <w:color w:val="0D0D0D"/>
                <w:shd w:val="clear" w:color="auto" w:fill="FFFFFF"/>
                <w:lang w:val="en-US"/>
              </w:rPr>
              <m:t>D</m:t>
            </m:r>
          </m:sub>
        </m:sSub>
        <m:d>
          <m:dPr>
            <m:ctrlPr>
              <w:rPr>
                <w:rFonts w:ascii="Cambria Math" w:hAnsi="Cambria Math" w:cs="Times New Roman"/>
                <w:i/>
                <w:color w:val="0D0D0D"/>
                <w:shd w:val="clear" w:color="auto" w:fill="FFFFFF"/>
                <w:lang w:val="en-US"/>
              </w:rPr>
            </m:ctrlPr>
          </m:dPr>
          <m:e>
            <m:r>
              <w:rPr>
                <w:rFonts w:ascii="Cambria Math" w:hAnsi="Cambria Math" w:cs="Times New Roman"/>
                <w:color w:val="0D0D0D"/>
                <w:shd w:val="clear" w:color="auto" w:fill="FFFFFF"/>
                <w:lang w:val="en-US"/>
              </w:rPr>
              <m:t>t</m:t>
            </m:r>
          </m:e>
        </m:d>
      </m:oMath>
      <w:r w:rsidRPr="00106D73">
        <w:rPr>
          <w:rFonts w:ascii="Times New Roman" w:hAnsi="Times New Roman" w:cs="Times New Roman"/>
          <w:color w:val="0D0D0D"/>
          <w:shd w:val="clear" w:color="auto" w:fill="FFFFFF"/>
          <w:lang w:val="en-US"/>
        </w:rPr>
        <w:t xml:space="preserve"> </w:t>
      </w:r>
      <w:r w:rsidRPr="00106D73">
        <w:rPr>
          <w:rFonts w:ascii="Times New Roman" w:hAnsi="Times New Roman" w:cs="Times New Roman"/>
          <w:color w:val="000000"/>
          <w:kern w:val="0"/>
          <w:lang w:val="en-GB"/>
        </w:rPr>
        <w:t xml:space="preserve">with those predicted by our model </w:t>
      </w:r>
      <m:oMath>
        <m:sSub>
          <m:sSubPr>
            <m:ctrlPr>
              <w:rPr>
                <w:rFonts w:ascii="Cambria Math" w:hAnsi="Cambria Math" w:cs="Times New Roman"/>
                <w:i/>
                <w:color w:val="0D0D0D"/>
                <w:shd w:val="clear" w:color="auto" w:fill="FFFFFF"/>
                <w:lang w:val="en-US"/>
              </w:rPr>
            </m:ctrlPr>
          </m:sSubPr>
          <m:e>
            <m:r>
              <w:rPr>
                <w:rFonts w:ascii="Cambria Math" w:hAnsi="Cambria Math" w:cs="Times New Roman"/>
                <w:color w:val="0D0D0D"/>
                <w:shd w:val="clear" w:color="auto" w:fill="FFFFFF"/>
                <w:lang w:val="en-US"/>
              </w:rPr>
              <m:t>Y</m:t>
            </m:r>
          </m:e>
          <m:sub>
            <m:r>
              <w:rPr>
                <w:rFonts w:ascii="Cambria Math" w:hAnsi="Cambria Math" w:cs="Times New Roman"/>
                <w:color w:val="0D0D0D"/>
                <w:shd w:val="clear" w:color="auto" w:fill="FFFFFF"/>
                <w:lang w:val="en-US"/>
              </w:rPr>
              <m:t>D</m:t>
            </m:r>
          </m:sub>
        </m:sSub>
        <m:d>
          <m:dPr>
            <m:ctrlPr>
              <w:rPr>
                <w:rFonts w:ascii="Cambria Math" w:hAnsi="Cambria Math" w:cs="Times New Roman"/>
                <w:i/>
                <w:color w:val="0D0D0D"/>
                <w:shd w:val="clear" w:color="auto" w:fill="FFFFFF"/>
                <w:lang w:val="en-US"/>
              </w:rPr>
            </m:ctrlPr>
          </m:dPr>
          <m:e>
            <m:r>
              <w:rPr>
                <w:rFonts w:ascii="Cambria Math" w:hAnsi="Cambria Math" w:cs="Times New Roman"/>
                <w:color w:val="0D0D0D"/>
                <w:shd w:val="clear" w:color="auto" w:fill="FFFFFF"/>
                <w:lang w:val="en-US"/>
              </w:rPr>
              <m:t>t</m:t>
            </m:r>
          </m:e>
        </m:d>
      </m:oMath>
      <w:r w:rsidRPr="00106D73">
        <w:rPr>
          <w:rFonts w:ascii="Times New Roman" w:hAnsi="Times New Roman" w:cs="Times New Roman"/>
          <w:color w:val="000000"/>
          <w:kern w:val="0"/>
          <w:lang w:val="en-GB"/>
        </w:rPr>
        <w:t xml:space="preserve"> sing Negative-Binomial likelihoods to allow for over-dispersion in the observation process relative to a Poisson distribution.</w:t>
      </w:r>
      <w:r w:rsidRPr="00106D73">
        <w:rPr>
          <w:rFonts w:ascii="Times New Roman" w:hAnsi="Times New Roman" w:cs="Times New Roman"/>
        </w:rPr>
        <w:t xml:space="preserve"> If </w:t>
      </w:r>
      <m:oMath>
        <m:r>
          <w:rPr>
            <w:rFonts w:ascii="Cambria Math" w:hAnsi="Cambria Math" w:cs="Times New Roman"/>
            <w:color w:val="0D0D0D"/>
            <w:shd w:val="clear" w:color="auto" w:fill="FFFFFF"/>
            <w:lang w:val="en-US"/>
          </w:rPr>
          <m:t>x</m:t>
        </m:r>
      </m:oMath>
      <w:r w:rsidRPr="00106D73">
        <w:rPr>
          <w:rFonts w:ascii="Times New Roman" w:hAnsi="Times New Roman" w:cs="Times New Roman"/>
        </w:rPr>
        <w:t xml:space="preserve"> </w:t>
      </w:r>
      <w:r w:rsidRPr="00106D73">
        <w:rPr>
          <w:rFonts w:ascii="Cambria Math" w:hAnsi="Cambria Math" w:cs="Cambria Math"/>
        </w:rPr>
        <w:t>∼</w:t>
      </w:r>
      <w:r w:rsidRPr="00106D73">
        <w:rPr>
          <w:rFonts w:ascii="Times New Roman" w:hAnsi="Times New Roman" w:cs="Times New Roman"/>
        </w:rPr>
        <w:t xml:space="preserve"> NegBinom(</w:t>
      </w:r>
      <m:oMath>
        <m:r>
          <w:rPr>
            <w:rFonts w:ascii="Cambria Math" w:hAnsi="Cambria Math" w:cs="Times New Roman"/>
            <w:color w:val="0D0D0D"/>
            <w:shd w:val="clear" w:color="auto" w:fill="FFFFFF"/>
            <w:lang w:val="en-US"/>
          </w:rPr>
          <m:t>m</m:t>
        </m:r>
      </m:oMath>
      <w:r w:rsidRPr="00106D73">
        <w:rPr>
          <w:rFonts w:ascii="Times New Roman" w:hAnsi="Times New Roman" w:cs="Times New Roman"/>
        </w:rPr>
        <w:t xml:space="preserve">, </w:t>
      </w:r>
      <m:oMath>
        <m:r>
          <w:rPr>
            <w:rFonts w:ascii="Cambria Math" w:hAnsi="Cambria Math" w:cs="Times New Roman"/>
            <w:color w:val="0D0D0D"/>
            <w:shd w:val="clear" w:color="auto" w:fill="FFFFFF"/>
            <w:lang w:val="en-US"/>
          </w:rPr>
          <m:t>κ</m:t>
        </m:r>
      </m:oMath>
      <w:r w:rsidRPr="00106D73">
        <w:rPr>
          <w:rFonts w:ascii="Times New Roman" w:hAnsi="Times New Roman" w:cs="Times New Roman"/>
        </w:rPr>
        <w:t xml:space="preserve">), with mean </w:t>
      </w:r>
      <m:oMath>
        <m:r>
          <w:rPr>
            <w:rFonts w:ascii="Cambria Math" w:hAnsi="Cambria Math" w:cs="Times New Roman"/>
            <w:color w:val="0D0D0D"/>
            <w:shd w:val="clear" w:color="auto" w:fill="FFFFFF"/>
            <w:lang w:val="en-US"/>
          </w:rPr>
          <m:t>m</m:t>
        </m:r>
      </m:oMath>
      <w:r w:rsidRPr="00106D73">
        <w:rPr>
          <w:rFonts w:ascii="Times New Roman" w:hAnsi="Times New Roman" w:cs="Times New Roman"/>
        </w:rPr>
        <w:t xml:space="preserve"> and shape parameter </w:t>
      </w:r>
      <m:oMath>
        <m:r>
          <w:rPr>
            <w:rFonts w:ascii="Cambria Math" w:hAnsi="Cambria Math" w:cs="Times New Roman"/>
            <w:color w:val="0D0D0D"/>
            <w:shd w:val="clear" w:color="auto" w:fill="FFFFFF"/>
            <w:lang w:val="en-US"/>
          </w:rPr>
          <m:t>κ</m:t>
        </m:r>
      </m:oMath>
      <w:r w:rsidRPr="00106D73">
        <w:rPr>
          <w:rFonts w:ascii="Times New Roman" w:hAnsi="Times New Roman" w:cs="Times New Roman"/>
        </w:rPr>
        <w:t>, then:</w:t>
      </w:r>
    </w:p>
    <w:p w14:paraId="4624F3D0" w14:textId="7247D979" w:rsidR="00C701BF" w:rsidRPr="007F3941" w:rsidRDefault="00C701BF" w:rsidP="00C701BF">
      <w:pPr>
        <w:jc w:val="both"/>
        <w:rPr>
          <w:rFonts w:ascii="Times New Roman" w:hAnsi="Times New Roman" w:cs="Times New Roman"/>
          <w:color w:val="0D0D0D"/>
          <w:shd w:val="clear" w:color="auto" w:fill="FFFFFF"/>
          <w:lang w:val="en-US"/>
        </w:rPr>
      </w:pPr>
      <m:oMathPara>
        <m:oMath>
          <m:eqArr>
            <m:eqArrPr>
              <m:maxDist m:val="1"/>
              <m:ctrlPr>
                <w:rPr>
                  <w:rFonts w:ascii="Cambria Math" w:hAnsi="Cambria Math" w:cs="Times New Roman"/>
                  <w:i/>
                  <w:color w:val="0D0D0D"/>
                  <w:shd w:val="clear" w:color="auto" w:fill="FFFFFF"/>
                  <w:lang w:val="en-US"/>
                </w:rPr>
              </m:ctrlPr>
            </m:eqArrPr>
            <m:e>
              <m:sSub>
                <m:sSubPr>
                  <m:ctrlPr>
                    <w:rPr>
                      <w:rFonts w:ascii="Cambria Math" w:hAnsi="Cambria Math" w:cs="Times New Roman"/>
                      <w:i/>
                      <w:color w:val="0D0D0D"/>
                      <w:shd w:val="clear" w:color="auto" w:fill="FFFFFF"/>
                      <w:lang w:val="en-US"/>
                    </w:rPr>
                  </m:ctrlPr>
                </m:sSubPr>
                <m:e>
                  <m:r>
                    <w:rPr>
                      <w:rFonts w:ascii="Cambria Math" w:hAnsi="Cambria Math" w:cs="Times New Roman"/>
                      <w:color w:val="0D0D0D"/>
                      <w:shd w:val="clear" w:color="auto" w:fill="FFFFFF"/>
                      <w:lang w:val="en-US"/>
                    </w:rPr>
                    <m:t>f</m:t>
                  </m:r>
                </m:e>
                <m:sub>
                  <m:r>
                    <w:rPr>
                      <w:rFonts w:ascii="Cambria Math" w:hAnsi="Cambria Math" w:cs="Times New Roman"/>
                      <w:color w:val="0D0D0D"/>
                      <w:shd w:val="clear" w:color="auto" w:fill="FFFFFF"/>
                      <w:lang w:val="en-US"/>
                    </w:rPr>
                    <m:t>X</m:t>
                  </m:r>
                </m:sub>
              </m:sSub>
              <m:d>
                <m:dPr>
                  <m:ctrlPr>
                    <w:rPr>
                      <w:rFonts w:ascii="Cambria Math" w:hAnsi="Cambria Math" w:cs="Times New Roman"/>
                      <w:i/>
                      <w:color w:val="0D0D0D"/>
                      <w:shd w:val="clear" w:color="auto" w:fill="FFFFFF"/>
                      <w:lang w:val="en-US"/>
                    </w:rPr>
                  </m:ctrlPr>
                </m:dPr>
                <m:e>
                  <m:r>
                    <w:rPr>
                      <w:rFonts w:ascii="Cambria Math" w:hAnsi="Cambria Math" w:cs="Times New Roman"/>
                      <w:color w:val="0D0D0D"/>
                      <w:shd w:val="clear" w:color="auto" w:fill="FFFFFF"/>
                      <w:lang w:val="en-US"/>
                    </w:rPr>
                    <m:t>x</m:t>
                  </m:r>
                </m:e>
                <m:e>
                  <m:r>
                    <w:rPr>
                      <w:rFonts w:ascii="Cambria Math" w:hAnsi="Cambria Math" w:cs="Times New Roman"/>
                      <w:color w:val="0D0D0D"/>
                      <w:shd w:val="clear" w:color="auto" w:fill="FFFFFF"/>
                      <w:lang w:val="en-US"/>
                    </w:rPr>
                    <m:t>m,κ</m:t>
                  </m:r>
                </m:e>
              </m:d>
              <m:r>
                <w:rPr>
                  <w:rFonts w:ascii="Cambria Math" w:hAnsi="Cambria Math" w:cs="Times New Roman"/>
                  <w:color w:val="0D0D0D"/>
                  <w:shd w:val="clear" w:color="auto" w:fill="FFFFFF"/>
                  <w:lang w:val="en-US"/>
                </w:rPr>
                <m:t>=</m:t>
              </m:r>
              <m:f>
                <m:fPr>
                  <m:ctrlPr>
                    <w:rPr>
                      <w:rFonts w:ascii="Cambria Math" w:hAnsi="Cambria Math" w:cs="Times New Roman"/>
                      <w:i/>
                      <w:color w:val="0D0D0D"/>
                      <w:shd w:val="clear" w:color="auto" w:fill="FFFFFF"/>
                      <w:lang w:val="en-US"/>
                    </w:rPr>
                  </m:ctrlPr>
                </m:fPr>
                <m:num>
                  <m:r>
                    <m:rPr>
                      <m:sty m:val="p"/>
                    </m:rPr>
                    <w:rPr>
                      <w:rFonts w:ascii="Cambria Math" w:hAnsi="Cambria Math" w:cs="Times New Roman"/>
                      <w:color w:val="0D0D0D"/>
                      <w:shd w:val="clear" w:color="auto" w:fill="FFFFFF"/>
                      <w:lang w:val="en-US"/>
                    </w:rPr>
                    <m:t>Γ</m:t>
                  </m:r>
                  <m:d>
                    <m:dPr>
                      <m:ctrlPr>
                        <w:rPr>
                          <w:rFonts w:ascii="Cambria Math" w:hAnsi="Cambria Math" w:cs="Times New Roman"/>
                          <w:i/>
                          <w:color w:val="0D0D0D"/>
                          <w:shd w:val="clear" w:color="auto" w:fill="FFFFFF"/>
                          <w:lang w:val="en-US"/>
                        </w:rPr>
                      </m:ctrlPr>
                    </m:dPr>
                    <m:e>
                      <m:r>
                        <w:rPr>
                          <w:rFonts w:ascii="Cambria Math" w:hAnsi="Cambria Math" w:cs="Times New Roman"/>
                          <w:color w:val="0D0D0D"/>
                          <w:shd w:val="clear" w:color="auto" w:fill="FFFFFF"/>
                          <w:lang w:val="en-US"/>
                        </w:rPr>
                        <m:t>κ+x</m:t>
                      </m:r>
                    </m:e>
                  </m:d>
                </m:num>
                <m:den>
                  <m:r>
                    <w:rPr>
                      <w:rFonts w:ascii="Cambria Math" w:hAnsi="Cambria Math" w:cs="Times New Roman"/>
                      <w:color w:val="0D0D0D"/>
                      <w:shd w:val="clear" w:color="auto" w:fill="FFFFFF"/>
                      <w:lang w:val="en-US"/>
                    </w:rPr>
                    <m:t>x!</m:t>
                  </m:r>
                  <m:r>
                    <m:rPr>
                      <m:sty m:val="p"/>
                    </m:rPr>
                    <w:rPr>
                      <w:rFonts w:ascii="Cambria Math" w:hAnsi="Cambria Math" w:cs="Times New Roman"/>
                      <w:color w:val="0D0D0D"/>
                      <w:shd w:val="clear" w:color="auto" w:fill="FFFFFF"/>
                      <w:lang w:val="en-US"/>
                    </w:rPr>
                    <m:t>Γ</m:t>
                  </m:r>
                  <m:d>
                    <m:dPr>
                      <m:ctrlPr>
                        <w:rPr>
                          <w:rFonts w:ascii="Cambria Math" w:hAnsi="Cambria Math" w:cs="Times New Roman"/>
                          <w:color w:val="0D0D0D"/>
                          <w:shd w:val="clear" w:color="auto" w:fill="FFFFFF"/>
                          <w:lang w:val="en-US"/>
                        </w:rPr>
                      </m:ctrlPr>
                    </m:dPr>
                    <m:e>
                      <m:r>
                        <m:rPr>
                          <m:sty m:val="p"/>
                        </m:rPr>
                        <w:rPr>
                          <w:rFonts w:ascii="Cambria Math" w:hAnsi="Cambria Math" w:cs="Times New Roman"/>
                          <w:color w:val="0D0D0D"/>
                          <w:shd w:val="clear" w:color="auto" w:fill="FFFFFF"/>
                          <w:lang w:val="en-US"/>
                        </w:rPr>
                        <m:t>κ</m:t>
                      </m:r>
                    </m:e>
                  </m:d>
                </m:den>
              </m:f>
              <m:sSup>
                <m:sSupPr>
                  <m:ctrlPr>
                    <w:rPr>
                      <w:rFonts w:ascii="Cambria Math" w:hAnsi="Cambria Math" w:cs="Times New Roman"/>
                      <w:i/>
                      <w:color w:val="0D0D0D"/>
                      <w:shd w:val="clear" w:color="auto" w:fill="FFFFFF"/>
                      <w:lang w:val="en-US"/>
                    </w:rPr>
                  </m:ctrlPr>
                </m:sSupPr>
                <m:e>
                  <m:d>
                    <m:dPr>
                      <m:ctrlPr>
                        <w:rPr>
                          <w:rFonts w:ascii="Cambria Math" w:hAnsi="Cambria Math" w:cs="Times New Roman"/>
                          <w:i/>
                          <w:color w:val="0D0D0D"/>
                          <w:shd w:val="clear" w:color="auto" w:fill="FFFFFF"/>
                          <w:lang w:val="en-US"/>
                        </w:rPr>
                      </m:ctrlPr>
                    </m:dPr>
                    <m:e>
                      <m:f>
                        <m:fPr>
                          <m:ctrlPr>
                            <w:rPr>
                              <w:rFonts w:ascii="Cambria Math" w:hAnsi="Cambria Math" w:cs="Times New Roman"/>
                              <w:i/>
                              <w:color w:val="0D0D0D"/>
                              <w:shd w:val="clear" w:color="auto" w:fill="FFFFFF"/>
                              <w:lang w:val="en-US"/>
                            </w:rPr>
                          </m:ctrlPr>
                        </m:fPr>
                        <m:num>
                          <m:r>
                            <w:rPr>
                              <w:rFonts w:ascii="Cambria Math" w:hAnsi="Cambria Math" w:cs="Times New Roman"/>
                              <w:color w:val="0D0D0D"/>
                              <w:shd w:val="clear" w:color="auto" w:fill="FFFFFF"/>
                              <w:lang w:val="en-US"/>
                            </w:rPr>
                            <m:t>κ</m:t>
                          </m:r>
                        </m:num>
                        <m:den>
                          <m:r>
                            <w:rPr>
                              <w:rFonts w:ascii="Cambria Math" w:hAnsi="Cambria Math" w:cs="Times New Roman"/>
                              <w:color w:val="0D0D0D"/>
                              <w:shd w:val="clear" w:color="auto" w:fill="FFFFFF"/>
                              <w:lang w:val="en-US"/>
                            </w:rPr>
                            <m:t>κ+m</m:t>
                          </m:r>
                        </m:den>
                      </m:f>
                    </m:e>
                  </m:d>
                </m:e>
                <m:sup>
                  <m:r>
                    <w:rPr>
                      <w:rFonts w:ascii="Cambria Math" w:hAnsi="Cambria Math" w:cs="Times New Roman"/>
                      <w:color w:val="0D0D0D"/>
                      <w:shd w:val="clear" w:color="auto" w:fill="FFFFFF"/>
                      <w:lang w:val="en-US"/>
                    </w:rPr>
                    <m:t>κ</m:t>
                  </m:r>
                </m:sup>
              </m:sSup>
              <m:sSup>
                <m:sSupPr>
                  <m:ctrlPr>
                    <w:rPr>
                      <w:rFonts w:ascii="Cambria Math" w:hAnsi="Cambria Math" w:cs="Times New Roman"/>
                      <w:i/>
                      <w:color w:val="0D0D0D"/>
                      <w:shd w:val="clear" w:color="auto" w:fill="FFFFFF"/>
                      <w:lang w:val="en-US"/>
                    </w:rPr>
                  </m:ctrlPr>
                </m:sSupPr>
                <m:e>
                  <m:d>
                    <m:dPr>
                      <m:ctrlPr>
                        <w:rPr>
                          <w:rFonts w:ascii="Cambria Math" w:hAnsi="Cambria Math" w:cs="Times New Roman"/>
                          <w:i/>
                          <w:color w:val="0D0D0D"/>
                          <w:shd w:val="clear" w:color="auto" w:fill="FFFFFF"/>
                          <w:lang w:val="en-US"/>
                        </w:rPr>
                      </m:ctrlPr>
                    </m:dPr>
                    <m:e>
                      <m:f>
                        <m:fPr>
                          <m:ctrlPr>
                            <w:rPr>
                              <w:rFonts w:ascii="Cambria Math" w:hAnsi="Cambria Math" w:cs="Times New Roman"/>
                              <w:i/>
                              <w:color w:val="0D0D0D"/>
                              <w:shd w:val="clear" w:color="auto" w:fill="FFFFFF"/>
                              <w:lang w:val="en-US"/>
                            </w:rPr>
                          </m:ctrlPr>
                        </m:fPr>
                        <m:num>
                          <m:r>
                            <w:rPr>
                              <w:rFonts w:ascii="Cambria Math" w:hAnsi="Cambria Math" w:cs="Times New Roman"/>
                              <w:color w:val="0D0D0D"/>
                              <w:shd w:val="clear" w:color="auto" w:fill="FFFFFF"/>
                              <w:lang w:val="en-US"/>
                            </w:rPr>
                            <m:t>m</m:t>
                          </m:r>
                        </m:num>
                        <m:den>
                          <m:r>
                            <w:rPr>
                              <w:rFonts w:ascii="Cambria Math" w:hAnsi="Cambria Math" w:cs="Times New Roman"/>
                              <w:color w:val="0D0D0D"/>
                              <w:shd w:val="clear" w:color="auto" w:fill="FFFFFF"/>
                              <w:lang w:val="en-US"/>
                            </w:rPr>
                            <m:t>κ+m</m:t>
                          </m:r>
                        </m:den>
                      </m:f>
                    </m:e>
                  </m:d>
                </m:e>
                <m:sup>
                  <m:r>
                    <w:rPr>
                      <w:rFonts w:ascii="Cambria Math" w:hAnsi="Cambria Math" w:cs="Times New Roman"/>
                      <w:color w:val="0D0D0D"/>
                      <w:shd w:val="clear" w:color="auto" w:fill="FFFFFF"/>
                      <w:lang w:val="en-US"/>
                    </w:rPr>
                    <m:t>x</m:t>
                  </m:r>
                </m:sup>
              </m:sSup>
              <m:r>
                <w:rPr>
                  <w:rFonts w:ascii="Cambria Math" w:hAnsi="Cambria Math" w:cs="Times New Roman"/>
                  <w:color w:val="0D0D0D"/>
                  <w:shd w:val="clear" w:color="auto" w:fill="FFFFFF"/>
                  <w:lang w:val="en-US"/>
                </w:rPr>
                <m:t>#</m:t>
              </m:r>
              <m:d>
                <m:dPr>
                  <m:ctrlPr>
                    <w:rPr>
                      <w:rFonts w:ascii="Cambria Math" w:hAnsi="Cambria Math" w:cs="Times New Roman"/>
                      <w:i/>
                      <w:color w:val="0D0D0D"/>
                      <w:shd w:val="clear" w:color="auto" w:fill="FFFFFF"/>
                      <w:lang w:val="en-US"/>
                    </w:rPr>
                  </m:ctrlPr>
                </m:dPr>
                <m:e>
                  <m:r>
                    <w:rPr>
                      <w:rFonts w:ascii="Cambria Math" w:hAnsi="Cambria Math" w:cs="Times New Roman"/>
                      <w:color w:val="0D0D0D"/>
                      <w:shd w:val="clear" w:color="auto" w:fill="FFFFFF"/>
                      <w:lang w:val="en-US"/>
                    </w:rPr>
                    <m:t>9</m:t>
                  </m:r>
                </m:e>
              </m:d>
            </m:e>
          </m:eqArr>
        </m:oMath>
      </m:oMathPara>
    </w:p>
    <w:p w14:paraId="12AA546C" w14:textId="77777777" w:rsidR="00C701BF" w:rsidRPr="007F3941" w:rsidRDefault="00C701BF" w:rsidP="00C701BF">
      <w:pPr>
        <w:jc w:val="both"/>
        <w:rPr>
          <w:rFonts w:ascii="Times New Roman" w:hAnsi="Times New Roman" w:cs="Times New Roman"/>
        </w:rPr>
      </w:pPr>
      <w:r w:rsidRPr="007F3941">
        <w:rPr>
          <w:rFonts w:ascii="Times New Roman" w:hAnsi="Times New Roman" w:cs="Times New Roman"/>
        </w:rPr>
        <w:t>where the shape parameter characterises the level of clustering or heterogeneity in the observation process, and</w:t>
      </w:r>
      <w:r>
        <w:rPr>
          <w:rFonts w:ascii="Times New Roman" w:hAnsi="Times New Roman" w:cs="Times New Roman"/>
        </w:rPr>
        <w:t xml:space="preserve"> </w:t>
      </w:r>
      <m:oMath>
        <m:r>
          <m:rPr>
            <m:sty m:val="p"/>
          </m:rPr>
          <w:rPr>
            <w:rFonts w:ascii="Cambria Math" w:hAnsi="Cambria Math" w:cs="Times New Roman"/>
            <w:color w:val="0D0D0D"/>
            <w:shd w:val="clear" w:color="auto" w:fill="FFFFFF"/>
            <w:lang w:val="en-US"/>
          </w:rPr>
          <m:t>Γ</m:t>
        </m:r>
        <m:d>
          <m:dPr>
            <m:ctrlPr>
              <w:rPr>
                <w:rFonts w:ascii="Cambria Math" w:hAnsi="Cambria Math" w:cs="Times New Roman"/>
                <w:color w:val="0D0D0D"/>
                <w:shd w:val="clear" w:color="auto" w:fill="FFFFFF"/>
                <w:lang w:val="en-US"/>
              </w:rPr>
            </m:ctrlPr>
          </m:dPr>
          <m:e>
            <m:r>
              <m:rPr>
                <m:sty m:val="p"/>
              </m:rPr>
              <w:rPr>
                <w:rFonts w:ascii="Cambria Math" w:hAnsi="Cambria Math" w:cs="Times New Roman"/>
                <w:color w:val="0D0D0D"/>
                <w:shd w:val="clear" w:color="auto" w:fill="FFFFFF"/>
                <w:lang w:val="en-US"/>
              </w:rPr>
              <m:t>∙</m:t>
            </m:r>
          </m:e>
        </m:d>
      </m:oMath>
      <w:r>
        <w:rPr>
          <w:rFonts w:ascii="Times New Roman" w:hAnsi="Times New Roman" w:cs="Times New Roman"/>
        </w:rPr>
        <w:t xml:space="preserve"> </w:t>
      </w:r>
      <w:r w:rsidRPr="007F3941">
        <w:rPr>
          <w:rFonts w:ascii="Times New Roman" w:hAnsi="Times New Roman" w:cs="Times New Roman"/>
        </w:rPr>
        <w:t xml:space="preserve">is the Gamma function. Under the </w:t>
      </w:r>
      <w:r>
        <w:rPr>
          <w:rFonts w:ascii="Times New Roman" w:hAnsi="Times New Roman" w:cs="Times New Roman"/>
        </w:rPr>
        <w:t>n</w:t>
      </w:r>
      <w:r w:rsidRPr="007F3941">
        <w:rPr>
          <w:rFonts w:ascii="Times New Roman" w:hAnsi="Times New Roman" w:cs="Times New Roman"/>
        </w:rPr>
        <w:t>egative</w:t>
      </w:r>
      <w:r>
        <w:rPr>
          <w:rFonts w:ascii="Times New Roman" w:hAnsi="Times New Roman" w:cs="Times New Roman"/>
        </w:rPr>
        <w:t xml:space="preserve"> b</w:t>
      </w:r>
      <w:r w:rsidRPr="007F3941">
        <w:rPr>
          <w:rFonts w:ascii="Times New Roman" w:hAnsi="Times New Roman" w:cs="Times New Roman"/>
        </w:rPr>
        <w:t>inomial distributio</w:t>
      </w:r>
      <w:r>
        <w:rPr>
          <w:rFonts w:ascii="Times New Roman" w:hAnsi="Times New Roman" w:cs="Times New Roman"/>
        </w:rPr>
        <w:t xml:space="preserve">n </w:t>
      </w:r>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num>
          <m:den>
            <m:r>
              <w:rPr>
                <w:rFonts w:ascii="Cambria Math" w:hAnsi="Cambria Math" w:cs="Times New Roman"/>
              </w:rPr>
              <m:t>k</m:t>
            </m:r>
          </m:den>
        </m:f>
      </m:oMath>
      <w:r w:rsidRPr="007F3941">
        <w:rPr>
          <w:rFonts w:ascii="Times New Roman" w:hAnsi="Times New Roman" w:cs="Times New Roman"/>
        </w:rPr>
        <w:t>.</w:t>
      </w:r>
    </w:p>
    <w:p w14:paraId="2B756F41" w14:textId="77777777" w:rsidR="00C701BF" w:rsidRPr="007F3941" w:rsidRDefault="00C701BF" w:rsidP="00C701BF">
      <w:pPr>
        <w:jc w:val="both"/>
        <w:rPr>
          <w:rFonts w:ascii="Times New Roman" w:hAnsi="Times New Roman" w:cs="Times New Roman"/>
        </w:rPr>
      </w:pPr>
      <w:r w:rsidRPr="007F3941">
        <w:rPr>
          <w:rFonts w:ascii="Times New Roman" w:hAnsi="Times New Roman" w:cs="Times New Roman"/>
        </w:rPr>
        <w:t xml:space="preserve">The likelihoods of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d>
          <m:dPr>
            <m:ctrlPr>
              <w:rPr>
                <w:rFonts w:ascii="Cambria Math" w:hAnsi="Cambria Math" w:cs="Times New Roman"/>
                <w:i/>
              </w:rPr>
            </m:ctrlPr>
          </m:dPr>
          <m:e>
            <m:r>
              <w:rPr>
                <w:rFonts w:ascii="Cambria Math" w:hAnsi="Cambria Math" w:cs="Times New Roman"/>
              </w:rPr>
              <m:t>t</m:t>
            </m:r>
          </m:e>
        </m:d>
      </m:oMath>
      <w:r w:rsidRPr="007F3941">
        <w:rPr>
          <w:rFonts w:ascii="Times New Roman" w:hAnsi="Times New Roman" w:cs="Times New Roman"/>
        </w:rPr>
        <w:t xml:space="preserve"> was:</w:t>
      </w:r>
    </w:p>
    <w:p w14:paraId="5339D70C" w14:textId="5980571D" w:rsidR="00C701BF" w:rsidRPr="007F3941" w:rsidRDefault="00C701BF" w:rsidP="00C701BF">
      <w:pPr>
        <w:jc w:val="both"/>
        <w:rPr>
          <w:rFonts w:ascii="Times New Roman" w:hAnsi="Times New Roman" w:cs="Times New Roman"/>
          <w:color w:val="0D0D0D"/>
          <w:shd w:val="clear" w:color="auto" w:fill="FFFFFF"/>
          <w:lang w:val="en-US"/>
        </w:rPr>
      </w:pPr>
      <m:oMathPara>
        <m:oMath>
          <m:eqArr>
            <m:eqArrPr>
              <m:maxDist m:val="1"/>
              <m:ctrlPr>
                <w:rPr>
                  <w:rFonts w:ascii="Cambria Math" w:hAnsi="Cambria Math" w:cs="Times New Roman"/>
                  <w:i/>
                  <w:color w:val="0D0D0D"/>
                  <w:shd w:val="clear" w:color="auto" w:fill="FFFFFF"/>
                  <w:lang w:val="en-US"/>
                </w:rPr>
              </m:ctrlPr>
            </m:eqArrPr>
            <m:e>
              <m:eqArr>
                <m:eqArrPr>
                  <m:maxDist m:val="1"/>
                  <m:ctrlPr>
                    <w:rPr>
                      <w:rFonts w:ascii="Cambria Math" w:hAnsi="Cambria Math" w:cs="Times New Roman"/>
                      <w:i/>
                      <w:color w:val="0D0D0D"/>
                      <w:shd w:val="clear" w:color="auto" w:fill="FFFFFF"/>
                      <w:lang w:val="en-US"/>
                    </w:rPr>
                  </m:ctrlPr>
                </m:eqArrPr>
                <m:e>
                  <m:sSub>
                    <m:sSubPr>
                      <m:ctrlPr>
                        <w:rPr>
                          <w:rFonts w:ascii="Cambria Math" w:hAnsi="Cambria Math" w:cs="Times New Roman"/>
                          <w:i/>
                          <w:color w:val="0D0D0D"/>
                          <w:shd w:val="clear" w:color="auto" w:fill="FFFFFF"/>
                          <w:lang w:val="en-US"/>
                        </w:rPr>
                      </m:ctrlPr>
                    </m:sSubPr>
                    <m:e>
                      <m:r>
                        <w:rPr>
                          <w:rFonts w:ascii="Cambria Math" w:hAnsi="Cambria Math" w:cs="Times New Roman"/>
                          <w:color w:val="0D0D0D"/>
                          <w:shd w:val="clear" w:color="auto" w:fill="FFFFFF"/>
                          <w:lang w:val="en-US"/>
                        </w:rPr>
                        <m:t>Z</m:t>
                      </m:r>
                    </m:e>
                    <m:sub>
                      <m:r>
                        <w:rPr>
                          <w:rFonts w:ascii="Cambria Math" w:hAnsi="Cambria Math" w:cs="Times New Roman"/>
                          <w:color w:val="0D0D0D"/>
                          <w:shd w:val="clear" w:color="auto" w:fill="FFFFFF"/>
                          <w:lang w:val="en-US"/>
                        </w:rPr>
                        <m:t>D</m:t>
                      </m:r>
                    </m:sub>
                  </m:sSub>
                  <m:d>
                    <m:dPr>
                      <m:ctrlPr>
                        <w:rPr>
                          <w:rFonts w:ascii="Cambria Math" w:hAnsi="Cambria Math" w:cs="Times New Roman"/>
                          <w:i/>
                          <w:color w:val="0D0D0D"/>
                          <w:shd w:val="clear" w:color="auto" w:fill="FFFFFF"/>
                          <w:lang w:val="en-US"/>
                        </w:rPr>
                      </m:ctrlPr>
                    </m:dPr>
                    <m:e>
                      <m:r>
                        <w:rPr>
                          <w:rFonts w:ascii="Cambria Math" w:hAnsi="Cambria Math" w:cs="Times New Roman"/>
                          <w:color w:val="0D0D0D"/>
                          <w:shd w:val="clear" w:color="auto" w:fill="FFFFFF"/>
                          <w:lang w:val="en-US"/>
                        </w:rPr>
                        <m:t>t</m:t>
                      </m:r>
                    </m:e>
                  </m:d>
                  <m:r>
                    <w:rPr>
                      <w:rFonts w:ascii="Cambria Math" w:hAnsi="Cambria Math" w:cs="Times New Roman"/>
                      <w:color w:val="0D0D0D"/>
                      <w:shd w:val="clear" w:color="auto" w:fill="FFFFFF"/>
                      <w:lang w:val="en-US"/>
                    </w:rPr>
                    <m:t>~Negbinom</m:t>
                  </m:r>
                  <m:d>
                    <m:dPr>
                      <m:ctrlPr>
                        <w:rPr>
                          <w:rFonts w:ascii="Cambria Math" w:hAnsi="Cambria Math" w:cs="Times New Roman"/>
                          <w:i/>
                          <w:color w:val="0D0D0D"/>
                          <w:shd w:val="clear" w:color="auto" w:fill="FFFFFF"/>
                          <w:lang w:val="en-US"/>
                        </w:rPr>
                      </m:ctrlPr>
                    </m:dPr>
                    <m:e>
                      <m:sSub>
                        <m:sSubPr>
                          <m:ctrlPr>
                            <w:rPr>
                              <w:rFonts w:ascii="Cambria Math" w:hAnsi="Cambria Math" w:cs="Times New Roman"/>
                              <w:i/>
                              <w:color w:val="0D0D0D"/>
                              <w:shd w:val="clear" w:color="auto" w:fill="FFFFFF"/>
                              <w:lang w:val="en-US"/>
                            </w:rPr>
                          </m:ctrlPr>
                        </m:sSubPr>
                        <m:e>
                          <m:r>
                            <w:rPr>
                              <w:rFonts w:ascii="Cambria Math" w:hAnsi="Cambria Math" w:cs="Times New Roman"/>
                              <w:color w:val="0D0D0D"/>
                              <w:shd w:val="clear" w:color="auto" w:fill="FFFFFF"/>
                              <w:lang w:val="en-US"/>
                            </w:rPr>
                            <m:t>Y</m:t>
                          </m:r>
                        </m:e>
                        <m:sub>
                          <m:r>
                            <w:rPr>
                              <w:rFonts w:ascii="Cambria Math" w:hAnsi="Cambria Math" w:cs="Times New Roman"/>
                              <w:color w:val="0D0D0D"/>
                              <w:shd w:val="clear" w:color="auto" w:fill="FFFFFF"/>
                              <w:lang w:val="en-US"/>
                            </w:rPr>
                            <m:t>D</m:t>
                          </m:r>
                        </m:sub>
                      </m:sSub>
                      <m:d>
                        <m:dPr>
                          <m:ctrlPr>
                            <w:rPr>
                              <w:rFonts w:ascii="Cambria Math" w:hAnsi="Cambria Math" w:cs="Times New Roman"/>
                              <w:i/>
                              <w:color w:val="0D0D0D"/>
                              <w:shd w:val="clear" w:color="auto" w:fill="FFFFFF"/>
                              <w:lang w:val="en-US"/>
                            </w:rPr>
                          </m:ctrlPr>
                        </m:dPr>
                        <m:e>
                          <m:r>
                            <w:rPr>
                              <w:rFonts w:ascii="Cambria Math" w:hAnsi="Cambria Math" w:cs="Times New Roman"/>
                              <w:color w:val="0D0D0D"/>
                              <w:shd w:val="clear" w:color="auto" w:fill="FFFFFF"/>
                              <w:lang w:val="en-US"/>
                            </w:rPr>
                            <m:t>t</m:t>
                          </m:r>
                        </m:e>
                      </m:d>
                      <m:r>
                        <w:rPr>
                          <w:rFonts w:ascii="Cambria Math" w:hAnsi="Cambria Math" w:cs="Times New Roman"/>
                          <w:color w:val="0D0D0D"/>
                          <w:shd w:val="clear" w:color="auto" w:fill="FFFFFF"/>
                          <w:lang w:val="en-US"/>
                        </w:rPr>
                        <m:t>,</m:t>
                      </m:r>
                      <m:sSub>
                        <m:sSubPr>
                          <m:ctrlPr>
                            <w:rPr>
                              <w:rFonts w:ascii="Cambria Math" w:hAnsi="Cambria Math" w:cs="Times New Roman"/>
                              <w:i/>
                              <w:color w:val="0D0D0D"/>
                              <w:shd w:val="clear" w:color="auto" w:fill="FFFFFF"/>
                              <w:lang w:val="en-US"/>
                            </w:rPr>
                          </m:ctrlPr>
                        </m:sSubPr>
                        <m:e>
                          <m:r>
                            <w:rPr>
                              <w:rFonts w:ascii="Cambria Math" w:hAnsi="Cambria Math" w:cs="Times New Roman"/>
                              <w:color w:val="0D0D0D"/>
                              <w:shd w:val="clear" w:color="auto" w:fill="FFFFFF"/>
                              <w:lang w:val="en-US"/>
                            </w:rPr>
                            <m:t>κ</m:t>
                          </m:r>
                        </m:e>
                        <m:sub>
                          <m:r>
                            <w:rPr>
                              <w:rFonts w:ascii="Cambria Math" w:hAnsi="Cambria Math" w:cs="Times New Roman"/>
                              <w:color w:val="0D0D0D"/>
                              <w:shd w:val="clear" w:color="auto" w:fill="FFFFFF"/>
                              <w:lang w:val="en-US"/>
                            </w:rPr>
                            <m:t>D</m:t>
                          </m:r>
                        </m:sub>
                      </m:sSub>
                    </m:e>
                  </m:d>
                  <m:r>
                    <w:rPr>
                      <w:rFonts w:ascii="Cambria Math" w:hAnsi="Cambria Math" w:cs="Times New Roman"/>
                      <w:color w:val="0D0D0D"/>
                      <w:shd w:val="clear" w:color="auto" w:fill="FFFFFF"/>
                      <w:lang w:val="en-US"/>
                    </w:rPr>
                    <m:t>#(</m:t>
                  </m:r>
                  <m:r>
                    <w:rPr>
                      <w:rFonts w:ascii="Cambria Math" w:hAnsi="Cambria Math" w:cs="Times New Roman"/>
                      <w:color w:val="0D0D0D"/>
                      <w:shd w:val="clear" w:color="auto" w:fill="FFFFFF"/>
                      <w:lang w:val="en-US"/>
                    </w:rPr>
                    <m:t>10</m:t>
                  </m:r>
                  <m:r>
                    <w:rPr>
                      <w:rFonts w:ascii="Cambria Math" w:hAnsi="Cambria Math" w:cs="Times New Roman"/>
                      <w:color w:val="0D0D0D"/>
                      <w:shd w:val="clear" w:color="auto" w:fill="FFFFFF"/>
                      <w:lang w:val="en-US"/>
                    </w:rPr>
                    <m:t>)</m:t>
                  </m:r>
                </m:e>
              </m:eqArr>
              <m:r>
                <w:rPr>
                  <w:rFonts w:ascii="Cambria Math" w:hAnsi="Cambria Math" w:cs="Times New Roman"/>
                  <w:color w:val="0D0D0D"/>
                  <w:shd w:val="clear" w:color="auto" w:fill="FFFFFF"/>
                  <w:lang w:val="en-US"/>
                </w:rPr>
                <m:t>#</m:t>
              </m:r>
            </m:e>
          </m:eqArr>
        </m:oMath>
      </m:oMathPara>
    </w:p>
    <w:p w14:paraId="6CFBB74E" w14:textId="42285AEB" w:rsidR="00C701BF" w:rsidRPr="007F3941" w:rsidRDefault="00C701BF" w:rsidP="00C701BF">
      <w:pPr>
        <w:jc w:val="both"/>
        <w:rPr>
          <w:rFonts w:ascii="Times New Roman" w:hAnsi="Times New Roman" w:cs="Times New Roman"/>
          <w:color w:val="0D0D0D"/>
          <w:shd w:val="clear" w:color="auto" w:fill="FFFFFF"/>
          <w:lang w:val="en-US"/>
        </w:rPr>
      </w:pPr>
      <w:r w:rsidRPr="007F3941">
        <w:rPr>
          <w:rFonts w:ascii="Times New Roman" w:hAnsi="Times New Roman" w:cs="Times New Roman"/>
          <w:color w:val="0D0D0D"/>
          <w:shd w:val="clear" w:color="auto" w:fill="FFFFFF"/>
          <w:lang w:val="en-US"/>
        </w:rPr>
        <w:t>where</w:t>
      </w:r>
      <w:r w:rsidRPr="007F3941">
        <w:rPr>
          <w:rFonts w:ascii="Times New Roman" w:hAnsi="Times New Roman" w:cs="Times New Roman"/>
          <w:color w:val="0D0D0D"/>
          <w:shd w:val="clear" w:color="auto" w:fill="FFFFFF"/>
          <w:lang w:val="en-US"/>
        </w:rPr>
        <w:br/>
      </w:r>
      <m:oMathPara>
        <m:oMath>
          <m:eqArr>
            <m:eqArrPr>
              <m:maxDist m:val="1"/>
              <m:ctrlPr>
                <w:rPr>
                  <w:rFonts w:ascii="Cambria Math" w:hAnsi="Cambria Math" w:cs="Times New Roman"/>
                  <w:i/>
                  <w:color w:val="0D0D0D"/>
                  <w:shd w:val="clear" w:color="auto" w:fill="FFFFFF"/>
                  <w:lang w:val="en-US"/>
                </w:rPr>
              </m:ctrlPr>
            </m:eqArrPr>
            <m:e>
              <m:sSub>
                <m:sSubPr>
                  <m:ctrlPr>
                    <w:rPr>
                      <w:rFonts w:ascii="Cambria Math" w:hAnsi="Cambria Math" w:cs="Times New Roman"/>
                      <w:i/>
                      <w:color w:val="0D0D0D"/>
                      <w:shd w:val="clear" w:color="auto" w:fill="FFFFFF"/>
                      <w:lang w:val="en-US"/>
                    </w:rPr>
                  </m:ctrlPr>
                </m:sSubPr>
                <m:e>
                  <m:r>
                    <w:rPr>
                      <w:rFonts w:ascii="Cambria Math" w:hAnsi="Cambria Math" w:cs="Times New Roman"/>
                      <w:color w:val="0D0D0D"/>
                      <w:shd w:val="clear" w:color="auto" w:fill="FFFFFF"/>
                      <w:lang w:val="en-US"/>
                    </w:rPr>
                    <m:t>Y</m:t>
                  </m:r>
                </m:e>
                <m:sub>
                  <m:r>
                    <w:rPr>
                      <w:rFonts w:ascii="Cambria Math" w:hAnsi="Cambria Math" w:cs="Times New Roman"/>
                      <w:color w:val="0D0D0D"/>
                      <w:shd w:val="clear" w:color="auto" w:fill="FFFFFF"/>
                      <w:lang w:val="en-US"/>
                    </w:rPr>
                    <m:t>D</m:t>
                  </m:r>
                </m:sub>
              </m:sSub>
              <m:d>
                <m:dPr>
                  <m:ctrlPr>
                    <w:rPr>
                      <w:rFonts w:ascii="Cambria Math" w:hAnsi="Cambria Math" w:cs="Times New Roman"/>
                      <w:i/>
                      <w:color w:val="0D0D0D"/>
                      <w:shd w:val="clear" w:color="auto" w:fill="FFFFFF"/>
                      <w:lang w:val="en-US"/>
                    </w:rPr>
                  </m:ctrlPr>
                </m:dPr>
                <m:e>
                  <m:r>
                    <w:rPr>
                      <w:rFonts w:ascii="Cambria Math" w:hAnsi="Cambria Math" w:cs="Times New Roman"/>
                      <w:color w:val="0D0D0D"/>
                      <w:shd w:val="clear" w:color="auto" w:fill="FFFFFF"/>
                      <w:lang w:val="en-US"/>
                    </w:rPr>
                    <m:t>t</m:t>
                  </m:r>
                </m:e>
              </m:d>
              <m:r>
                <w:rPr>
                  <w:rFonts w:ascii="Cambria Math" w:hAnsi="Cambria Math" w:cs="Times New Roman"/>
                  <w:color w:val="0D0D0D"/>
                  <w:shd w:val="clear" w:color="auto" w:fill="FFFFFF"/>
                  <w:lang w:val="en-US"/>
                </w:rPr>
                <m:t>=</m:t>
              </m:r>
              <m:nary>
                <m:naryPr>
                  <m:chr m:val="∑"/>
                  <m:limLoc m:val="undOvr"/>
                  <m:supHide m:val="1"/>
                  <m:ctrlPr>
                    <w:rPr>
                      <w:rFonts w:ascii="Cambria Math" w:hAnsi="Cambria Math" w:cs="Times New Roman"/>
                      <w:i/>
                      <w:color w:val="0D0D0D"/>
                      <w:shd w:val="clear" w:color="auto" w:fill="FFFFFF"/>
                      <w:lang w:val="en-US"/>
                    </w:rPr>
                  </m:ctrlPr>
                </m:naryPr>
                <m:sub>
                  <m:r>
                    <w:rPr>
                      <w:rFonts w:ascii="Cambria Math" w:hAnsi="Cambria Math" w:cs="Times New Roman"/>
                      <w:color w:val="0D0D0D"/>
                      <w:shd w:val="clear" w:color="auto" w:fill="FFFFFF"/>
                      <w:lang w:val="en-US"/>
                    </w:rPr>
                    <m:t>j∈</m:t>
                  </m:r>
                  <m:d>
                    <m:dPr>
                      <m:begChr m:val="{"/>
                      <m:endChr m:val="}"/>
                      <m:ctrlPr>
                        <w:rPr>
                          <w:rFonts w:ascii="Cambria Math" w:hAnsi="Cambria Math" w:cs="Times New Roman"/>
                          <w:i/>
                          <w:color w:val="0D0D0D"/>
                          <w:shd w:val="clear" w:color="auto" w:fill="FFFFFF"/>
                          <w:lang w:val="en-US"/>
                        </w:rPr>
                      </m:ctrlPr>
                    </m:dPr>
                    <m:e>
                      <m:r>
                        <w:rPr>
                          <w:rFonts w:ascii="Cambria Math" w:hAnsi="Cambria Math" w:cs="Times New Roman"/>
                          <w:color w:val="0D0D0D"/>
                          <w:shd w:val="clear" w:color="auto" w:fill="FFFFFF"/>
                          <w:lang w:val="en-US"/>
                        </w:rPr>
                        <m:t>L,H</m:t>
                      </m:r>
                    </m:e>
                  </m:d>
                </m:sub>
                <m:sup/>
                <m:e>
                  <m:d>
                    <m:dPr>
                      <m:ctrlPr>
                        <w:rPr>
                          <w:rFonts w:ascii="Cambria Math" w:hAnsi="Cambria Math" w:cs="Times New Roman"/>
                          <w:i/>
                          <w:color w:val="0D0D0D"/>
                          <w:shd w:val="clear" w:color="auto" w:fill="FFFFFF"/>
                          <w:lang w:val="en-US"/>
                        </w:rPr>
                      </m:ctrlPr>
                    </m:dPr>
                    <m:e>
                      <m:nary>
                        <m:naryPr>
                          <m:limLoc m:val="subSup"/>
                          <m:ctrlPr>
                            <w:rPr>
                              <w:rFonts w:ascii="Cambria Math" w:hAnsi="Cambria Math" w:cs="Times New Roman"/>
                              <w:i/>
                              <w:color w:val="0D0D0D"/>
                              <w:shd w:val="clear" w:color="auto" w:fill="FFFFFF"/>
                              <w:lang w:val="en-US"/>
                            </w:rPr>
                          </m:ctrlPr>
                        </m:naryPr>
                        <m:sub>
                          <m:r>
                            <w:rPr>
                              <w:rFonts w:ascii="Cambria Math" w:hAnsi="Cambria Math" w:cs="Times New Roman"/>
                              <w:color w:val="0D0D0D"/>
                              <w:shd w:val="clear" w:color="auto" w:fill="FFFFFF"/>
                              <w:lang w:val="en-US"/>
                            </w:rPr>
                            <m:t>t</m:t>
                          </m:r>
                        </m:sub>
                        <m:sup>
                          <m:r>
                            <w:rPr>
                              <w:rFonts w:ascii="Cambria Math" w:hAnsi="Cambria Math" w:cs="Times New Roman"/>
                              <w:color w:val="0D0D0D"/>
                              <w:shd w:val="clear" w:color="auto" w:fill="FFFFFF"/>
                              <w:lang w:val="en-US"/>
                            </w:rPr>
                            <m:t>t+1</m:t>
                          </m:r>
                        </m:sup>
                        <m:e>
                          <m:r>
                            <w:rPr>
                              <w:rFonts w:ascii="Cambria Math" w:hAnsi="Cambria Math" w:cs="Times New Roman"/>
                              <w:color w:val="0D0D0D"/>
                              <w:shd w:val="clear" w:color="auto" w:fill="FFFFFF"/>
                              <w:lang w:val="en-US"/>
                            </w:rPr>
                            <m:t>ρ</m:t>
                          </m:r>
                          <m:sSub>
                            <m:sSubPr>
                              <m:ctrlPr>
                                <w:rPr>
                                  <w:rFonts w:ascii="Cambria Math" w:hAnsi="Cambria Math" w:cs="Times New Roman"/>
                                  <w:i/>
                                  <w:color w:val="0D0D0D"/>
                                  <w:shd w:val="clear" w:color="auto" w:fill="FFFFFF"/>
                                  <w:lang w:val="en-US"/>
                                </w:rPr>
                              </m:ctrlPr>
                            </m:sSubPr>
                            <m:e>
                              <m:r>
                                <w:rPr>
                                  <w:rFonts w:ascii="Cambria Math" w:hAnsi="Cambria Math" w:cs="Times New Roman"/>
                                  <w:color w:val="0D0D0D"/>
                                  <w:shd w:val="clear" w:color="auto" w:fill="FFFFFF"/>
                                  <w:lang w:val="en-US"/>
                                </w:rPr>
                                <m:t>R</m:t>
                              </m:r>
                            </m:e>
                            <m:sub>
                              <m:r>
                                <w:rPr>
                                  <w:rFonts w:ascii="Cambria Math" w:hAnsi="Cambria Math" w:cs="Times New Roman"/>
                                  <w:color w:val="0D0D0D"/>
                                  <w:shd w:val="clear" w:color="auto" w:fill="FFFFFF"/>
                                  <w:lang w:val="en-US"/>
                                </w:rPr>
                                <m:t>j</m:t>
                              </m:r>
                            </m:sub>
                          </m:sSub>
                          <m:d>
                            <m:dPr>
                              <m:ctrlPr>
                                <w:rPr>
                                  <w:rFonts w:ascii="Cambria Math" w:hAnsi="Cambria Math" w:cs="Times New Roman"/>
                                  <w:i/>
                                  <w:color w:val="0D0D0D"/>
                                  <w:shd w:val="clear" w:color="auto" w:fill="FFFFFF"/>
                                  <w:lang w:val="en-US"/>
                                </w:rPr>
                              </m:ctrlPr>
                            </m:dPr>
                            <m:e>
                              <m:r>
                                <w:rPr>
                                  <w:rFonts w:ascii="Cambria Math" w:hAnsi="Cambria Math" w:cs="Times New Roman"/>
                                  <w:color w:val="0D0D0D"/>
                                  <w:shd w:val="clear" w:color="auto" w:fill="FFFFFF"/>
                                  <w:lang w:val="en-US"/>
                                </w:rPr>
                                <m:t>τ</m:t>
                              </m:r>
                            </m:e>
                          </m:d>
                          <m:r>
                            <w:rPr>
                              <w:rFonts w:ascii="Cambria Math" w:hAnsi="Cambria Math" w:cs="Times New Roman"/>
                              <w:color w:val="0D0D0D"/>
                              <w:shd w:val="clear" w:color="auto" w:fill="FFFFFF"/>
                              <w:lang w:val="en-US"/>
                            </w:rPr>
                            <m:t>dτ</m:t>
                          </m:r>
                        </m:e>
                      </m:nary>
                    </m:e>
                  </m:d>
                </m:e>
              </m:nary>
              <m:r>
                <w:rPr>
                  <w:rFonts w:ascii="Cambria Math" w:hAnsi="Cambria Math" w:cs="Times New Roman"/>
                  <w:color w:val="0D0D0D"/>
                  <w:shd w:val="clear" w:color="auto" w:fill="FFFFFF"/>
                  <w:lang w:val="en-US"/>
                </w:rPr>
                <m:t>#</m:t>
              </m:r>
              <m:d>
                <m:dPr>
                  <m:ctrlPr>
                    <w:rPr>
                      <w:rFonts w:ascii="Cambria Math" w:hAnsi="Cambria Math" w:cs="Times New Roman"/>
                      <w:i/>
                      <w:color w:val="0D0D0D"/>
                      <w:shd w:val="clear" w:color="auto" w:fill="FFFFFF"/>
                      <w:lang w:val="en-US"/>
                    </w:rPr>
                  </m:ctrlPr>
                </m:dPr>
                <m:e>
                  <m:r>
                    <w:rPr>
                      <w:rFonts w:ascii="Cambria Math" w:hAnsi="Cambria Math" w:cs="Times New Roman"/>
                      <w:color w:val="0D0D0D"/>
                      <w:shd w:val="clear" w:color="auto" w:fill="FFFFFF"/>
                      <w:lang w:val="en-US"/>
                    </w:rPr>
                    <m:t>11</m:t>
                  </m:r>
                </m:e>
              </m:d>
            </m:e>
          </m:eqArr>
        </m:oMath>
      </m:oMathPara>
    </w:p>
    <w:p w14:paraId="0FB42446" w14:textId="77777777" w:rsidR="00C701BF" w:rsidRPr="007F3941" w:rsidRDefault="00C701BF" w:rsidP="00C701BF">
      <w:pPr>
        <w:jc w:val="both"/>
        <w:rPr>
          <w:rFonts w:ascii="Times New Roman" w:hAnsi="Times New Roman" w:cs="Times New Roman"/>
          <w:color w:val="0D0D0D"/>
          <w:shd w:val="clear" w:color="auto" w:fill="FFFFFF"/>
          <w:lang w:val="en-US"/>
        </w:rPr>
      </w:pPr>
      <w:r w:rsidRPr="007F3941">
        <w:rPr>
          <w:rFonts w:ascii="Times New Roman" w:hAnsi="Times New Roman" w:cs="Times New Roman"/>
          <w:color w:val="0D0D0D"/>
          <w:shd w:val="clear" w:color="auto" w:fill="FFFFFF"/>
          <w:lang w:val="en-US"/>
        </w:rPr>
        <w:t xml:space="preserve">The likelihood of the observation given the modelled trajectories produced by parameter set </w:t>
      </w:r>
      <m:oMath>
        <m:r>
          <m:rPr>
            <m:sty m:val="p"/>
          </m:rPr>
          <w:rPr>
            <w:rFonts w:ascii="Cambria Math" w:hAnsi="Cambria Math" w:cs="Times New Roman"/>
            <w:color w:val="0D0D0D"/>
            <w:shd w:val="clear" w:color="auto" w:fill="FFFFFF"/>
            <w:lang w:val="en-US"/>
          </w:rPr>
          <m:t>Θ</m:t>
        </m:r>
      </m:oMath>
      <w:r w:rsidRPr="007F3941">
        <w:rPr>
          <w:rFonts w:ascii="Times New Roman" w:hAnsi="Times New Roman" w:cs="Times New Roman"/>
          <w:color w:val="0D0D0D"/>
          <w:shd w:val="clear" w:color="auto" w:fill="FFFFFF"/>
          <w:lang w:val="en-US"/>
        </w:rPr>
        <w:t xml:space="preserve"> was calculated as the product of the likelihoods of the data stream in each year t = 2004, …, 2018. </w:t>
      </w:r>
    </w:p>
    <w:p w14:paraId="0CE04B5A" w14:textId="2525976E" w:rsidR="00C701BF" w:rsidRPr="007F3941" w:rsidRDefault="00C701BF" w:rsidP="00C701BF">
      <w:pPr>
        <w:pStyle w:val="NormalWeb"/>
        <w:spacing w:line="276" w:lineRule="auto"/>
        <w:jc w:val="both"/>
        <w:rPr>
          <w:lang w:val="en-US"/>
        </w:rPr>
      </w:pPr>
      <m:oMathPara>
        <m:oMath>
          <m:eqArr>
            <m:eqArrPr>
              <m:maxDist m:val="1"/>
              <m:ctrlPr>
                <w:rPr>
                  <w:rFonts w:ascii="Cambria Math" w:hAnsi="Cambria Math"/>
                  <w:i/>
                  <w:color w:val="0D0D0D"/>
                  <w:shd w:val="clear" w:color="auto" w:fill="FFFFFF"/>
                  <w:lang w:val="en-US"/>
                </w:rPr>
              </m:ctrlPr>
            </m:eqArrPr>
            <m:e>
              <m:eqArr>
                <m:eqArrPr>
                  <m:maxDist m:val="1"/>
                  <m:ctrlPr>
                    <w:rPr>
                      <w:rFonts w:ascii="Cambria Math" w:hAnsi="Cambria Math"/>
                      <w:i/>
                      <w:color w:val="0D0D0D"/>
                      <w:shd w:val="clear" w:color="auto" w:fill="FFFFFF"/>
                      <w:lang w:val="en-US"/>
                    </w:rPr>
                  </m:ctrlPr>
                </m:eqArrPr>
                <m:e>
                  <m:r>
                    <w:rPr>
                      <w:rFonts w:ascii="Cambria Math" w:hAnsi="Cambria Math"/>
                      <w:color w:val="0D0D0D"/>
                      <w:shd w:val="clear" w:color="auto" w:fill="FFFFFF"/>
                      <w:lang w:val="en-US"/>
                    </w:rPr>
                    <m:t>L</m:t>
                  </m:r>
                  <m:d>
                    <m:dPr>
                      <m:ctrlPr>
                        <w:rPr>
                          <w:rFonts w:ascii="Cambria Math" w:hAnsi="Cambria Math"/>
                          <w:i/>
                          <w:color w:val="0D0D0D"/>
                          <w:shd w:val="clear" w:color="auto" w:fill="FFFFFF"/>
                          <w:lang w:val="en-US"/>
                        </w:rPr>
                      </m:ctrlPr>
                    </m:dPr>
                    <m:e>
                      <m:r>
                        <w:rPr>
                          <w:rFonts w:ascii="Cambria Math" w:hAnsi="Cambria Math"/>
                          <w:color w:val="0D0D0D"/>
                          <w:shd w:val="clear" w:color="auto" w:fill="FFFFFF"/>
                          <w:lang w:val="en-US"/>
                        </w:rPr>
                        <m:t>Z</m:t>
                      </m:r>
                    </m:e>
                    <m:e>
                      <m:r>
                        <m:rPr>
                          <m:sty m:val="p"/>
                        </m:rPr>
                        <w:rPr>
                          <w:rFonts w:ascii="Cambria Math" w:hAnsi="Cambria Math"/>
                          <w:color w:val="0D0D0D"/>
                          <w:shd w:val="clear" w:color="auto" w:fill="FFFFFF"/>
                          <w:lang w:val="en-US"/>
                        </w:rPr>
                        <m:t>Θ</m:t>
                      </m:r>
                    </m:e>
                  </m:d>
                  <m:r>
                    <w:rPr>
                      <w:rFonts w:ascii="Cambria Math" w:hAnsi="Cambria Math"/>
                      <w:color w:val="0D0D0D"/>
                      <w:shd w:val="clear" w:color="auto" w:fill="FFFFFF"/>
                      <w:lang w:val="en-US"/>
                    </w:rPr>
                    <m:t>=</m:t>
                  </m:r>
                  <m:nary>
                    <m:naryPr>
                      <m:chr m:val="∏"/>
                      <m:limLoc m:val="undOvr"/>
                      <m:ctrlPr>
                        <w:rPr>
                          <w:rFonts w:ascii="Cambria Math" w:hAnsi="Cambria Math"/>
                          <w:i/>
                          <w:color w:val="0D0D0D"/>
                          <w:shd w:val="clear" w:color="auto" w:fill="FFFFFF"/>
                          <w:lang w:val="en-US"/>
                        </w:rPr>
                      </m:ctrlPr>
                    </m:naryPr>
                    <m:sub>
                      <m:r>
                        <w:rPr>
                          <w:rFonts w:ascii="Cambria Math" w:hAnsi="Cambria Math"/>
                          <w:color w:val="0D0D0D"/>
                          <w:shd w:val="clear" w:color="auto" w:fill="FFFFFF"/>
                          <w:lang w:val="en-US"/>
                        </w:rPr>
                        <m:t>t=2004</m:t>
                      </m:r>
                    </m:sub>
                    <m:sup>
                      <m:r>
                        <w:rPr>
                          <w:rFonts w:ascii="Cambria Math" w:hAnsi="Cambria Math"/>
                          <w:color w:val="0D0D0D"/>
                          <w:shd w:val="clear" w:color="auto" w:fill="FFFFFF"/>
                          <w:lang w:val="en-US"/>
                        </w:rPr>
                        <m:t>2019</m:t>
                      </m:r>
                    </m:sup>
                    <m:e>
                      <m:sSub>
                        <m:sSubPr>
                          <m:ctrlPr>
                            <w:rPr>
                              <w:rFonts w:ascii="Cambria Math" w:hAnsi="Cambria Math"/>
                              <w:i/>
                              <w:color w:val="0D0D0D"/>
                              <w:shd w:val="clear" w:color="auto" w:fill="FFFFFF"/>
                              <w:lang w:val="en-US"/>
                            </w:rPr>
                          </m:ctrlPr>
                        </m:sSubPr>
                        <m:e>
                          <m:r>
                            <w:rPr>
                              <w:rFonts w:ascii="Cambria Math" w:hAnsi="Cambria Math"/>
                              <w:color w:val="0D0D0D"/>
                              <w:shd w:val="clear" w:color="auto" w:fill="FFFFFF"/>
                              <w:lang w:val="en-US"/>
                            </w:rPr>
                            <m:t>f</m:t>
                          </m:r>
                        </m:e>
                        <m:sub>
                          <m:r>
                            <w:rPr>
                              <w:rFonts w:ascii="Cambria Math" w:hAnsi="Cambria Math"/>
                              <w:color w:val="0D0D0D"/>
                              <w:shd w:val="clear" w:color="auto" w:fill="FFFFFF"/>
                              <w:lang w:val="en-US"/>
                            </w:rPr>
                            <m:t>D</m:t>
                          </m:r>
                        </m:sub>
                      </m:sSub>
                      <m:d>
                        <m:dPr>
                          <m:ctrlPr>
                            <w:rPr>
                              <w:rFonts w:ascii="Cambria Math" w:hAnsi="Cambria Math"/>
                              <w:i/>
                              <w:color w:val="0D0D0D"/>
                              <w:shd w:val="clear" w:color="auto" w:fill="FFFFFF"/>
                              <w:lang w:val="en-US"/>
                            </w:rPr>
                          </m:ctrlPr>
                        </m:dPr>
                        <m:e>
                          <m:sSub>
                            <m:sSubPr>
                              <m:ctrlPr>
                                <w:rPr>
                                  <w:rFonts w:ascii="Cambria Math" w:hAnsi="Cambria Math"/>
                                  <w:i/>
                                  <w:color w:val="0D0D0D"/>
                                  <w:shd w:val="clear" w:color="auto" w:fill="FFFFFF"/>
                                  <w:lang w:val="en-US"/>
                                </w:rPr>
                              </m:ctrlPr>
                            </m:sSubPr>
                            <m:e>
                              <m:r>
                                <w:rPr>
                                  <w:rFonts w:ascii="Cambria Math" w:hAnsi="Cambria Math"/>
                                  <w:color w:val="0D0D0D"/>
                                  <w:shd w:val="clear" w:color="auto" w:fill="FFFFFF"/>
                                  <w:lang w:val="en-US"/>
                                </w:rPr>
                                <m:t>Z</m:t>
                              </m:r>
                            </m:e>
                            <m:sub>
                              <m:r>
                                <w:rPr>
                                  <w:rFonts w:ascii="Cambria Math" w:hAnsi="Cambria Math"/>
                                  <w:color w:val="0D0D0D"/>
                                  <w:shd w:val="clear" w:color="auto" w:fill="FFFFFF"/>
                                  <w:lang w:val="en-US"/>
                                </w:rPr>
                                <m:t>D</m:t>
                              </m:r>
                            </m:sub>
                          </m:sSub>
                          <m:d>
                            <m:dPr>
                              <m:ctrlPr>
                                <w:rPr>
                                  <w:rFonts w:ascii="Cambria Math" w:hAnsi="Cambria Math"/>
                                  <w:i/>
                                  <w:color w:val="0D0D0D"/>
                                  <w:shd w:val="clear" w:color="auto" w:fill="FFFFFF"/>
                                  <w:lang w:val="en-US"/>
                                </w:rPr>
                              </m:ctrlPr>
                            </m:dPr>
                            <m:e>
                              <m:r>
                                <w:rPr>
                                  <w:rFonts w:ascii="Cambria Math" w:hAnsi="Cambria Math"/>
                                  <w:color w:val="0D0D0D"/>
                                  <w:shd w:val="clear" w:color="auto" w:fill="FFFFFF"/>
                                  <w:lang w:val="en-US"/>
                                </w:rPr>
                                <m:t>t</m:t>
                              </m:r>
                            </m:e>
                          </m:d>
                        </m:e>
                        <m:e>
                          <m:r>
                            <m:rPr>
                              <m:sty m:val="p"/>
                            </m:rPr>
                            <w:rPr>
                              <w:rFonts w:ascii="Cambria Math" w:hAnsi="Cambria Math"/>
                              <w:color w:val="0D0D0D"/>
                              <w:shd w:val="clear" w:color="auto" w:fill="FFFFFF"/>
                              <w:lang w:val="en-US"/>
                            </w:rPr>
                            <m:t>Θ</m:t>
                          </m:r>
                        </m:e>
                      </m:d>
                    </m:e>
                  </m:nary>
                  <m:r>
                    <w:rPr>
                      <w:rFonts w:ascii="Cambria Math" w:hAnsi="Cambria Math"/>
                      <w:color w:val="0D0D0D"/>
                      <w:shd w:val="clear" w:color="auto" w:fill="FFFFFF"/>
                      <w:lang w:val="en-US"/>
                    </w:rPr>
                    <m:t>#(</m:t>
                  </m:r>
                  <m:r>
                    <w:rPr>
                      <w:rFonts w:ascii="Cambria Math" w:hAnsi="Cambria Math"/>
                      <w:color w:val="0D0D0D"/>
                      <w:shd w:val="clear" w:color="auto" w:fill="FFFFFF"/>
                      <w:lang w:val="en-US"/>
                    </w:rPr>
                    <m:t>12</m:t>
                  </m:r>
                  <m:r>
                    <w:rPr>
                      <w:rFonts w:ascii="Cambria Math" w:hAnsi="Cambria Math"/>
                      <w:color w:val="0D0D0D"/>
                      <w:shd w:val="clear" w:color="auto" w:fill="FFFFFF"/>
                      <w:lang w:val="en-US"/>
                    </w:rPr>
                    <m:t>)</m:t>
                  </m:r>
                </m:e>
              </m:eqArr>
              <m:r>
                <w:rPr>
                  <w:rFonts w:ascii="Cambria Math" w:hAnsi="Cambria Math"/>
                  <w:color w:val="0D0D0D"/>
                  <w:shd w:val="clear" w:color="auto" w:fill="FFFFFF"/>
                  <w:lang w:val="en-US"/>
                </w:rPr>
                <m:t>##</m:t>
              </m:r>
            </m:e>
          </m:eqArr>
        </m:oMath>
      </m:oMathPara>
    </w:p>
    <w:p w14:paraId="670B3DB4" w14:textId="1D85C023" w:rsidR="00CA1AED" w:rsidRDefault="00CA1AED" w:rsidP="009169AC">
      <w:pPr>
        <w:pStyle w:val="NormalWeb"/>
        <w:spacing w:line="276" w:lineRule="auto"/>
        <w:jc w:val="both"/>
        <w:rPr>
          <w:rFonts w:eastAsiaTheme="minorEastAsia"/>
          <w:lang w:val="en-US"/>
        </w:rPr>
      </w:pPr>
      <w:r>
        <w:rPr>
          <w:rFonts w:eastAsiaTheme="minorEastAsia"/>
          <w:lang w:val="en-US"/>
        </w:rPr>
        <w:lastRenderedPageBreak/>
        <w:t>Model of doxy-PEP:</w:t>
      </w:r>
    </w:p>
    <w:p w14:paraId="026BF2A2" w14:textId="2A9B4541" w:rsidR="00AB4CF6" w:rsidRPr="00C93922" w:rsidRDefault="00610BC1" w:rsidP="00C90EB8">
      <w:pPr>
        <w:pStyle w:val="NormalWeb"/>
        <w:numPr>
          <w:ilvl w:val="0"/>
          <w:numId w:val="9"/>
        </w:numPr>
        <w:spacing w:line="276" w:lineRule="auto"/>
        <w:jc w:val="both"/>
        <w:rPr>
          <w:rFonts w:eastAsiaTheme="minorEastAsia"/>
          <w:lang w:val="en-US"/>
        </w:rPr>
      </w:pPr>
      <w:r w:rsidRPr="00610BC1">
        <w:rPr>
          <w:rFonts w:eastAsiaTheme="minorEastAsia"/>
          <w:lang w:val="en-US"/>
        </w:rPr>
        <w:t xml:space="preserve">For </w:t>
      </w:r>
      <w:r>
        <w:rPr>
          <w:rFonts w:eastAsiaTheme="minorEastAsia"/>
          <w:lang w:val="en-US"/>
        </w:rPr>
        <w:t>non-doxy-PEP (N):</w:t>
      </w:r>
      <w:r w:rsidR="0098410D">
        <w:rPr>
          <w:rFonts w:eastAsiaTheme="minorEastAsia"/>
          <w:lang w:val="en-US"/>
        </w:rPr>
        <w:t xml:space="preserve"> </w:t>
      </w:r>
    </w:p>
    <w:p w14:paraId="431230E1" w14:textId="49610572" w:rsidR="00A17E3A" w:rsidRPr="00F83CD3" w:rsidRDefault="00000000" w:rsidP="009169AC">
      <w:pPr>
        <w:pStyle w:val="NormalWeb"/>
        <w:spacing w:line="276" w:lineRule="auto"/>
        <w:jc w:val="both"/>
        <w:rPr>
          <w:rFonts w:eastAsiaTheme="minorEastAsia"/>
          <w:i/>
          <w:lang w:val="en-US"/>
        </w:rPr>
      </w:pPr>
      <m:oMathPara>
        <m:oMathParaPr>
          <m:jc m:val="left"/>
        </m:oMathParaPr>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N</m:t>
                      </m:r>
                    </m:sup>
                  </m:sSubSup>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r>
                <w:rPr>
                  <w:rFonts w:ascii="Cambria Math" w:hAnsi="Cambria Math"/>
                  <w:lang w:val="en-US"/>
                </w:rPr>
                <m:t>α</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DbE</m:t>
                      </m:r>
                    </m:sup>
                  </m:sSup>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j</m:t>
                      </m:r>
                    </m:sub>
                    <m:sup>
                      <m:r>
                        <w:rPr>
                          <w:rFonts w:ascii="Cambria Math" w:hAnsi="Cambria Math"/>
                          <w:lang w:val="en-US"/>
                        </w:rPr>
                        <m:t>DoS</m:t>
                      </m:r>
                    </m:sup>
                  </m:sSubSup>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m:t>
                      </m:r>
                    </m:den>
                  </m:f>
                  <m:r>
                    <w:rPr>
                      <w:rFonts w:ascii="Cambria Math" w:hAnsi="Cambria Math"/>
                      <w:lang w:val="en-US"/>
                    </w:rPr>
                    <m:t>+ι</m:t>
                  </m:r>
                </m:e>
              </m:d>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N</m:t>
                  </m:r>
                </m:sup>
              </m:sSubSup>
              <m:d>
                <m:dPr>
                  <m:ctrlPr>
                    <w:rPr>
                      <w:rFonts w:ascii="Cambria Math" w:hAnsi="Cambria Math"/>
                      <w:i/>
                      <w:lang w:val="en-US"/>
                    </w:rPr>
                  </m:ctrlPr>
                </m:dPr>
                <m:e>
                  <m:r>
                    <w:rPr>
                      <w:rFonts w:ascii="Cambria Math" w:hAnsi="Cambria Math"/>
                      <w:lang w:val="en-US"/>
                    </w:rPr>
                    <m:t>t</m:t>
                  </m:r>
                </m:e>
              </m:d>
              <m:ctrlPr>
                <w:rPr>
                  <w:rFonts w:ascii="Cambria Math" w:eastAsia="Cambria Math" w:hAnsi="Cambria Math" w:cs="Cambria Math"/>
                  <w:i/>
                  <w:lang w:val="en-US"/>
                </w:rPr>
              </m:ctrlPr>
            </m:e>
            <m:e>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DoD</m:t>
                      </m:r>
                    </m:sup>
                  </m:sSup>
                </m:e>
              </m:d>
              <m:r>
                <w:rPr>
                  <w:rFonts w:ascii="Cambria Math" w:hAnsi="Cambria Math"/>
                  <w:lang w:val="en-US"/>
                </w:rPr>
                <m:t>ρ</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N</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n</m:t>
                  </m:r>
                </m:sub>
              </m:sSub>
              <m:sSubSup>
                <m:sSubSupPr>
                  <m:ctrlPr>
                    <w:rPr>
                      <w:rFonts w:ascii="Cambria Math" w:hAnsi="Cambria Math"/>
                      <w:i/>
                      <w:lang w:val="en-US"/>
                    </w:rPr>
                  </m:ctrlPr>
                </m:sSubSupPr>
                <m:e>
                  <m:d>
                    <m:dPr>
                      <m:ctrlPr>
                        <w:rPr>
                          <w:rFonts w:ascii="Cambria Math" w:hAnsi="Cambria Math"/>
                          <w:i/>
                          <w:lang w:val="en-US"/>
                        </w:rPr>
                      </m:ctrlPr>
                    </m:dPr>
                    <m:e>
                      <m:r>
                        <w:rPr>
                          <w:rFonts w:ascii="Cambria Math" w:hAnsi="Cambria Math"/>
                          <w:lang w:val="en-US"/>
                        </w:rPr>
                        <m:t>t</m:t>
                      </m:r>
                    </m:e>
                  </m:d>
                  <m:r>
                    <w:rPr>
                      <w:rFonts w:ascii="Cambria Math" w:hAnsi="Cambria Math"/>
                      <w:lang w:val="en-US"/>
                    </w:rPr>
                    <m:t>U</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hAnsi="Cambria Math"/>
                      <w:lang w:val="en-US"/>
                    </w:rPr>
                    <m:t>3</m:t>
                  </m:r>
                </m:e>
              </m:d>
            </m:e>
          </m:eqArr>
          <m:r>
            <m:rPr>
              <m:sty m:val="p"/>
            </m:rPr>
            <w:rPr>
              <w:rFonts w:ascii="Cambria Math" w:hAnsi="Cambria Math"/>
              <w:lang w:val="en-US"/>
            </w:rPr>
            <w:br/>
          </m:r>
        </m:oMath>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j</m:t>
                      </m:r>
                    </m:sub>
                    <m:sup>
                      <m:r>
                        <w:rPr>
                          <w:rFonts w:ascii="Cambria Math" w:hAnsi="Cambria Math"/>
                          <w:lang w:val="en-US"/>
                        </w:rPr>
                        <m:t>N</m:t>
                      </m:r>
                    </m:sup>
                  </m:sSubSup>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N</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r>
                    <w:rPr>
                      <w:rFonts w:ascii="Cambria Math" w:hAnsi="Cambria Math"/>
                      <w:lang w:val="en-US"/>
                    </w:rPr>
                    <m:t>σ+</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m:t>
                      </m:r>
                    </m:den>
                  </m:f>
                  <m:r>
                    <w:rPr>
                      <w:rFonts w:ascii="Cambria Math" w:hAnsi="Cambria Math"/>
                      <w:lang w:val="en-US"/>
                    </w:rPr>
                    <m:t>+ι</m:t>
                  </m:r>
                </m:e>
              </m:d>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j</m:t>
                  </m:r>
                </m:sub>
                <m:sup>
                  <m:r>
                    <w:rPr>
                      <w:rFonts w:ascii="Cambria Math" w:hAnsi="Cambria Math"/>
                      <w:lang w:val="en-US"/>
                    </w:rPr>
                    <m:t>N</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n</m:t>
                  </m:r>
                </m:sub>
              </m:sSub>
              <m:sSubSup>
                <m:sSubSupPr>
                  <m:ctrlPr>
                    <w:rPr>
                      <w:rFonts w:ascii="Cambria Math" w:hAnsi="Cambria Math"/>
                      <w:i/>
                      <w:lang w:val="en-US"/>
                    </w:rPr>
                  </m:ctrlPr>
                </m:sSubSupPr>
                <m:e>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e>
          </m:eqArr>
          <m:r>
            <m:rPr>
              <m:sty m:val="p"/>
            </m:rPr>
            <w:rPr>
              <w:rFonts w:eastAsiaTheme="minorEastAsia"/>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=σ</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S</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+ι</m:t>
                  </m:r>
                </m:e>
              </m:d>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m:t>
                  </m:r>
                </m:e>
              </m:d>
            </m:e>
          </m:eqArr>
          <m:r>
            <m:rPr>
              <m:sty m:val="p"/>
            </m:rPr>
            <w:rPr>
              <w:rFonts w:eastAsiaTheme="minorEastAsia"/>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S</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E</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+ι</m:t>
                  </m:r>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eqArr>
          <m:r>
            <m:rPr>
              <m:sty m:val="p"/>
            </m:rPr>
            <w:rPr>
              <w:rFonts w:ascii="Cambria Math" w:eastAsiaTheme="minorEastAsia" w:hAnsi="Cambria Math"/>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E</m:t>
                  </m:r>
                </m:sub>
              </m:sSub>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L</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+ι</m:t>
                  </m:r>
                </m:e>
              </m:d>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17</m:t>
                  </m:r>
                </m:e>
              </m:d>
            </m:e>
          </m:eqArr>
          <m:r>
            <m:rPr>
              <m:sty m:val="p"/>
            </m:rPr>
            <w:rPr>
              <w:rFonts w:eastAsiaTheme="minorEastAsia"/>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L</m:t>
                  </m:r>
                </m:sub>
              </m:sSub>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+ι</m:t>
                  </m:r>
                </m:e>
              </m:d>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18</m:t>
                  </m:r>
                </m:e>
              </m:d>
            </m:e>
          </m:eqArr>
          <m:r>
            <m:rPr>
              <m:sty m:val="p"/>
            </m:rPr>
            <w:rPr>
              <w:rFonts w:eastAsiaTheme="minorEastAsia"/>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T</m:t>
                  </m:r>
                </m:sub>
              </m:sSub>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ν</m:t>
                      </m:r>
                    </m:sub>
                  </m:sSub>
                  <m:r>
                    <w:rPr>
                      <w:rFonts w:ascii="Cambria Math" w:eastAsiaTheme="minorEastAsia" w:hAnsi="Cambria Math"/>
                      <w:lang w:val="en-US"/>
                    </w:rPr>
                    <m:t>ν+</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+ι</m:t>
                  </m:r>
                </m:e>
              </m:d>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19</m:t>
                  </m:r>
                </m:e>
              </m:d>
            </m:e>
          </m:eqArr>
          <m:r>
            <m:rPr>
              <m:sty m:val="p"/>
            </m:rPr>
            <w:rPr>
              <w:rFonts w:eastAsiaTheme="minorEastAsia"/>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=μ</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+ι</m:t>
                  </m:r>
                </m:e>
              </m:d>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j</m:t>
                  </m:r>
                </m:sub>
                <m:sup>
                  <m:r>
                    <w:rPr>
                      <w:rFonts w:ascii="Cambria Math" w:eastAsiaTheme="minorEastAsia" w:hAnsi="Cambria Math"/>
                      <w:lang w:val="en-US"/>
                    </w:rPr>
                    <m:t>N</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20</m:t>
                  </m:r>
                </m:e>
              </m:d>
            </m:e>
          </m:eqArr>
        </m:oMath>
      </m:oMathPara>
    </w:p>
    <w:p w14:paraId="67A8925F" w14:textId="4B9FBDE1" w:rsidR="009169AC" w:rsidRDefault="009169AC" w:rsidP="00C90EB8">
      <w:pPr>
        <w:pStyle w:val="NormalWeb"/>
        <w:numPr>
          <w:ilvl w:val="0"/>
          <w:numId w:val="9"/>
        </w:numPr>
        <w:spacing w:line="276" w:lineRule="auto"/>
        <w:jc w:val="both"/>
        <w:rPr>
          <w:lang w:val="en-US"/>
        </w:rPr>
      </w:pPr>
      <w:r>
        <w:rPr>
          <w:lang w:val="en-US"/>
        </w:rPr>
        <w:t>For doxy-inconsistent (X):</w:t>
      </w:r>
    </w:p>
    <w:p w14:paraId="1BCC20B3" w14:textId="2A1ACD71" w:rsidR="004E3DB1" w:rsidRPr="000C09A0" w:rsidRDefault="00000000" w:rsidP="00A17E3A">
      <w:pPr>
        <w:pStyle w:val="NormalWeb"/>
        <w:spacing w:line="276" w:lineRule="auto"/>
        <w:jc w:val="both"/>
        <w:rPr>
          <w:i/>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d>
                <m:dPr>
                  <m:ctrlPr>
                    <w:rPr>
                      <w:rFonts w:ascii="Cambria Math" w:hAnsi="Cambria Math"/>
                      <w:i/>
                      <w:lang w:val="en-US"/>
                    </w:rPr>
                  </m:ctrlPr>
                </m:dPr>
                <m:e>
                  <m:r>
                    <w:rPr>
                      <w:rFonts w:ascii="Cambria Math" w:hAnsi="Cambria Math"/>
                      <w:lang w:val="en-US"/>
                    </w:rPr>
                    <m:t>1-δ</m:t>
                  </m:r>
                  <m:d>
                    <m:dPr>
                      <m:ctrlPr>
                        <w:rPr>
                          <w:rFonts w:ascii="Cambria Math" w:hAnsi="Cambria Math"/>
                          <w:i/>
                          <w:lang w:val="en-US"/>
                        </w:rPr>
                      </m:ctrlPr>
                    </m:dPr>
                    <m:e>
                      <m:r>
                        <w:rPr>
                          <w:rFonts w:ascii="Cambria Math" w:hAnsi="Cambria Math"/>
                          <w:lang w:val="en-US"/>
                        </w:rPr>
                        <m:t>t</m:t>
                      </m:r>
                    </m:e>
                  </m:d>
                </m:e>
              </m:d>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+ρ</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1-ζ</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m:t>
                          </m:r>
                        </m:sub>
                      </m:sSub>
                    </m:e>
                  </m:d>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+δ</m:t>
                  </m:r>
                  <m:d>
                    <m:dPr>
                      <m:ctrlPr>
                        <w:rPr>
                          <w:rFonts w:ascii="Cambria Math" w:hAnsi="Cambria Math"/>
                          <w:i/>
                          <w:lang w:val="en-US"/>
                        </w:rPr>
                      </m:ctrlPr>
                    </m:dPr>
                    <m:e>
                      <m:r>
                        <w:rPr>
                          <w:rFonts w:ascii="Cambria Math" w:hAnsi="Cambria Math"/>
                          <w:lang w:val="en-US"/>
                        </w:rPr>
                        <m:t>t</m:t>
                      </m:r>
                    </m:e>
                  </m:d>
                </m:e>
              </m:d>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e>
          </m:eqArr>
          <m:r>
            <m:rPr>
              <m:sty m:val="p"/>
            </m:rPr>
            <w:rPr>
              <w:rFonts w:ascii="Cambria Math" w:hAnsi="Cambria Math"/>
              <w:lang w:val="en-US"/>
            </w:rPr>
            <w:br/>
          </m:r>
        </m:oMath>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d>
                <m:dPr>
                  <m:ctrlPr>
                    <w:rPr>
                      <w:rFonts w:ascii="Cambria Math" w:hAnsi="Cambria Math"/>
                      <w:i/>
                      <w:lang w:val="en-US"/>
                    </w:rPr>
                  </m:ctrlPr>
                </m:dPr>
                <m:e>
                  <m:r>
                    <w:rPr>
                      <w:rFonts w:ascii="Cambria Math" w:hAnsi="Cambria Math"/>
                      <w:lang w:val="en-US"/>
                    </w:rPr>
                    <m:t>1-δ</m:t>
                  </m:r>
                  <m:d>
                    <m:dPr>
                      <m:ctrlPr>
                        <w:rPr>
                          <w:rFonts w:ascii="Cambria Math" w:hAnsi="Cambria Math"/>
                          <w:i/>
                          <w:lang w:val="en-US"/>
                        </w:rPr>
                      </m:ctrlPr>
                    </m:dPr>
                    <m:e>
                      <m:r>
                        <w:rPr>
                          <w:rFonts w:ascii="Cambria Math" w:hAnsi="Cambria Math"/>
                          <w:lang w:val="en-US"/>
                        </w:rPr>
                        <m:t>t</m:t>
                      </m:r>
                    </m:e>
                  </m:d>
                </m:e>
              </m:d>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j</m:t>
                  </m:r>
                </m:sub>
                <m:sup>
                  <m:r>
                    <w:rPr>
                      <w:rFonts w:ascii="Cambria Math" w:hAnsi="Cambria Math"/>
                      <w:lang w:val="en-US"/>
                    </w:rPr>
                    <m:t>D</m:t>
                  </m:r>
                </m:sup>
              </m:sSubSup>
              <m:r>
                <w:rPr>
                  <w:rFonts w:ascii="Cambria Math" w:hAnsi="Cambria Math"/>
                  <w:lang w:val="en-US"/>
                </w:rPr>
                <m:t>(t)+</m:t>
              </m:r>
              <m:d>
                <m:dPr>
                  <m:ctrlPr>
                    <w:rPr>
                      <w:rFonts w:ascii="Cambria Math" w:hAnsi="Cambria Math"/>
                      <w:i/>
                      <w:lang w:val="en-US"/>
                    </w:rPr>
                  </m:ctrlPr>
                </m:dPr>
                <m:e>
                  <m:r>
                    <w:rPr>
                      <w:rFonts w:ascii="Cambria Math" w:hAnsi="Cambria Math"/>
                      <w:lang w:val="en-US"/>
                    </w:rPr>
                    <m:t>1-ζ</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m:t>
                      </m:r>
                    </m:sub>
                  </m:sSub>
                </m:e>
              </m:d>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r>
                    <w:rPr>
                      <w:rFonts w:ascii="Cambria Math" w:hAnsi="Cambria Math"/>
                      <w:lang w:val="en-US"/>
                    </w:rPr>
                    <m:t>σ+</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+δ</m:t>
                  </m:r>
                  <m:d>
                    <m:dPr>
                      <m:ctrlPr>
                        <w:rPr>
                          <w:rFonts w:ascii="Cambria Math" w:hAnsi="Cambria Math"/>
                          <w:i/>
                          <w:lang w:val="en-US"/>
                        </w:rPr>
                      </m:ctrlPr>
                    </m:dPr>
                    <m:e>
                      <m:r>
                        <w:rPr>
                          <w:rFonts w:ascii="Cambria Math" w:hAnsi="Cambria Math"/>
                          <w:lang w:val="en-US"/>
                        </w:rPr>
                        <m:t>t</m:t>
                      </m:r>
                    </m:e>
                  </m:d>
                </m:e>
              </m:d>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e>
          </m:eqArr>
          <m:r>
            <m:rPr>
              <m:sty m:val="p"/>
            </m:rPr>
            <w:rPr>
              <w:rFonts w:ascii="Cambria Math" w:hAnsi="Cambria Math"/>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1-δ</m:t>
                  </m:r>
                  <m:d>
                    <m:dPr>
                      <m:ctrlPr>
                        <w:rPr>
                          <w:rFonts w:ascii="Cambria Math" w:hAnsi="Cambria Math"/>
                          <w:i/>
                          <w:lang w:val="en-US"/>
                        </w:rPr>
                      </m:ctrlPr>
                    </m:dPr>
                    <m:e>
                      <m:r>
                        <w:rPr>
                          <w:rFonts w:ascii="Cambria Math" w:hAnsi="Cambria Math"/>
                          <w:lang w:val="en-US"/>
                        </w:rPr>
                        <m:t>t</m:t>
                      </m:r>
                    </m:e>
                  </m:d>
                </m:e>
              </m:d>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j</m:t>
                  </m:r>
                </m:sub>
                <m:sup>
                  <m:r>
                    <w:rPr>
                      <w:rFonts w:ascii="Cambria Math" w:hAnsi="Cambria Math"/>
                      <w:lang w:val="en-US"/>
                    </w:rPr>
                    <m:t>D</m:t>
                  </m:r>
                </m:sup>
              </m:sSubSup>
              <m:r>
                <w:rPr>
                  <w:rFonts w:ascii="Cambria Math" w:hAnsi="Cambria Math"/>
                  <w:lang w:val="en-US"/>
                </w:rPr>
                <m:t>(t)+</m:t>
              </m:r>
              <m:r>
                <w:rPr>
                  <w:rFonts w:ascii="Cambria Math" w:eastAsiaTheme="minorEastAsia" w:hAnsi="Cambria Math"/>
                  <w:lang w:val="en-US"/>
                </w:rPr>
                <m:t>σ</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S</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+δ</m:t>
                  </m:r>
                  <m:d>
                    <m:dPr>
                      <m:ctrlPr>
                        <w:rPr>
                          <w:rFonts w:ascii="Cambria Math" w:hAnsi="Cambria Math"/>
                          <w:i/>
                          <w:lang w:val="en-US"/>
                        </w:rPr>
                      </m:ctrlPr>
                    </m:dPr>
                    <m:e>
                      <m:r>
                        <w:rPr>
                          <w:rFonts w:ascii="Cambria Math" w:hAnsi="Cambria Math"/>
                          <w:lang w:val="en-US"/>
                        </w:rPr>
                        <m:t>t</m:t>
                      </m:r>
                    </m:e>
                  </m:d>
                </m:e>
              </m:d>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23</m:t>
                  </m:r>
                </m:e>
              </m:d>
            </m:e>
          </m:eqArr>
          <m:r>
            <m:rPr>
              <m:sty m:val="p"/>
            </m:rPr>
            <w:rPr>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1-δ</m:t>
                  </m:r>
                  <m:d>
                    <m:dPr>
                      <m:ctrlPr>
                        <w:rPr>
                          <w:rFonts w:ascii="Cambria Math" w:hAnsi="Cambria Math"/>
                          <w:i/>
                          <w:lang w:val="en-US"/>
                        </w:rPr>
                      </m:ctrlPr>
                    </m:dPr>
                    <m:e>
                      <m:r>
                        <w:rPr>
                          <w:rFonts w:ascii="Cambria Math" w:hAnsi="Cambria Math"/>
                          <w:lang w:val="en-US"/>
                        </w:rPr>
                        <m:t>t</m:t>
                      </m:r>
                    </m:e>
                  </m:d>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j</m:t>
                  </m:r>
                </m:sub>
                <m:sup>
                  <m:r>
                    <w:rPr>
                      <w:rFonts w:ascii="Cambria Math" w:hAnsi="Cambria Math"/>
                      <w:lang w:val="en-US"/>
                    </w:rPr>
                    <m:t>D</m:t>
                  </m:r>
                </m:sup>
              </m:sSubSup>
              <m:r>
                <w:rPr>
                  <w:rFonts w:ascii="Cambria Math"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S</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E</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+δ</m:t>
                  </m:r>
                  <m:d>
                    <m:dPr>
                      <m:ctrlPr>
                        <w:rPr>
                          <w:rFonts w:ascii="Cambria Math" w:hAnsi="Cambria Math"/>
                          <w:i/>
                          <w:lang w:val="en-US"/>
                        </w:rPr>
                      </m:ctrlPr>
                    </m:dPr>
                    <m:e>
                      <m:r>
                        <w:rPr>
                          <w:rFonts w:ascii="Cambria Math" w:hAnsi="Cambria Math"/>
                          <w:lang w:val="en-US"/>
                        </w:rPr>
                        <m:t>t</m:t>
                      </m:r>
                    </m:e>
                  </m:d>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24</m:t>
                  </m:r>
                </m:e>
              </m:d>
            </m:e>
          </m:eqArr>
          <m:r>
            <m:rPr>
              <m:sty m:val="p"/>
            </m:rPr>
            <w:rPr>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1-δ</m:t>
                  </m:r>
                  <m:d>
                    <m:dPr>
                      <m:ctrlPr>
                        <w:rPr>
                          <w:rFonts w:ascii="Cambria Math" w:hAnsi="Cambria Math"/>
                          <w:i/>
                          <w:lang w:val="en-US"/>
                        </w:rPr>
                      </m:ctrlPr>
                    </m:dPr>
                    <m:e>
                      <m:r>
                        <w:rPr>
                          <w:rFonts w:ascii="Cambria Math" w:hAnsi="Cambria Math"/>
                          <w:lang w:val="en-US"/>
                        </w:rPr>
                        <m:t>t</m:t>
                      </m:r>
                    </m:e>
                  </m:d>
                </m:e>
              </m:d>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D</m:t>
                  </m:r>
                </m:sup>
              </m:sSubSup>
              <m:r>
                <w:rPr>
                  <w:rFonts w:ascii="Cambria Math"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E</m:t>
                  </m:r>
                </m:sub>
              </m:sSub>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L</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+δ</m:t>
                  </m:r>
                  <m:d>
                    <m:dPr>
                      <m:ctrlPr>
                        <w:rPr>
                          <w:rFonts w:ascii="Cambria Math" w:hAnsi="Cambria Math"/>
                          <w:i/>
                          <w:lang w:val="en-US"/>
                        </w:rPr>
                      </m:ctrlPr>
                    </m:dPr>
                    <m:e>
                      <m:r>
                        <w:rPr>
                          <w:rFonts w:ascii="Cambria Math" w:hAnsi="Cambria Math"/>
                          <w:lang w:val="en-US"/>
                        </w:rPr>
                        <m:t>t</m:t>
                      </m:r>
                    </m:e>
                  </m:d>
                </m:e>
              </m:d>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25</m:t>
                  </m:r>
                </m:e>
              </m:d>
            </m:e>
          </m:eqArr>
          <m:r>
            <m:rPr>
              <m:sty m:val="p"/>
            </m:rPr>
            <w:rPr>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1-δ</m:t>
                  </m:r>
                  <m:d>
                    <m:dPr>
                      <m:ctrlPr>
                        <w:rPr>
                          <w:rFonts w:ascii="Cambria Math" w:hAnsi="Cambria Math"/>
                          <w:i/>
                          <w:lang w:val="en-US"/>
                        </w:rPr>
                      </m:ctrlPr>
                    </m:dPr>
                    <m:e>
                      <m:r>
                        <w:rPr>
                          <w:rFonts w:ascii="Cambria Math" w:hAnsi="Cambria Math"/>
                          <w:lang w:val="en-US"/>
                        </w:rPr>
                        <m:t>t</m:t>
                      </m:r>
                    </m:e>
                  </m:d>
                </m:e>
              </m:d>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j</m:t>
                  </m:r>
                </m:sub>
                <m:sup>
                  <m:r>
                    <w:rPr>
                      <w:rFonts w:ascii="Cambria Math" w:hAnsi="Cambria Math"/>
                      <w:lang w:val="en-US"/>
                    </w:rPr>
                    <m:t>D</m:t>
                  </m:r>
                </m:sup>
              </m:sSubSup>
              <m:r>
                <w:rPr>
                  <w:rFonts w:ascii="Cambria Math"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L</m:t>
                  </m:r>
                </m:sub>
              </m:sSub>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+δ</m:t>
                  </m:r>
                  <m:d>
                    <m:dPr>
                      <m:ctrlPr>
                        <w:rPr>
                          <w:rFonts w:ascii="Cambria Math" w:hAnsi="Cambria Math"/>
                          <w:i/>
                          <w:lang w:val="en-US"/>
                        </w:rPr>
                      </m:ctrlPr>
                    </m:dPr>
                    <m:e>
                      <m:r>
                        <w:rPr>
                          <w:rFonts w:ascii="Cambria Math" w:hAnsi="Cambria Math"/>
                          <w:lang w:val="en-US"/>
                        </w:rPr>
                        <m:t>t</m:t>
                      </m:r>
                    </m:e>
                  </m:d>
                </m:e>
              </m:d>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26</m:t>
                  </m:r>
                </m:e>
              </m:d>
            </m:e>
          </m:eqArr>
          <m:r>
            <m:rPr>
              <m:sty m:val="p"/>
            </m:rPr>
            <w:rPr>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1-δ</m:t>
                  </m:r>
                  <m:d>
                    <m:dPr>
                      <m:ctrlPr>
                        <w:rPr>
                          <w:rFonts w:ascii="Cambria Math" w:hAnsi="Cambria Math"/>
                          <w:i/>
                          <w:lang w:val="en-US"/>
                        </w:rPr>
                      </m:ctrlPr>
                    </m:dPr>
                    <m:e>
                      <m:r>
                        <w:rPr>
                          <w:rFonts w:ascii="Cambria Math" w:hAnsi="Cambria Math"/>
                          <w:lang w:val="en-US"/>
                        </w:rPr>
                        <m:t>t</m:t>
                      </m:r>
                    </m:e>
                  </m:d>
                </m:e>
              </m:d>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D</m:t>
                  </m:r>
                </m:sup>
              </m:sSubSup>
              <m:r>
                <w:rPr>
                  <w:rFonts w:ascii="Cambria Math"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T</m:t>
                  </m:r>
                </m:sub>
              </m:sSub>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ν</m:t>
                      </m:r>
                    </m:sub>
                  </m:sSub>
                  <m:r>
                    <w:rPr>
                      <w:rFonts w:ascii="Cambria Math" w:eastAsiaTheme="minorEastAsia" w:hAnsi="Cambria Math"/>
                      <w:lang w:val="en-US"/>
                    </w:rPr>
                    <m:t>ν+</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+δ</m:t>
                  </m:r>
                  <m:d>
                    <m:dPr>
                      <m:ctrlPr>
                        <w:rPr>
                          <w:rFonts w:ascii="Cambria Math" w:hAnsi="Cambria Math"/>
                          <w:i/>
                          <w:lang w:val="en-US"/>
                        </w:rPr>
                      </m:ctrlPr>
                    </m:dPr>
                    <m:e>
                      <m:r>
                        <w:rPr>
                          <w:rFonts w:ascii="Cambria Math" w:hAnsi="Cambria Math"/>
                          <w:lang w:val="en-US"/>
                        </w:rPr>
                        <m:t>t</m:t>
                      </m:r>
                    </m:e>
                  </m:d>
                </m:e>
              </m:d>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27</m:t>
                  </m:r>
                </m:e>
              </m:d>
            </m:e>
          </m:eqArr>
          <m:r>
            <m:rPr>
              <m:sty m:val="p"/>
            </m:rPr>
            <w:rPr>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1-δ</m:t>
                  </m:r>
                  <m:d>
                    <m:dPr>
                      <m:ctrlPr>
                        <w:rPr>
                          <w:rFonts w:ascii="Cambria Math" w:hAnsi="Cambria Math"/>
                          <w:i/>
                          <w:lang w:val="en-US"/>
                        </w:rPr>
                      </m:ctrlPr>
                    </m:dPr>
                    <m:e>
                      <m:r>
                        <w:rPr>
                          <w:rFonts w:ascii="Cambria Math" w:hAnsi="Cambria Math"/>
                          <w:lang w:val="en-US"/>
                        </w:rPr>
                        <m:t>t</m:t>
                      </m:r>
                    </m:e>
                  </m:d>
                </m:e>
              </m:d>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D</m:t>
                  </m:r>
                </m:sup>
              </m:sSubSup>
              <m:r>
                <w:rPr>
                  <w:rFonts w:ascii="Cambria Math" w:hAnsi="Cambria Math"/>
                  <w:lang w:val="en-US"/>
                </w:rPr>
                <m:t>(t)+</m:t>
              </m:r>
              <m:r>
                <w:rPr>
                  <w:rFonts w:ascii="Cambria Math" w:eastAsiaTheme="minorEastAsia" w:hAnsi="Cambria Math"/>
                  <w:lang w:val="en-US"/>
                </w:rPr>
                <m:t>μ</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+δ</m:t>
                  </m:r>
                  <m:d>
                    <m:dPr>
                      <m:ctrlPr>
                        <w:rPr>
                          <w:rFonts w:ascii="Cambria Math" w:hAnsi="Cambria Math"/>
                          <w:i/>
                          <w:lang w:val="en-US"/>
                        </w:rPr>
                      </m:ctrlPr>
                    </m:dPr>
                    <m:e>
                      <m:r>
                        <w:rPr>
                          <w:rFonts w:ascii="Cambria Math" w:hAnsi="Cambria Math"/>
                          <w:lang w:val="en-US"/>
                        </w:rPr>
                        <m:t>t</m:t>
                      </m:r>
                    </m:e>
                  </m:d>
                </m:e>
              </m:d>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j</m:t>
                  </m:r>
                </m:sub>
                <m:sup>
                  <m:r>
                    <w:rPr>
                      <w:rFonts w:ascii="Cambria Math" w:eastAsiaTheme="minorEastAsia" w:hAnsi="Cambria Math"/>
                      <w:lang w:val="en-US"/>
                    </w:rPr>
                    <m:t>X</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28</m:t>
                  </m:r>
                </m:e>
              </m:d>
            </m:e>
          </m:eqArr>
        </m:oMath>
      </m:oMathPara>
    </w:p>
    <w:p w14:paraId="2B87E9F0" w14:textId="13DE9655" w:rsidR="002D4C14" w:rsidRDefault="001230B7" w:rsidP="00C90EB8">
      <w:pPr>
        <w:pStyle w:val="NormalWeb"/>
        <w:numPr>
          <w:ilvl w:val="0"/>
          <w:numId w:val="9"/>
        </w:numPr>
        <w:spacing w:line="276" w:lineRule="auto"/>
        <w:jc w:val="both"/>
        <w:rPr>
          <w:lang w:val="en-US"/>
        </w:rPr>
      </w:pPr>
      <w:r>
        <w:rPr>
          <w:lang w:val="en-US"/>
        </w:rPr>
        <w:t>For doxy-PEP (D):</w:t>
      </w:r>
    </w:p>
    <w:p w14:paraId="0FB7E83F" w14:textId="61483886" w:rsidR="00353655" w:rsidRPr="000C09A0" w:rsidRDefault="00000000" w:rsidP="002F597B">
      <w:pPr>
        <w:pStyle w:val="NormalWeb"/>
        <w:spacing w:line="276" w:lineRule="auto"/>
        <w:rPr>
          <w:i/>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r>
                <w:rPr>
                  <w:rFonts w:ascii="Cambria Math" w:hAnsi="Cambria Math"/>
                  <w:lang w:val="en-US"/>
                </w:rPr>
                <m:t>α</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DbE</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j</m:t>
                  </m:r>
                </m:sub>
                <m:sup>
                  <m:r>
                    <w:rPr>
                      <w:rFonts w:ascii="Cambria Math" w:hAnsi="Cambria Math"/>
                      <w:lang w:val="en-US"/>
                    </w:rPr>
                    <m:t>DoS</m:t>
                  </m:r>
                </m:sup>
              </m:sSubSup>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+ι)</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N</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DoD</m:t>
                  </m:r>
                </m:sup>
              </m:sSup>
              <m:r>
                <w:rPr>
                  <w:rFonts w:ascii="Cambria Math" w:hAnsi="Cambria Math"/>
                  <w:lang w:val="en-US"/>
                </w:rPr>
                <m:t>ρ</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N</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+δ</m:t>
              </m:r>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r>
                    <w:rPr>
                      <w:rFonts w:ascii="Cambria Math" w:hAnsi="Cambria Math"/>
                      <w:lang w:val="en-US"/>
                    </w:rPr>
                    <m:t>t</m:t>
                  </m:r>
                </m:e>
              </m:d>
              <m:ctrlPr>
                <w:rPr>
                  <w:rFonts w:ascii="Cambria Math" w:eastAsia="Cambria Math" w:hAnsi="Cambria Math" w:cs="Cambria Math"/>
                  <w:i/>
                  <w:lang w:val="en-US"/>
                </w:rPr>
              </m:ctrlPr>
            </m:e>
            <m:e>
              <m:r>
                <w:rPr>
                  <w:rFonts w:ascii="Cambria Math" w:hAnsi="Cambria Math"/>
                  <w:lang w:val="en-US"/>
                </w:rPr>
                <m:t>+ ρ</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m:t>
                          </m:r>
                        </m:sub>
                      </m:sSub>
                    </m:e>
                  </m:d>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m:t>
                      </m:r>
                    </m:den>
                  </m:f>
                  <m:r>
                    <w:rPr>
                      <w:rFonts w:ascii="Cambria Math" w:hAnsi="Cambria Math"/>
                      <w:lang w:val="en-US"/>
                    </w:rPr>
                    <m:t>+</m:t>
                  </m:r>
                  <m:d>
                    <m:dPr>
                      <m:ctrlPr>
                        <w:rPr>
                          <w:rFonts w:ascii="Cambria Math" w:hAnsi="Cambria Math"/>
                          <w:i/>
                          <w:lang w:val="en-US"/>
                        </w:rPr>
                      </m:ctrlPr>
                    </m:dPr>
                    <m:e>
                      <m:r>
                        <w:rPr>
                          <w:rFonts w:ascii="Cambria Math" w:hAnsi="Cambria Math"/>
                          <w:lang w:val="en-US"/>
                        </w:rPr>
                        <m:t>1-δ</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m</m:t>
                      </m:r>
                    </m:sub>
                  </m:sSub>
                </m:e>
              </m:d>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r>
                    <w:rPr>
                      <w:rFonts w:ascii="Cambria Math" w:hAnsi="Cambria Math"/>
                      <w:lang w:val="en-US"/>
                    </w:rPr>
                    <m:t>29</m:t>
                  </m:r>
                </m:e>
              </m:d>
            </m:e>
          </m:eqArr>
          <m:r>
            <m:rPr>
              <m:sty m:val="p"/>
            </m:rPr>
            <w:rPr>
              <w:rFonts w:ascii="Cambria Math" w:hAnsi="Cambria Math"/>
              <w:lang w:val="en-US"/>
            </w:rPr>
            <w:br/>
          </m:r>
        </m:oMath>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j</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m:t>
                      </m:r>
                    </m:sub>
                  </m:sSub>
                </m:e>
              </m:d>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+δ</m:t>
              </m:r>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ιI</m:t>
                  </m:r>
                </m:e>
                <m:sub>
                  <m:r>
                    <w:rPr>
                      <w:rFonts w:ascii="Cambria Math" w:hAnsi="Cambria Math"/>
                      <w:lang w:val="en-US"/>
                    </w:rPr>
                    <m:t>j</m:t>
                  </m:r>
                </m:sub>
                <m:sup>
                  <m:r>
                    <w:rPr>
                      <w:rFonts w:ascii="Cambria Math" w:hAnsi="Cambria Math"/>
                      <w:lang w:val="en-US"/>
                    </w:rPr>
                    <m:t>N</m:t>
                  </m:r>
                </m:sup>
              </m:sSubSup>
              <m:d>
                <m:dPr>
                  <m:ctrlPr>
                    <w:rPr>
                      <w:rFonts w:ascii="Cambria Math" w:hAnsi="Cambria Math"/>
                      <w:i/>
                      <w:lang w:val="en-US"/>
                    </w:rPr>
                  </m:ctrlPr>
                </m:dPr>
                <m:e>
                  <m:r>
                    <w:rPr>
                      <w:rFonts w:ascii="Cambria Math" w:hAnsi="Cambria Math"/>
                      <w:lang w:val="en-US"/>
                    </w:rPr>
                    <m:t>t</m:t>
                  </m:r>
                </m:e>
              </m:d>
              <m:ctrlPr>
                <w:rPr>
                  <w:rFonts w:ascii="Cambria Math" w:eastAsia="Cambria Math" w:hAnsi="Cambria Math" w:cs="Cambria Math"/>
                  <w:i/>
                  <w:lang w:val="en-US"/>
                </w:rPr>
              </m:ctrlPr>
            </m:e>
            <m:e>
              <m:r>
                <w:rPr>
                  <w:rFonts w:ascii="Cambria Math" w:hAnsi="Cambria Math"/>
                  <w:lang w:val="en-US"/>
                </w:rPr>
                <m:t>-</m:t>
              </m:r>
              <m:d>
                <m:dPr>
                  <m:ctrlPr>
                    <w:rPr>
                      <w:rFonts w:ascii="Cambria Math" w:hAnsi="Cambria Math"/>
                      <w:i/>
                      <w:lang w:val="en-US"/>
                    </w:rPr>
                  </m:ctrlPr>
                </m:dPr>
                <m:e>
                  <m:r>
                    <w:rPr>
                      <w:rFonts w:ascii="Cambria Math" w:hAnsi="Cambria Math"/>
                      <w:lang w:val="en-US"/>
                    </w:rPr>
                    <m:t>σ+</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m:t>
                      </m:r>
                    </m:den>
                  </m:f>
                  <m:r>
                    <w:rPr>
                      <w:rFonts w:ascii="Cambria Math" w:hAnsi="Cambria Math"/>
                      <w:lang w:val="en-US"/>
                    </w:rPr>
                    <m:t>+</m:t>
                  </m:r>
                  <m:d>
                    <m:dPr>
                      <m:ctrlPr>
                        <w:rPr>
                          <w:rFonts w:ascii="Cambria Math" w:hAnsi="Cambria Math"/>
                          <w:i/>
                          <w:lang w:val="en-US"/>
                        </w:rPr>
                      </m:ctrlPr>
                    </m:dPr>
                    <m:e>
                      <m:r>
                        <w:rPr>
                          <w:rFonts w:ascii="Cambria Math" w:hAnsi="Cambria Math"/>
                          <w:lang w:val="en-US"/>
                        </w:rPr>
                        <m:t>1-δ</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m</m:t>
                      </m:r>
                    </m:sub>
                  </m:sSub>
                </m:e>
              </m:d>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j</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r>
                    <w:rPr>
                      <w:rFonts w:ascii="Cambria Math" w:hAnsi="Cambria Math"/>
                      <w:lang w:val="en-US"/>
                    </w:rPr>
                    <m:t>30</m:t>
                  </m:r>
                </m:e>
              </m:d>
            </m:e>
          </m:eqArr>
          <m:r>
            <m:rPr>
              <m:sty m:val="p"/>
            </m:rPr>
            <w:rPr>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r>
                <w:rPr>
                  <w:rFonts w:ascii="Cambria Math" w:hAnsi="Cambria Math"/>
                  <w:lang w:val="en-US"/>
                </w:rPr>
                <m:t>δ</m:t>
              </m:r>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j</m:t>
                  </m:r>
                </m:sub>
                <m:sup>
                  <m:r>
                    <w:rPr>
                      <w:rFonts w:ascii="Cambria Math" w:hAnsi="Cambria Math"/>
                      <w:lang w:val="en-US"/>
                    </w:rPr>
                    <m:t>X</m:t>
                  </m:r>
                </m:sup>
              </m:sSubSup>
              <m:r>
                <w:rPr>
                  <w:rFonts w:ascii="Cambria Math" w:hAnsi="Cambria Math"/>
                  <w:lang w:val="en-US"/>
                </w:rPr>
                <m:t>(t)+</m:t>
              </m:r>
              <m:r>
                <w:rPr>
                  <w:rFonts w:ascii="Cambria Math" w:eastAsiaTheme="minorEastAsia" w:hAnsi="Cambria Math"/>
                  <w:lang w:val="en-US"/>
                </w:rPr>
                <m:t>σ</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ιP</m:t>
                  </m:r>
                </m:e>
                <m:sub>
                  <m:r>
                    <w:rPr>
                      <w:rFonts w:ascii="Cambria Math" w:hAnsi="Cambria Math"/>
                      <w:lang w:val="en-US"/>
                    </w:rPr>
                    <m:t>j</m:t>
                  </m:r>
                </m:sub>
                <m:sup>
                  <m:r>
                    <w:rPr>
                      <w:rFonts w:ascii="Cambria Math" w:hAnsi="Cambria Math"/>
                      <w:lang w:val="en-US"/>
                    </w:rPr>
                    <m:t>N</m:t>
                  </m:r>
                </m:sup>
              </m:sSubSup>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S</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m</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1-δ</m:t>
                      </m:r>
                      <m:d>
                        <m:dPr>
                          <m:ctrlPr>
                            <w:rPr>
                              <w:rFonts w:ascii="Cambria Math" w:hAnsi="Cambria Math"/>
                              <w:i/>
                              <w:lang w:val="en-US"/>
                            </w:rPr>
                          </m:ctrlPr>
                        </m:dPr>
                        <m:e>
                          <m:r>
                            <w:rPr>
                              <w:rFonts w:ascii="Cambria Math" w:hAnsi="Cambria Math"/>
                              <w:lang w:val="en-US"/>
                            </w:rPr>
                            <m:t>t</m:t>
                          </m:r>
                        </m:e>
                      </m:d>
                    </m:e>
                  </m:d>
                </m:e>
              </m:d>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31</m:t>
                  </m:r>
                </m:e>
              </m:d>
            </m:e>
          </m:eqArr>
          <m:r>
            <m:rPr>
              <m:sty m:val="p"/>
            </m:rPr>
            <w:rPr>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r>
                <w:rPr>
                  <w:rFonts w:ascii="Cambria Math" w:hAnsi="Cambria Math"/>
                  <w:lang w:val="en-US"/>
                </w:rPr>
                <m:t>δ</m:t>
              </m:r>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j</m:t>
                  </m:r>
                </m:sub>
                <m:sup>
                  <m:r>
                    <w:rPr>
                      <w:rFonts w:ascii="Cambria Math" w:hAnsi="Cambria Math"/>
                      <w:lang w:val="en-US"/>
                    </w:rPr>
                    <m:t>X</m:t>
                  </m:r>
                </m:sup>
              </m:sSubSup>
              <m:r>
                <w:rPr>
                  <w:rFonts w:ascii="Cambria Math"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S</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ιS</m:t>
                  </m:r>
                </m:e>
                <m:sub>
                  <m:r>
                    <w:rPr>
                      <w:rFonts w:ascii="Cambria Math" w:hAnsi="Cambria Math"/>
                      <w:lang w:val="en-US"/>
                    </w:rPr>
                    <m:t>j</m:t>
                  </m:r>
                </m:sub>
                <m:sup>
                  <m:r>
                    <w:rPr>
                      <w:rFonts w:ascii="Cambria Math" w:hAnsi="Cambria Math"/>
                      <w:lang w:val="en-US"/>
                    </w:rPr>
                    <m:t>N</m:t>
                  </m:r>
                </m:sup>
              </m:sSubSup>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E</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m</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1-δ</m:t>
                      </m:r>
                      <m:d>
                        <m:dPr>
                          <m:ctrlPr>
                            <w:rPr>
                              <w:rFonts w:ascii="Cambria Math" w:hAnsi="Cambria Math"/>
                              <w:i/>
                              <w:lang w:val="en-US"/>
                            </w:rPr>
                          </m:ctrlPr>
                        </m:dPr>
                        <m:e>
                          <m:r>
                            <w:rPr>
                              <w:rFonts w:ascii="Cambria Math" w:hAnsi="Cambria Math"/>
                              <w:lang w:val="en-US"/>
                            </w:rPr>
                            <m:t>t</m:t>
                          </m:r>
                        </m:e>
                      </m:d>
                    </m:e>
                  </m:d>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32</m:t>
                  </m:r>
                </m:e>
              </m:d>
            </m:e>
          </m:eqArr>
          <m:r>
            <m:rPr>
              <m:sty m:val="p"/>
            </m:rPr>
            <w:rPr>
              <w:rFonts w:ascii="Cambria Math" w:hAnsi="Cambria Math"/>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r>
                <w:rPr>
                  <w:rFonts w:ascii="Cambria Math" w:hAnsi="Cambria Math"/>
                  <w:lang w:val="en-US"/>
                </w:rPr>
                <m:t>δ</m:t>
              </m:r>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E</m:t>
                  </m:r>
                </m:sub>
              </m:sSub>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ιE</m:t>
                  </m:r>
                </m:e>
                <m:sub>
                  <m:r>
                    <w:rPr>
                      <w:rFonts w:ascii="Cambria Math" w:hAnsi="Cambria Math"/>
                      <w:lang w:val="en-US"/>
                    </w:rPr>
                    <m:t>j</m:t>
                  </m:r>
                </m:sub>
                <m:sup>
                  <m:r>
                    <w:rPr>
                      <w:rFonts w:ascii="Cambria Math" w:hAnsi="Cambria Math"/>
                      <w:lang w:val="en-US"/>
                    </w:rPr>
                    <m:t>N</m:t>
                  </m:r>
                </m:sup>
              </m:sSubSup>
              <m:d>
                <m:dPr>
                  <m:ctrlPr>
                    <w:rPr>
                      <w:rFonts w:ascii="Cambria Math" w:hAnsi="Cambria Math"/>
                      <w:i/>
                      <w:lang w:val="en-US"/>
                    </w:rPr>
                  </m:ctrlPr>
                </m:dPr>
                <m:e>
                  <m:r>
                    <w:rPr>
                      <w:rFonts w:ascii="Cambria Math" w:hAnsi="Cambria Math"/>
                      <w:lang w:val="en-US"/>
                    </w:rPr>
                    <m:t>t</m:t>
                  </m:r>
                </m:e>
              </m:d>
              <m:ctrlPr>
                <w:rPr>
                  <w:rFonts w:ascii="Cambria Math" w:eastAsia="Cambria Math" w:hAnsi="Cambria Math" w:cs="Cambria Math"/>
                  <w:i/>
                  <w:lang w:val="en-US"/>
                </w:rPr>
              </m:ctrlPr>
            </m:e>
            <m:e>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L</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m</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1-δ</m:t>
                      </m:r>
                      <m:d>
                        <m:dPr>
                          <m:ctrlPr>
                            <w:rPr>
                              <w:rFonts w:ascii="Cambria Math" w:hAnsi="Cambria Math"/>
                              <w:i/>
                              <w:lang w:val="en-US"/>
                            </w:rPr>
                          </m:ctrlPr>
                        </m:dPr>
                        <m:e>
                          <m:r>
                            <w:rPr>
                              <w:rFonts w:ascii="Cambria Math" w:hAnsi="Cambria Math"/>
                              <w:lang w:val="en-US"/>
                            </w:rPr>
                            <m:t>t</m:t>
                          </m:r>
                        </m:e>
                      </m:d>
                    </m:e>
                  </m:d>
                </m:e>
              </m:d>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33</m:t>
                  </m:r>
                </m:e>
              </m:d>
            </m:e>
          </m:eqArr>
          <m:r>
            <m:rPr>
              <m:sty m:val="p"/>
            </m:rPr>
            <w:rPr>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r>
                <w:rPr>
                  <w:rFonts w:ascii="Cambria Math" w:hAnsi="Cambria Math"/>
                  <w:lang w:val="en-US"/>
                </w:rPr>
                <m:t>δ</m:t>
              </m:r>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L</m:t>
                  </m:r>
                </m:sub>
              </m:sSub>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ιL</m:t>
                  </m:r>
                </m:e>
                <m:sub>
                  <m:r>
                    <w:rPr>
                      <w:rFonts w:ascii="Cambria Math" w:hAnsi="Cambria Math"/>
                      <w:lang w:val="en-US"/>
                    </w:rPr>
                    <m:t>j</m:t>
                  </m:r>
                </m:sub>
                <m:sup>
                  <m:r>
                    <w:rPr>
                      <w:rFonts w:ascii="Cambria Math" w:hAnsi="Cambria Math"/>
                      <w:lang w:val="en-US"/>
                    </w:rPr>
                    <m:t>N</m:t>
                  </m:r>
                </m:sup>
              </m:sSubSup>
              <m:d>
                <m:dPr>
                  <m:ctrlPr>
                    <w:rPr>
                      <w:rFonts w:ascii="Cambria Math" w:hAnsi="Cambria Math"/>
                      <w:i/>
                      <w:lang w:val="en-US"/>
                    </w:rPr>
                  </m:ctrlPr>
                </m:dPr>
                <m:e>
                  <m:r>
                    <w:rPr>
                      <w:rFonts w:ascii="Cambria Math" w:hAnsi="Cambria Math"/>
                      <w:lang w:val="en-US"/>
                    </w:rPr>
                    <m:t>t</m:t>
                  </m:r>
                </m:e>
              </m:d>
              <m:ctrlPr>
                <w:rPr>
                  <w:rFonts w:ascii="Cambria Math" w:eastAsia="Cambria Math" w:hAnsi="Cambria Math" w:cs="Cambria Math"/>
                  <w:i/>
                  <w:lang w:val="en-US"/>
                </w:rPr>
              </m:ctrlPr>
            </m:e>
            <m:e>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m</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1-δ</m:t>
                      </m:r>
                      <m:d>
                        <m:dPr>
                          <m:ctrlPr>
                            <w:rPr>
                              <w:rFonts w:ascii="Cambria Math" w:hAnsi="Cambria Math"/>
                              <w:i/>
                              <w:lang w:val="en-US"/>
                            </w:rPr>
                          </m:ctrlPr>
                        </m:dPr>
                        <m:e>
                          <m:r>
                            <w:rPr>
                              <w:rFonts w:ascii="Cambria Math" w:hAnsi="Cambria Math"/>
                              <w:lang w:val="en-US"/>
                            </w:rPr>
                            <m:t>t</m:t>
                          </m:r>
                        </m:e>
                      </m:d>
                    </m:e>
                  </m:d>
                </m:e>
              </m:d>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34</m:t>
                  </m:r>
                </m:e>
              </m:d>
            </m:e>
          </m:eqArr>
          <m:r>
            <m:rPr>
              <m:sty m:val="p"/>
            </m:rPr>
            <w:rPr>
              <w:lang w:val="en-US"/>
            </w:rPr>
            <w:br/>
          </m:r>
        </m:oMath>
        <m:oMath>
          <m:eqArr>
            <m:eqArrPr>
              <m:maxDist m:val="1"/>
              <m:ctrlPr>
                <w:rPr>
                  <w:rFonts w:ascii="Cambria Math"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r>
                <w:rPr>
                  <w:rFonts w:ascii="Cambria Math" w:hAnsi="Cambria Math"/>
                  <w:lang w:val="en-US"/>
                </w:rPr>
                <m:t>δ</m:t>
              </m:r>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T</m:t>
                  </m:r>
                </m:sub>
              </m:sSub>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ιT</m:t>
                  </m:r>
                </m:e>
                <m:sub>
                  <m:r>
                    <w:rPr>
                      <w:rFonts w:ascii="Cambria Math" w:hAnsi="Cambria Math"/>
                      <w:lang w:val="en-US"/>
                    </w:rPr>
                    <m:t>j</m:t>
                  </m:r>
                </m:sub>
                <m:sup>
                  <m:r>
                    <w:rPr>
                      <w:rFonts w:ascii="Cambria Math" w:hAnsi="Cambria Math"/>
                      <w:lang w:val="en-US"/>
                    </w:rPr>
                    <m:t>N</m:t>
                  </m:r>
                </m:sup>
              </m:sSubSup>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ν</m:t>
                      </m:r>
                    </m:sub>
                  </m:sSub>
                  <m:r>
                    <w:rPr>
                      <w:rFonts w:ascii="Cambria Math" w:eastAsiaTheme="minorEastAsia" w:hAnsi="Cambria Math"/>
                      <w:lang w:val="en-US"/>
                    </w:rPr>
                    <m:t>ν+</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m</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1-δ</m:t>
                      </m:r>
                      <m:d>
                        <m:dPr>
                          <m:ctrlPr>
                            <w:rPr>
                              <w:rFonts w:ascii="Cambria Math" w:hAnsi="Cambria Math"/>
                              <w:i/>
                              <w:lang w:val="en-US"/>
                            </w:rPr>
                          </m:ctrlPr>
                        </m:dPr>
                        <m:e>
                          <m:r>
                            <w:rPr>
                              <w:rFonts w:ascii="Cambria Math" w:hAnsi="Cambria Math"/>
                              <w:lang w:val="en-US"/>
                            </w:rPr>
                            <m:t>t</m:t>
                          </m:r>
                        </m:e>
                      </m:d>
                    </m:e>
                  </m:d>
                </m:e>
              </m:d>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35</m:t>
                  </m:r>
                </m:e>
              </m:d>
              <m:ctrlPr>
                <w:rPr>
                  <w:rFonts w:ascii="Cambria Math" w:eastAsiaTheme="minorEastAsia" w:hAnsi="Cambria Math"/>
                  <w:i/>
                  <w:lang w:val="en-US"/>
                </w:rPr>
              </m:ctrlPr>
            </m:e>
          </m:eqArr>
          <m:r>
            <m:rPr>
              <m:sty m:val="p"/>
            </m:rPr>
            <w:rPr>
              <w:rFonts w:ascii="Cambria Math" w:hAnsi="Cambria Math"/>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r>
                <w:rPr>
                  <w:rFonts w:ascii="Cambria Math" w:hAnsi="Cambria Math"/>
                  <w:lang w:val="en-US"/>
                </w:rPr>
                <m:t>δ</m:t>
              </m:r>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
                <w:rPr>
                  <w:rFonts w:ascii="Cambria Math" w:eastAsiaTheme="minorEastAsia" w:hAnsi="Cambria Math"/>
                  <w:lang w:val="en-US"/>
                </w:rPr>
                <m:t>μ</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t</m:t>
                  </m:r>
                </m:e>
              </m:d>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e>
              </m:d>
              <m:ctrlPr>
                <w:rPr>
                  <w:rFonts w:ascii="Cambria Math" w:eastAsia="Cambria Math" w:hAnsi="Cambria Math" w:cs="Cambria Math"/>
                  <w:i/>
                  <w:lang w:val="en-US"/>
                </w:rPr>
              </m:ctrlPr>
            </m:e>
            <m:e>
              <m:r>
                <w:rPr>
                  <w:rFonts w:ascii="Cambria Math" w:eastAsiaTheme="minorEastAsia" w:hAnsi="Cambria Math"/>
                  <w:lang w:val="en-US"/>
                </w:rPr>
                <m:t xml:space="preserve">+ </m:t>
              </m:r>
              <m:sSubSup>
                <m:sSubSupPr>
                  <m:ctrlPr>
                    <w:rPr>
                      <w:rFonts w:ascii="Cambria Math" w:hAnsi="Cambria Math"/>
                      <w:i/>
                      <w:lang w:val="en-US"/>
                    </w:rPr>
                  </m:ctrlPr>
                </m:sSubSupPr>
                <m:e>
                  <m:r>
                    <w:rPr>
                      <w:rFonts w:ascii="Cambria Math" w:hAnsi="Cambria Math"/>
                      <w:lang w:val="en-US"/>
                    </w:rPr>
                    <m:t>ιR</m:t>
                  </m:r>
                </m:e>
                <m:sub>
                  <m:r>
                    <w:rPr>
                      <w:rFonts w:ascii="Cambria Math" w:hAnsi="Cambria Math"/>
                      <w:lang w:val="en-US"/>
                    </w:rPr>
                    <m:t>j</m:t>
                  </m:r>
                </m:sub>
                <m:sup>
                  <m:r>
                    <w:rPr>
                      <w:rFonts w:ascii="Cambria Math" w:hAnsi="Cambria Math"/>
                      <w:lang w:val="en-US"/>
                    </w:rPr>
                    <m:t>N</m:t>
                  </m:r>
                </m:sup>
              </m:sSubSup>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m</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1-δ</m:t>
                      </m:r>
                      <m:d>
                        <m:dPr>
                          <m:ctrlPr>
                            <w:rPr>
                              <w:rFonts w:ascii="Cambria Math" w:hAnsi="Cambria Math"/>
                              <w:i/>
                              <w:lang w:val="en-US"/>
                            </w:rPr>
                          </m:ctrlPr>
                        </m:dPr>
                        <m:e>
                          <m:r>
                            <w:rPr>
                              <w:rFonts w:ascii="Cambria Math" w:hAnsi="Cambria Math"/>
                              <w:lang w:val="en-US"/>
                            </w:rPr>
                            <m:t>t</m:t>
                          </m:r>
                        </m:e>
                      </m:d>
                    </m:e>
                  </m:d>
                </m:e>
              </m:d>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j</m:t>
                  </m:r>
                </m:sub>
                <m:sup>
                  <m:r>
                    <w:rPr>
                      <w:rFonts w:ascii="Cambria Math" w:eastAsiaTheme="minorEastAsia" w:hAnsi="Cambria Math"/>
                      <w:lang w:val="en-US"/>
                    </w:rPr>
                    <m:t>D</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36</m:t>
                  </m:r>
                </m:e>
              </m:d>
            </m:e>
          </m:eqArr>
        </m:oMath>
      </m:oMathPara>
    </w:p>
    <w:p w14:paraId="0D278876" w14:textId="22BB8ACF" w:rsidR="00AF3B45" w:rsidRDefault="00AF3B45" w:rsidP="00C90EB8">
      <w:pPr>
        <w:pStyle w:val="NormalWeb"/>
        <w:numPr>
          <w:ilvl w:val="0"/>
          <w:numId w:val="9"/>
        </w:numPr>
        <w:spacing w:line="276" w:lineRule="auto"/>
        <w:jc w:val="both"/>
        <w:rPr>
          <w:lang w:val="en-US"/>
        </w:rPr>
      </w:pPr>
      <w:r>
        <w:rPr>
          <w:lang w:val="en-US"/>
        </w:rPr>
        <w:t>For doxy-intoleran</w:t>
      </w:r>
      <w:r w:rsidR="00F74632">
        <w:rPr>
          <w:lang w:val="en-US"/>
        </w:rPr>
        <w:t>t</w:t>
      </w:r>
      <w:r>
        <w:rPr>
          <w:lang w:val="en-US"/>
        </w:rPr>
        <w:t xml:space="preserve"> (M):</w:t>
      </w:r>
    </w:p>
    <w:p w14:paraId="65BF03EB" w14:textId="2AAD49AB" w:rsidR="00DE159F" w:rsidRPr="00DE159F" w:rsidRDefault="00000000" w:rsidP="00DE159F">
      <w:pPr>
        <w:pStyle w:val="NormalWeb"/>
        <w:spacing w:line="276" w:lineRule="auto"/>
        <w:jc w:val="both"/>
        <w:rPr>
          <w:i/>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M</m:t>
                      </m:r>
                    </m:sup>
                  </m:sSubSup>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m</m:t>
                  </m:r>
                </m:sub>
              </m:sSub>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+ρ</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M</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m:t>
                      </m:r>
                    </m:den>
                  </m:f>
                </m:e>
              </m:d>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M</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r>
                    <w:rPr>
                      <w:rFonts w:ascii="Cambria Math" w:hAnsi="Cambria Math"/>
                      <w:lang w:val="en-US"/>
                    </w:rPr>
                    <m:t>37</m:t>
                  </m:r>
                </m:e>
              </m:d>
            </m:e>
          </m:eqArr>
          <m:r>
            <m:rPr>
              <m:sty m:val="p"/>
            </m:rPr>
            <w:rPr>
              <w:rFonts w:ascii="Cambria Math" w:hAnsi="Cambria Math"/>
              <w:lang w:val="en-US"/>
            </w:rPr>
            <w:br/>
          </m:r>
        </m:oMath>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j</m:t>
                      </m:r>
                    </m:sub>
                    <m:sup>
                      <m:r>
                        <w:rPr>
                          <w:rFonts w:ascii="Cambria Math" w:hAnsi="Cambria Math"/>
                          <w:lang w:val="en-US"/>
                        </w:rPr>
                        <m:t>M</m:t>
                      </m:r>
                    </m:sup>
                  </m:sSubSup>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m</m:t>
                  </m:r>
                </m:sub>
              </m:sSub>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j</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M</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r>
                    <w:rPr>
                      <w:rFonts w:ascii="Cambria Math" w:hAnsi="Cambria Math"/>
                      <w:lang w:val="en-US"/>
                    </w:rPr>
                    <m:t>σ+</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m:t>
                      </m:r>
                    </m:den>
                  </m:f>
                </m:e>
              </m:d>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j</m:t>
                  </m:r>
                </m:sub>
                <m:sup>
                  <m:r>
                    <w:rPr>
                      <w:rFonts w:ascii="Cambria Math" w:hAnsi="Cambria Math"/>
                      <w:lang w:val="en-US"/>
                    </w:rPr>
                    <m:t>M</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r>
                    <w:rPr>
                      <w:rFonts w:ascii="Cambria Math" w:hAnsi="Cambria Math"/>
                      <w:lang w:val="en-US"/>
                    </w:rPr>
                    <m:t>38</m:t>
                  </m:r>
                </m:e>
              </m:d>
            </m:e>
          </m:eqArr>
          <m:r>
            <m:rPr>
              <m:sty m:val="p"/>
            </m:rPr>
            <w:rPr>
              <w:rFonts w:ascii="Cambria Math" w:hAnsi="Cambria Math"/>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m</m:t>
                  </m:r>
                </m:sub>
              </m:sSub>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j</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
                <w:rPr>
                  <w:rFonts w:ascii="Cambria Math" w:eastAsiaTheme="minorEastAsia" w:hAnsi="Cambria Math"/>
                  <w:lang w:val="en-US"/>
                </w:rPr>
                <m:t>σ</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S</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e>
              </m:d>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39</m:t>
                  </m:r>
                </m:e>
              </m:d>
            </m:e>
          </m:eqArr>
          <m:r>
            <m:rPr>
              <m:sty m:val="p"/>
            </m:rPr>
            <w:rPr>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m</m:t>
                  </m:r>
                </m:sub>
              </m:sSub>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j</m:t>
                  </m:r>
                </m:sub>
                <m:sup>
                  <m:r>
                    <w:rPr>
                      <w:rFonts w:ascii="Cambria Math" w:hAnsi="Cambria Math"/>
                      <w:lang w:val="en-US"/>
                    </w:rPr>
                    <m:t>D</m:t>
                  </m:r>
                </m:sup>
              </m:sSubSup>
              <m:r>
                <w:rPr>
                  <w:rFonts w:ascii="Cambria Math"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S</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E</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m:t>
                  </m:r>
                </m:e>
              </m:d>
            </m:e>
          </m:eqArr>
          <m:r>
            <m:rPr>
              <m:sty m:val="p"/>
            </m:rPr>
            <w:rPr>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m</m:t>
                  </m:r>
                </m:sub>
              </m:sSub>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D</m:t>
                  </m:r>
                </m:sup>
              </m:sSubSup>
              <m:r>
                <w:rPr>
                  <w:rFonts w:ascii="Cambria Math"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E</m:t>
                  </m:r>
                </m:sub>
              </m:sSub>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L</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e>
              </m:d>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41</m:t>
                  </m:r>
                </m:e>
              </m:d>
            </m:e>
          </m:eqArr>
          <m:r>
            <m:rPr>
              <m:sty m:val="p"/>
            </m:rPr>
            <w:rPr>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m</m:t>
                  </m:r>
                </m:sub>
              </m:sSub>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j</m:t>
                  </m:r>
                </m:sub>
                <m:sup>
                  <m:r>
                    <w:rPr>
                      <w:rFonts w:ascii="Cambria Math" w:hAnsi="Cambria Math"/>
                      <w:lang w:val="en-US"/>
                    </w:rPr>
                    <m:t>D</m:t>
                  </m:r>
                </m:sup>
              </m:sSubSup>
              <m:r>
                <w:rPr>
                  <w:rFonts w:ascii="Cambria Math"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L</m:t>
                  </m:r>
                </m:sub>
              </m:sSub>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e>
              </m:d>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m:t>
                  </m:r>
                </m:e>
              </m:d>
            </m:e>
          </m:eqArr>
          <m:r>
            <m:rPr>
              <m:sty m:val="p"/>
            </m:rPr>
            <w:rPr>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m</m:t>
                  </m:r>
                </m:sub>
              </m:sSub>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D</m:t>
                  </m:r>
                </m:sup>
              </m:sSubSup>
              <m:r>
                <w:rPr>
                  <w:rFonts w:ascii="Cambria Math"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T</m:t>
                  </m:r>
                </m:sub>
              </m:sSub>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ν</m:t>
                      </m:r>
                    </m:sub>
                  </m:sSub>
                  <m:r>
                    <w:rPr>
                      <w:rFonts w:ascii="Cambria Math" w:eastAsiaTheme="minorEastAsia" w:hAnsi="Cambria Math"/>
                      <w:lang w:val="en-US"/>
                    </w:rPr>
                    <m:t>ν+</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e>
              </m:d>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43</m:t>
                  </m:r>
                </m:e>
              </m:d>
            </m:e>
          </m:eqArr>
          <m:r>
            <m:rPr>
              <m:sty m:val="p"/>
            </m:rPr>
            <w:rPr>
              <w:lang w:val="en-US"/>
            </w:rPr>
            <w:br/>
          </m:r>
        </m:oMath>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d</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m</m:t>
                  </m:r>
                </m:sub>
              </m:sSub>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D</m:t>
                  </m:r>
                </m:sup>
              </m:sSubSup>
              <m:r>
                <w:rPr>
                  <w:rFonts w:ascii="Cambria Math" w:hAnsi="Cambria Math"/>
                  <w:lang w:val="en-US"/>
                </w:rPr>
                <m:t>(t)+</m:t>
              </m:r>
              <m:r>
                <w:rPr>
                  <w:rFonts w:ascii="Cambria Math" w:eastAsiaTheme="minorEastAsia" w:hAnsi="Cambria Math"/>
                  <w:lang w:val="en-US"/>
                </w:rPr>
                <m:t>μ</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γ</m:t>
                      </m:r>
                    </m:den>
                  </m:f>
                </m:e>
              </m:d>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j</m:t>
                  </m:r>
                </m:sub>
                <m:sup>
                  <m:r>
                    <w:rPr>
                      <w:rFonts w:ascii="Cambria Math" w:eastAsiaTheme="minorEastAsia" w:hAnsi="Cambria Math"/>
                      <w:lang w:val="en-US"/>
                    </w:rPr>
                    <m:t>M</m:t>
                  </m:r>
                </m:sup>
              </m:sSub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44</m:t>
                  </m:r>
                </m:e>
              </m:d>
            </m:e>
          </m:eqArr>
        </m:oMath>
      </m:oMathPara>
    </w:p>
    <w:p w14:paraId="28FEAEB0" w14:textId="6C0647E7" w:rsidR="00B630C9" w:rsidRDefault="00B630C9" w:rsidP="00A17E3A">
      <w:pPr>
        <w:pStyle w:val="NormalWeb"/>
        <w:spacing w:line="276" w:lineRule="auto"/>
        <w:jc w:val="both"/>
        <w:rPr>
          <w:iCs/>
          <w:lang w:val="en-US"/>
        </w:rPr>
      </w:pPr>
      <w:r>
        <w:rPr>
          <w:iCs/>
          <w:lang w:val="en-US"/>
        </w:rPr>
        <w:t>For shared variables:</w:t>
      </w:r>
    </w:p>
    <w:p w14:paraId="63D43036" w14:textId="53CAA824" w:rsidR="00525F26" w:rsidRPr="00054106" w:rsidRDefault="00000000" w:rsidP="0060134A">
      <w:pPr>
        <w:pStyle w:val="NormalWeb"/>
        <w:spacing w:line="276" w:lineRule="auto"/>
        <w:jc w:val="both"/>
        <w:rPr>
          <w:highlight w:val="yellow"/>
          <w:lang w:val="en-US"/>
        </w:rPr>
      </w:pPr>
      <m:oMathPara>
        <m:oMath>
          <m:eqArr>
            <m:eqArrPr>
              <m:maxDist m:val="1"/>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λ</m:t>
                  </m:r>
                </m:e>
                <m:sub>
                  <m:r>
                    <w:rPr>
                      <w:rFonts w:ascii="Cambria Math" w:hAnsi="Cambria Math"/>
                      <w:lang w:val="en-US"/>
                    </w:rPr>
                    <m:t>j</m:t>
                  </m:r>
                </m:sub>
              </m:sSub>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β</m:t>
              </m:r>
              <m:d>
                <m:dPr>
                  <m:ctrlPr>
                    <w:rPr>
                      <w:rFonts w:ascii="Cambria Math" w:hAnsi="Cambria Math"/>
                      <w:i/>
                      <w:iCs/>
                      <w:lang w:val="en-US"/>
                    </w:rPr>
                  </m:ctrlPr>
                </m:dPr>
                <m:e>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ϕ</m:t>
                      </m:r>
                    </m:e>
                    <m:sub>
                      <m:r>
                        <w:rPr>
                          <w:rFonts w:ascii="Cambria Math" w:hAnsi="Cambria Math"/>
                          <w:lang w:val="en-US"/>
                        </w:rPr>
                        <m:t>β</m:t>
                      </m:r>
                    </m:sub>
                  </m:sSub>
                  <m:d>
                    <m:dPr>
                      <m:ctrlPr>
                        <w:rPr>
                          <w:rFonts w:ascii="Cambria Math" w:hAnsi="Cambria Math"/>
                          <w:i/>
                          <w:iCs/>
                          <w:lang w:val="en-US"/>
                        </w:rPr>
                      </m:ctrlPr>
                    </m:dPr>
                    <m:e>
                      <m:r>
                        <w:rPr>
                          <w:rFonts w:ascii="Cambria Math" w:hAnsi="Cambria Math"/>
                          <w:lang w:val="en-US"/>
                        </w:rPr>
                        <m:t>t-</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0</m:t>
                          </m:r>
                        </m:sub>
                      </m:sSub>
                    </m:e>
                  </m:d>
                </m:e>
              </m:d>
              <m:d>
                <m:dPr>
                  <m:ctrlPr>
                    <w:rPr>
                      <w:rFonts w:ascii="Cambria Math" w:hAnsi="Cambria Math"/>
                      <w:i/>
                      <w:iCs/>
                      <w:lang w:val="en-US"/>
                    </w:rPr>
                  </m:ctrlPr>
                </m:dPr>
                <m:e>
                  <m:r>
                    <w:rPr>
                      <w:rFonts w:ascii="Cambria Math" w:hAnsi="Cambria Math"/>
                      <w:lang w:val="en-US"/>
                    </w:rPr>
                    <m:t>ϵ</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j</m:t>
                          </m:r>
                        </m:sub>
                      </m:sSub>
                      <m:d>
                        <m:dPr>
                          <m:ctrlPr>
                            <w:rPr>
                              <w:rFonts w:ascii="Cambria Math" w:hAnsi="Cambria Math"/>
                              <w:i/>
                              <w:iCs/>
                              <w:lang w:val="en-US"/>
                            </w:rPr>
                          </m:ctrlPr>
                        </m:dPr>
                        <m:e>
                          <m:r>
                            <w:rPr>
                              <w:rFonts w:ascii="Cambria Math" w:hAnsi="Cambria Math"/>
                              <w:lang w:val="en-US"/>
                            </w:rPr>
                            <m:t>t</m:t>
                          </m:r>
                        </m:e>
                      </m:d>
                    </m:num>
                    <m:den>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j</m:t>
                          </m:r>
                        </m:sub>
                      </m:sSub>
                      <m:d>
                        <m:dPr>
                          <m:ctrlPr>
                            <w:rPr>
                              <w:rFonts w:ascii="Cambria Math" w:hAnsi="Cambria Math"/>
                              <w:i/>
                              <w:iCs/>
                              <w:lang w:val="en-US"/>
                            </w:rPr>
                          </m:ctrlPr>
                        </m:dPr>
                        <m:e>
                          <m:r>
                            <w:rPr>
                              <w:rFonts w:ascii="Cambria Math" w:hAnsi="Cambria Math"/>
                              <w:lang w:val="en-US"/>
                            </w:rPr>
                            <m:t>t</m:t>
                          </m:r>
                        </m:e>
                      </m:d>
                    </m:den>
                  </m:f>
                  <m:r>
                    <w:rPr>
                      <w:rFonts w:ascii="Cambria Math" w:hAnsi="Cambria Math"/>
                      <w:lang w:val="en-US"/>
                    </w:rPr>
                    <m:t>+</m:t>
                  </m:r>
                  <m:d>
                    <m:dPr>
                      <m:ctrlPr>
                        <w:rPr>
                          <w:rFonts w:ascii="Cambria Math" w:hAnsi="Cambria Math"/>
                          <w:i/>
                          <w:iCs/>
                          <w:lang w:val="en-US"/>
                        </w:rPr>
                      </m:ctrlPr>
                    </m:dPr>
                    <m:e>
                      <m:r>
                        <w:rPr>
                          <w:rFonts w:ascii="Cambria Math" w:hAnsi="Cambria Math"/>
                          <w:lang w:val="en-US"/>
                        </w:rPr>
                        <m:t>1-ϵ</m:t>
                      </m:r>
                    </m:e>
                  </m:d>
                  <m:d>
                    <m:dPr>
                      <m:ctrlPr>
                        <w:rPr>
                          <w:rFonts w:ascii="Cambria Math" w:hAnsi="Cambria Math"/>
                          <w:i/>
                          <w:iCs/>
                          <w:lang w:val="en-US"/>
                        </w:rPr>
                      </m:ctrlPr>
                    </m:dPr>
                    <m:e>
                      <m:nary>
                        <m:naryPr>
                          <m:chr m:val="∑"/>
                          <m:supHide m:val="1"/>
                          <m:ctrlPr>
                            <w:rPr>
                              <w:rFonts w:ascii="Cambria Math" w:hAnsi="Cambria Math"/>
                              <w:i/>
                              <w:iCs/>
                              <w:lang w:val="en-US"/>
                            </w:rPr>
                          </m:ctrlPr>
                        </m:naryPr>
                        <m:sub>
                          <m:r>
                            <w:rPr>
                              <w:rFonts w:ascii="Cambria Math" w:hAnsi="Cambria Math"/>
                              <w:lang w:val="en-US"/>
                            </w:rPr>
                            <m:t>i∈</m:t>
                          </m:r>
                          <m:r>
                            <m:rPr>
                              <m:lit/>
                            </m:rPr>
                            <w:rPr>
                              <w:rFonts w:ascii="Cambria Math" w:hAnsi="Cambria Math"/>
                              <w:lang w:val="en-US"/>
                            </w:rPr>
                            <m:t>{</m:t>
                          </m:r>
                          <m:r>
                            <w:rPr>
                              <w:rFonts w:ascii="Cambria Math" w:hAnsi="Cambria Math"/>
                              <w:lang w:val="en-US"/>
                            </w:rPr>
                            <m:t>L,H</m:t>
                          </m:r>
                          <m:r>
                            <m:rPr>
                              <m:lit/>
                            </m:rPr>
                            <w:rPr>
                              <w:rFonts w:ascii="Cambria Math" w:hAnsi="Cambria Math"/>
                              <w:lang w:val="en-US"/>
                            </w:rPr>
                            <m:t>}</m:t>
                          </m:r>
                        </m:sub>
                        <m:sup/>
                        <m:e>
                          <m:sSub>
                            <m:sSubPr>
                              <m:ctrlPr>
                                <w:rPr>
                                  <w:rFonts w:ascii="Cambria Math" w:hAnsi="Cambria Math"/>
                                  <w:i/>
                                  <w:iCs/>
                                  <w:lang w:val="en-US"/>
                                </w:rPr>
                              </m:ctrlPr>
                            </m:sSubPr>
                            <m:e>
                              <m:r>
                                <w:rPr>
                                  <w:rFonts w:ascii="Cambria Math" w:hAnsi="Cambria Math"/>
                                  <w:lang w:val="en-US"/>
                                </w:rPr>
                                <m:t>π</m:t>
                              </m:r>
                            </m:e>
                            <m:sub>
                              <m:r>
                                <w:rPr>
                                  <w:rFonts w:ascii="Cambria Math" w:hAnsi="Cambria Math"/>
                                  <w:lang w:val="en-US"/>
                                </w:rPr>
                                <m:t>i</m:t>
                              </m:r>
                            </m:sub>
                          </m:sSub>
                          <m:d>
                            <m:dPr>
                              <m:ctrlPr>
                                <w:rPr>
                                  <w:rFonts w:ascii="Cambria Math" w:hAnsi="Cambria Math"/>
                                  <w:i/>
                                  <w:iCs/>
                                  <w:lang w:val="en-US"/>
                                </w:rPr>
                              </m:ctrlPr>
                            </m:dPr>
                            <m:e>
                              <m:r>
                                <w:rPr>
                                  <w:rFonts w:ascii="Cambria Math" w:hAnsi="Cambria Math"/>
                                  <w:lang w:val="en-US"/>
                                </w:rPr>
                                <m:t>t</m:t>
                              </m:r>
                            </m:e>
                          </m:d>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iCs/>
                                      <w:lang w:val="en-US"/>
                                    </w:rPr>
                                  </m:ctrlPr>
                                </m:dPr>
                                <m:e>
                                  <m:r>
                                    <w:rPr>
                                      <w:rFonts w:ascii="Cambria Math" w:hAnsi="Cambria Math"/>
                                      <w:lang w:val="en-US"/>
                                    </w:rPr>
                                    <m:t>t</m:t>
                                  </m:r>
                                </m:e>
                              </m:d>
                            </m:num>
                            <m:den>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iCs/>
                                      <w:lang w:val="en-US"/>
                                    </w:rPr>
                                  </m:ctrlPr>
                                </m:dPr>
                                <m:e>
                                  <m:r>
                                    <w:rPr>
                                      <w:rFonts w:ascii="Cambria Math" w:hAnsi="Cambria Math"/>
                                      <w:lang w:val="en-US"/>
                                    </w:rPr>
                                    <m:t>t</m:t>
                                  </m:r>
                                </m:e>
                              </m:d>
                            </m:den>
                          </m:f>
                        </m:e>
                      </m:nary>
                    </m:e>
                  </m:d>
                </m:e>
              </m:d>
              <m:r>
                <w:rPr>
                  <w:rFonts w:ascii="Cambria Math" w:hAnsi="Cambria Math"/>
                  <w:lang w:val="en-US"/>
                </w:rPr>
                <m:t>#</m:t>
              </m:r>
              <m:d>
                <m:dPr>
                  <m:ctrlPr>
                    <w:rPr>
                      <w:rFonts w:ascii="Cambria Math" w:hAnsi="Cambria Math"/>
                      <w:i/>
                      <w:iCs/>
                      <w:lang w:val="en-US"/>
                    </w:rPr>
                  </m:ctrlPr>
                </m:dPr>
                <m:e>
                  <m:r>
                    <w:rPr>
                      <w:rFonts w:ascii="Cambria Math" w:hAnsi="Cambria Math"/>
                      <w:lang w:val="en-US"/>
                    </w:rPr>
                    <m:t>45</m:t>
                  </m:r>
                </m:e>
              </m:d>
            </m:e>
          </m:eqArr>
          <m:r>
            <m:rPr>
              <m:sty m:val="p"/>
            </m:rPr>
            <w:rPr>
              <w:lang w:val="en-US"/>
            </w:rPr>
            <w:br/>
          </m:r>
        </m:oMath>
        <m:oMath>
          <m:eqArr>
            <m:eqArrPr>
              <m:maxDist m:val="1"/>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π</m:t>
                  </m:r>
                </m:e>
                <m:sub>
                  <m:r>
                    <w:rPr>
                      <w:rFonts w:ascii="Cambria Math" w:hAnsi="Cambria Math"/>
                      <w:lang w:val="en-US"/>
                    </w:rPr>
                    <m:t>j</m:t>
                  </m:r>
                </m:sub>
              </m:sSub>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j</m:t>
                      </m:r>
                    </m:sub>
                  </m:sSub>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j</m:t>
                      </m:r>
                    </m:sub>
                  </m:sSub>
                  <m:d>
                    <m:dPr>
                      <m:ctrlPr>
                        <w:rPr>
                          <w:rFonts w:ascii="Cambria Math" w:hAnsi="Cambria Math"/>
                          <w:i/>
                          <w:iCs/>
                          <w:lang w:val="en-US"/>
                        </w:rPr>
                      </m:ctrlPr>
                    </m:dPr>
                    <m:e>
                      <m:r>
                        <w:rPr>
                          <w:rFonts w:ascii="Cambria Math" w:hAnsi="Cambria Math"/>
                          <w:lang w:val="en-US"/>
                        </w:rPr>
                        <m:t>t</m:t>
                      </m:r>
                    </m:e>
                  </m:d>
                </m:num>
                <m:den>
                  <m:nary>
                    <m:naryPr>
                      <m:chr m:val="∑"/>
                      <m:supHide m:val="1"/>
                      <m:ctrlPr>
                        <w:rPr>
                          <w:rFonts w:ascii="Cambria Math" w:hAnsi="Cambria Math"/>
                          <w:i/>
                          <w:iCs/>
                          <w:lang w:val="en-US"/>
                        </w:rPr>
                      </m:ctrlPr>
                    </m:naryPr>
                    <m:sub>
                      <m:r>
                        <w:rPr>
                          <w:rFonts w:ascii="Cambria Math" w:hAnsi="Cambria Math"/>
                          <w:lang w:val="en-US"/>
                        </w:rPr>
                        <m:t>i∈</m:t>
                      </m:r>
                      <m:r>
                        <m:rPr>
                          <m:lit/>
                        </m:rPr>
                        <w:rPr>
                          <w:rFonts w:ascii="Cambria Math" w:hAnsi="Cambria Math"/>
                          <w:lang w:val="en-US"/>
                        </w:rPr>
                        <m:t>{</m:t>
                      </m:r>
                      <m:r>
                        <w:rPr>
                          <w:rFonts w:ascii="Cambria Math" w:hAnsi="Cambria Math"/>
                          <w:lang w:val="en-US"/>
                        </w:rPr>
                        <m:t>L,H</m:t>
                      </m:r>
                      <m:r>
                        <m:rPr>
                          <m:lit/>
                        </m:rPr>
                        <w:rPr>
                          <w:rFonts w:ascii="Cambria Math" w:hAnsi="Cambria Math"/>
                          <w:lang w:val="en-US"/>
                        </w:rPr>
                        <m:t>}</m:t>
                      </m:r>
                    </m:sub>
                    <m:sup/>
                    <m:e>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i</m:t>
                          </m:r>
                        </m:sub>
                      </m:sSub>
                    </m:e>
                  </m:nary>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iCs/>
                          <w:lang w:val="en-US"/>
                        </w:rPr>
                      </m:ctrlPr>
                    </m:dPr>
                    <m:e>
                      <m:r>
                        <w:rPr>
                          <w:rFonts w:ascii="Cambria Math" w:hAnsi="Cambria Math"/>
                          <w:lang w:val="en-US"/>
                        </w:rPr>
                        <m:t>t</m:t>
                      </m:r>
                    </m:e>
                  </m:d>
                </m:den>
              </m:f>
              <m:r>
                <w:rPr>
                  <w:rFonts w:ascii="Cambria Math" w:hAnsi="Cambria Math"/>
                  <w:lang w:val="en-US"/>
                </w:rPr>
                <m:t>#</m:t>
              </m:r>
              <m:d>
                <m:dPr>
                  <m:ctrlPr>
                    <w:rPr>
                      <w:rFonts w:ascii="Cambria Math" w:hAnsi="Cambria Math"/>
                      <w:i/>
                      <w:iCs/>
                      <w:lang w:val="en-US"/>
                    </w:rPr>
                  </m:ctrlPr>
                </m:dPr>
                <m:e>
                  <m:r>
                    <w:rPr>
                      <w:rFonts w:ascii="Cambria Math" w:hAnsi="Cambria Math"/>
                      <w:lang w:val="en-US"/>
                    </w:rPr>
                    <m:t>46</m:t>
                  </m:r>
                </m:e>
              </m:d>
            </m:e>
          </m:eqArr>
          <m:r>
            <m:rPr>
              <m:sty m:val="p"/>
            </m:rPr>
            <w:rPr>
              <w:lang w:val="en-US"/>
            </w:rPr>
            <w:br/>
          </m:r>
        </m:oMath>
        <m:oMath>
          <m:eqArr>
            <m:eqArrPr>
              <m:maxDist m:val="1"/>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j</m:t>
                  </m:r>
                </m:sub>
              </m:sSub>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i∈</m:t>
                  </m:r>
                  <m:r>
                    <m:rPr>
                      <m:lit/>
                    </m:rPr>
                    <w:rPr>
                      <w:rFonts w:ascii="Cambria Math" w:hAnsi="Cambria Math"/>
                      <w:lang w:val="en-US"/>
                    </w:rPr>
                    <m:t>{</m:t>
                  </m:r>
                  <m:r>
                    <w:rPr>
                      <w:rFonts w:ascii="Cambria Math" w:hAnsi="Cambria Math"/>
                      <w:lang w:val="en-US"/>
                    </w:rPr>
                    <m:t>N,X,D,M</m:t>
                  </m:r>
                  <m:r>
                    <m:rPr>
                      <m:lit/>
                    </m:rPr>
                    <w:rPr>
                      <w:rFonts w:ascii="Cambria Math" w:hAnsi="Cambria Math"/>
                      <w:lang w:val="en-US"/>
                    </w:rPr>
                    <m:t>}</m:t>
                  </m:r>
                </m:sub>
                <m:sup/>
                <m:e>
                  <m:d>
                    <m:dPr>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I</m:t>
                          </m:r>
                        </m:e>
                        <m:sub>
                          <m:r>
                            <w:rPr>
                              <w:rFonts w:ascii="Cambria Math" w:hAnsi="Cambria Math"/>
                              <w:lang w:val="en-US"/>
                            </w:rPr>
                            <m:t>j</m:t>
                          </m:r>
                        </m:sub>
                        <m:sup>
                          <m:r>
                            <w:rPr>
                              <w:rFonts w:ascii="Cambria Math" w:hAnsi="Cambria Math"/>
                              <w:lang w:val="en-US"/>
                            </w:rPr>
                            <m:t>i</m:t>
                          </m:r>
                        </m:sup>
                      </m:sSubSup>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P</m:t>
                          </m:r>
                        </m:e>
                        <m:sub>
                          <m:r>
                            <w:rPr>
                              <w:rFonts w:ascii="Cambria Math" w:hAnsi="Cambria Math"/>
                              <w:lang w:val="en-US"/>
                            </w:rPr>
                            <m:t>j</m:t>
                          </m:r>
                        </m:sub>
                        <m:sup>
                          <m:r>
                            <w:rPr>
                              <w:rFonts w:ascii="Cambria Math" w:hAnsi="Cambria Math"/>
                              <w:lang w:val="en-US"/>
                            </w:rPr>
                            <m:t>i</m:t>
                          </m:r>
                        </m:sup>
                      </m:sSubSup>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S</m:t>
                          </m:r>
                        </m:e>
                        <m:sub>
                          <m:r>
                            <w:rPr>
                              <w:rFonts w:ascii="Cambria Math" w:hAnsi="Cambria Math"/>
                              <w:lang w:val="en-US"/>
                            </w:rPr>
                            <m:t>j</m:t>
                          </m:r>
                        </m:sub>
                        <m:sup>
                          <m:r>
                            <w:rPr>
                              <w:rFonts w:ascii="Cambria Math" w:hAnsi="Cambria Math"/>
                              <w:lang w:val="en-US"/>
                            </w:rPr>
                            <m:t>i</m:t>
                          </m:r>
                        </m:sup>
                      </m:sSubSup>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i</m:t>
                          </m:r>
                        </m:sup>
                      </m:sSubSup>
                      <m:d>
                        <m:dPr>
                          <m:ctrlPr>
                            <w:rPr>
                              <w:rFonts w:ascii="Cambria Math" w:hAnsi="Cambria Math"/>
                              <w:i/>
                              <w:iCs/>
                              <w:lang w:val="en-US"/>
                            </w:rPr>
                          </m:ctrlPr>
                        </m:dPr>
                        <m:e>
                          <m:r>
                            <w:rPr>
                              <w:rFonts w:ascii="Cambria Math" w:hAnsi="Cambria Math"/>
                              <w:lang w:val="en-US"/>
                            </w:rPr>
                            <m:t>t</m:t>
                          </m:r>
                        </m:e>
                      </m:d>
                    </m:e>
                  </m:d>
                </m:e>
              </m:nary>
              <m:r>
                <w:rPr>
                  <w:rFonts w:ascii="Cambria Math" w:hAnsi="Cambria Math"/>
                  <w:lang w:val="en-US"/>
                </w:rPr>
                <m:t>#</m:t>
              </m:r>
              <m:d>
                <m:dPr>
                  <m:ctrlPr>
                    <w:rPr>
                      <w:rFonts w:ascii="Cambria Math" w:hAnsi="Cambria Math"/>
                      <w:i/>
                      <w:iCs/>
                      <w:lang w:val="en-US"/>
                    </w:rPr>
                  </m:ctrlPr>
                </m:dPr>
                <m:e>
                  <m:r>
                    <w:rPr>
                      <w:rFonts w:ascii="Cambria Math" w:hAnsi="Cambria Math"/>
                      <w:lang w:val="en-US"/>
                    </w:rPr>
                    <m:t>47</m:t>
                  </m:r>
                </m:e>
              </m:d>
            </m:e>
          </m:eqArr>
          <m:r>
            <w:rPr>
              <w:lang w:val="en-US"/>
            </w:rPr>
            <w:br/>
          </m:r>
        </m:oMath>
        <m:oMath>
          <m:eqArr>
            <m:eqArrPr>
              <m:maxDist m:val="1"/>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j</m:t>
                  </m:r>
                </m:sub>
              </m:sSub>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i∈</m:t>
                  </m:r>
                  <m:r>
                    <m:rPr>
                      <m:lit/>
                    </m:rPr>
                    <w:rPr>
                      <w:rFonts w:ascii="Cambria Math" w:hAnsi="Cambria Math"/>
                      <w:lang w:val="en-US"/>
                    </w:rPr>
                    <m:t>{</m:t>
                  </m:r>
                  <m:r>
                    <w:rPr>
                      <w:rFonts w:ascii="Cambria Math" w:hAnsi="Cambria Math"/>
                      <w:lang w:val="en-US"/>
                    </w:rPr>
                    <m:t>N,X,D,M</m:t>
                  </m:r>
                  <m:r>
                    <m:rPr>
                      <m:lit/>
                    </m:rPr>
                    <w:rPr>
                      <w:rFonts w:ascii="Cambria Math" w:hAnsi="Cambria Math"/>
                      <w:lang w:val="en-US"/>
                    </w:rPr>
                    <m:t>}</m:t>
                  </m:r>
                </m:sub>
                <m:sup/>
                <m:e>
                  <m:d>
                    <m:dPr>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i</m:t>
                          </m:r>
                        </m:sup>
                      </m:sSubSup>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I</m:t>
                          </m:r>
                        </m:e>
                        <m:sub>
                          <m:r>
                            <w:rPr>
                              <w:rFonts w:ascii="Cambria Math" w:hAnsi="Cambria Math"/>
                              <w:lang w:val="en-US"/>
                            </w:rPr>
                            <m:t>j</m:t>
                          </m:r>
                        </m:sub>
                        <m:sup>
                          <m:r>
                            <w:rPr>
                              <w:rFonts w:ascii="Cambria Math" w:hAnsi="Cambria Math"/>
                              <w:lang w:val="en-US"/>
                            </w:rPr>
                            <m:t>i</m:t>
                          </m:r>
                        </m:sup>
                      </m:sSubSup>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P</m:t>
                          </m:r>
                        </m:e>
                        <m:sub>
                          <m:r>
                            <w:rPr>
                              <w:rFonts w:ascii="Cambria Math" w:hAnsi="Cambria Math"/>
                              <w:lang w:val="en-US"/>
                            </w:rPr>
                            <m:t>j</m:t>
                          </m:r>
                        </m:sub>
                        <m:sup>
                          <m:r>
                            <w:rPr>
                              <w:rFonts w:ascii="Cambria Math" w:hAnsi="Cambria Math"/>
                              <w:lang w:val="en-US"/>
                            </w:rPr>
                            <m:t>i</m:t>
                          </m:r>
                        </m:sup>
                      </m:sSubSup>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S</m:t>
                          </m:r>
                        </m:e>
                        <m:sub>
                          <m:r>
                            <w:rPr>
                              <w:rFonts w:ascii="Cambria Math" w:hAnsi="Cambria Math"/>
                              <w:lang w:val="en-US"/>
                            </w:rPr>
                            <m:t>j</m:t>
                          </m:r>
                        </m:sub>
                        <m:sup>
                          <m:r>
                            <w:rPr>
                              <w:rFonts w:ascii="Cambria Math" w:hAnsi="Cambria Math"/>
                              <w:lang w:val="en-US"/>
                            </w:rPr>
                            <m:t>i</m:t>
                          </m:r>
                        </m:sup>
                      </m:sSubSup>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i</m:t>
                          </m:r>
                        </m:sup>
                      </m:sSubSup>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L</m:t>
                          </m:r>
                        </m:e>
                        <m:sub>
                          <m:r>
                            <w:rPr>
                              <w:rFonts w:ascii="Cambria Math" w:hAnsi="Cambria Math"/>
                              <w:lang w:val="en-US"/>
                            </w:rPr>
                            <m:t>j</m:t>
                          </m:r>
                        </m:sub>
                        <m:sup>
                          <m:r>
                            <w:rPr>
                              <w:rFonts w:ascii="Cambria Math" w:hAnsi="Cambria Math"/>
                              <w:lang w:val="en-US"/>
                            </w:rPr>
                            <m:t>i</m:t>
                          </m:r>
                        </m:sup>
                      </m:sSubSup>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i</m:t>
                          </m:r>
                        </m:sup>
                      </m:sSubSup>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i</m:t>
                          </m:r>
                        </m:sup>
                      </m:sSubSup>
                      <m:d>
                        <m:dPr>
                          <m:ctrlPr>
                            <w:rPr>
                              <w:rFonts w:ascii="Cambria Math" w:hAnsi="Cambria Math"/>
                              <w:i/>
                              <w:iCs/>
                              <w:lang w:val="en-US"/>
                            </w:rPr>
                          </m:ctrlPr>
                        </m:dPr>
                        <m:e>
                          <m:r>
                            <w:rPr>
                              <w:rFonts w:ascii="Cambria Math" w:hAnsi="Cambria Math"/>
                              <w:lang w:val="en-US"/>
                            </w:rPr>
                            <m:t>t</m:t>
                          </m:r>
                        </m:e>
                      </m:d>
                    </m:e>
                  </m:d>
                </m:e>
              </m:nary>
              <m:r>
                <w:rPr>
                  <w:rFonts w:ascii="Cambria Math" w:hAnsi="Cambria Math"/>
                  <w:lang w:val="en-US"/>
                </w:rPr>
                <m:t>#</m:t>
              </m:r>
              <m:d>
                <m:dPr>
                  <m:ctrlPr>
                    <w:rPr>
                      <w:rFonts w:ascii="Cambria Math" w:hAnsi="Cambria Math"/>
                      <w:i/>
                      <w:iCs/>
                      <w:lang w:val="en-US"/>
                    </w:rPr>
                  </m:ctrlPr>
                </m:dPr>
                <m:e>
                  <m:r>
                    <w:rPr>
                      <w:rFonts w:ascii="Cambria Math" w:hAnsi="Cambria Math"/>
                      <w:lang w:val="en-US"/>
                    </w:rPr>
                    <m:t>48</m:t>
                  </m:r>
                </m:e>
              </m:d>
            </m:e>
          </m:eqArr>
          <m:r>
            <w:rPr>
              <w:rFonts w:ascii="Cambria Math" w:hAnsi="Cambria Math"/>
              <w:lang w:val="en-US"/>
            </w:rPr>
            <w:br/>
          </m:r>
        </m:oMath>
        <m:oMath>
          <m:eqArr>
            <m:eqArrPr>
              <m:maxDist m:val="1"/>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H</m:t>
                  </m:r>
                </m:sub>
              </m:sSub>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H</m:t>
                  </m:r>
                </m:sub>
              </m:sSub>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0</m:t>
                      </m:r>
                    </m:sub>
                  </m:sSub>
                </m:e>
              </m:d>
              <m:d>
                <m:dPr>
                  <m:ctrlPr>
                    <w:rPr>
                      <w:rFonts w:ascii="Cambria Math" w:hAnsi="Cambria Math"/>
                      <w:i/>
                      <w:iCs/>
                      <w:lang w:val="en-US"/>
                    </w:rPr>
                  </m:ctrlPr>
                </m:dPr>
                <m:e>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ϕ</m:t>
                      </m:r>
                    </m:e>
                    <m:sub>
                      <m:r>
                        <w:rPr>
                          <w:rFonts w:ascii="Cambria Math" w:hAnsi="Cambria Math"/>
                          <w:lang w:val="en-US"/>
                        </w:rPr>
                        <m:t>η</m:t>
                      </m:r>
                    </m:sub>
                  </m:sSub>
                  <m:d>
                    <m:dPr>
                      <m:ctrlPr>
                        <w:rPr>
                          <w:rFonts w:ascii="Cambria Math" w:hAnsi="Cambria Math"/>
                          <w:i/>
                          <w:iCs/>
                          <w:lang w:val="en-US"/>
                        </w:rPr>
                      </m:ctrlPr>
                    </m:dPr>
                    <m:e>
                      <m:r>
                        <w:rPr>
                          <w:rFonts w:ascii="Cambria Math" w:hAnsi="Cambria Math"/>
                          <w:lang w:val="en-US"/>
                        </w:rPr>
                        <m:t>t-</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0</m:t>
                          </m:r>
                        </m:sub>
                      </m:sSub>
                    </m:e>
                  </m:d>
                </m:e>
              </m:d>
              <m:r>
                <w:rPr>
                  <w:rFonts w:ascii="Cambria Math" w:hAnsi="Cambria Math"/>
                  <w:lang w:val="en-US"/>
                </w:rPr>
                <m:t>#</m:t>
              </m:r>
              <m:d>
                <m:dPr>
                  <m:ctrlPr>
                    <w:rPr>
                      <w:rFonts w:ascii="Cambria Math" w:hAnsi="Cambria Math"/>
                      <w:i/>
                      <w:iCs/>
                      <w:lang w:val="en-US"/>
                    </w:rPr>
                  </m:ctrlPr>
                </m:dPr>
                <m:e>
                  <m:r>
                    <w:rPr>
                      <w:rFonts w:ascii="Cambria Math" w:hAnsi="Cambria Math"/>
                      <w:lang w:val="en-US"/>
                    </w:rPr>
                    <m:t>49</m:t>
                  </m:r>
                </m:e>
              </m:d>
            </m:e>
          </m:eqArr>
          <m:r>
            <m:rPr>
              <m:sty m:val="p"/>
            </m:rPr>
            <w:rPr>
              <w:lang w:val="en-US"/>
            </w:rPr>
            <w:br/>
          </m:r>
        </m:oMath>
        <m:oMath>
          <m:eqArr>
            <m:eqArrPr>
              <m:maxDist m:val="1"/>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L</m:t>
                  </m:r>
                </m:sub>
              </m:sSub>
              <m:d>
                <m:dPr>
                  <m:ctrlPr>
                    <w:rPr>
                      <w:rFonts w:ascii="Cambria Math" w:hAnsi="Cambria Math"/>
                      <w:i/>
                      <w:iCs/>
                      <w:lang w:val="en-US"/>
                    </w:rPr>
                  </m:ctrlPr>
                </m:dPr>
                <m:e>
                  <m:r>
                    <w:rPr>
                      <w:rFonts w:ascii="Cambria Math" w:hAnsi="Cambria Math"/>
                      <w:lang w:val="en-US"/>
                    </w:rPr>
                    <m:t>t</m:t>
                  </m:r>
                </m:e>
              </m:d>
              <m:r>
                <w:rPr>
                  <w:rFonts w:ascii="Cambria Math" w:hAnsi="Cambria Math"/>
                  <w:lang w:val="en-US"/>
                </w:rPr>
                <m:t>=ω</m:t>
              </m:r>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H</m:t>
                  </m:r>
                </m:sub>
              </m:sSub>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d>
                <m:dPr>
                  <m:ctrlPr>
                    <w:rPr>
                      <w:rFonts w:ascii="Cambria Math" w:hAnsi="Cambria Math"/>
                      <w:i/>
                      <w:iCs/>
                      <w:lang w:val="en-US"/>
                    </w:rPr>
                  </m:ctrlPr>
                </m:dPr>
                <m:e>
                  <m:r>
                    <w:rPr>
                      <w:rFonts w:ascii="Cambria Math" w:hAnsi="Cambria Math"/>
                      <w:lang w:val="en-US"/>
                    </w:rPr>
                    <m:t>50</m:t>
                  </m:r>
                </m:e>
              </m:d>
            </m:e>
          </m:eqArr>
          <m:r>
            <m:rPr>
              <m:sty m:val="p"/>
            </m:rPr>
            <w:rPr>
              <w:highlight w:val="yellow"/>
              <w:lang w:val="en-US"/>
            </w:rPr>
            <w:br/>
          </m:r>
        </m:oMath>
        <m:oMath>
          <m:eqArr>
            <m:eqArrPr>
              <m:maxDist m:val="1"/>
              <m:ctrlPr>
                <w:rPr>
                  <w:rFonts w:ascii="Cambria Math" w:hAnsi="Cambria Math"/>
                  <w:i/>
                  <w:iCs/>
                  <w:lang w:val="en-US"/>
                </w:rPr>
              </m:ctrlPr>
            </m:eqArrPr>
            <m:e>
              <m:r>
                <w:rPr>
                  <w:rFonts w:ascii="Cambria Math" w:hAnsi="Cambria Math"/>
                  <w:lang w:val="en-US"/>
                </w:rPr>
                <m:t>δ</m:t>
              </m:r>
              <m:d>
                <m:dPr>
                  <m:ctrlPr>
                    <w:rPr>
                      <w:rFonts w:ascii="Cambria Math" w:hAnsi="Cambria Math"/>
                      <w:i/>
                      <w:iCs/>
                      <w:lang w:val="en-US"/>
                    </w:rPr>
                  </m:ctrlPr>
                </m:dPr>
                <m:e>
                  <m:r>
                    <w:rPr>
                      <w:rFonts w:ascii="Cambria Math" w:hAnsi="Cambria Math"/>
                      <w:lang w:val="en-US"/>
                    </w:rPr>
                    <m:t>t</m:t>
                  </m:r>
                </m:e>
              </m:d>
              <m:r>
                <w:rPr>
                  <w:rFonts w:ascii="Cambria Math" w:hAnsi="Cambria Math"/>
                  <w:lang w:val="en-US"/>
                </w:rPr>
                <m:t>=δ(</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δ</m:t>
                  </m:r>
                </m:sub>
              </m:sSub>
              <m:r>
                <w:rPr>
                  <w:rFonts w:ascii="Cambria Math" w:hAnsi="Cambria Math"/>
                  <w:lang w:val="en-US"/>
                </w:rPr>
                <m:t>(t-</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d>
                <m:dPr>
                  <m:ctrlPr>
                    <w:rPr>
                      <w:rFonts w:ascii="Cambria Math" w:hAnsi="Cambria Math"/>
                      <w:i/>
                      <w:iCs/>
                      <w:lang w:val="en-US"/>
                    </w:rPr>
                  </m:ctrlPr>
                </m:dPr>
                <m:e>
                  <m:r>
                    <w:rPr>
                      <w:rFonts w:ascii="Cambria Math" w:hAnsi="Cambria Math"/>
                      <w:lang w:val="en-US"/>
                    </w:rPr>
                    <m:t>51</m:t>
                  </m:r>
                </m:e>
              </m:d>
            </m:e>
          </m:eqArr>
          <m:r>
            <w:rPr>
              <w:rFonts w:ascii="Cambria Math" w:hAnsi="Cambria Math"/>
              <w:lang w:val="en-US"/>
            </w:rPr>
            <w:br/>
          </m:r>
        </m:oMath>
        <m:oMath>
          <m:eqArr>
            <m:eqArrPr>
              <m:maxDist m:val="1"/>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ξ</m:t>
                  </m:r>
                </m:e>
                <m:sub>
                  <m:r>
                    <w:rPr>
                      <w:rFonts w:ascii="Cambria Math" w:hAnsi="Cambria Math"/>
                      <w:lang w:val="en-US"/>
                    </w:rPr>
                    <m:t>n</m:t>
                  </m:r>
                </m:sub>
              </m:sSub>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ξ</m:t>
                  </m:r>
                </m:e>
                <m:sub>
                  <m:r>
                    <w:rPr>
                      <w:rFonts w:ascii="Cambria Math" w:hAnsi="Cambria Math"/>
                      <w:lang w:val="en-US"/>
                    </w:rPr>
                    <m:t>n</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n</m:t>
                  </m:r>
                </m:sub>
              </m:sSub>
              <m:r>
                <w:rPr>
                  <w:rFonts w:ascii="Cambria Math" w:hAnsi="Cambria Math"/>
                  <w:lang w:val="en-US"/>
                </w:rPr>
                <m:t>(t-</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r>
                <w:rPr>
                  <w:rFonts w:ascii="Cambria Math" w:hAnsi="Cambria Math"/>
                  <w:lang w:val="en-US"/>
                </w:rPr>
                <m:t>#</m:t>
              </m:r>
              <m:d>
                <m:dPr>
                  <m:ctrlPr>
                    <w:rPr>
                      <w:rFonts w:ascii="Cambria Math" w:hAnsi="Cambria Math"/>
                      <w:i/>
                      <w:iCs/>
                      <w:lang w:val="en-US"/>
                    </w:rPr>
                  </m:ctrlPr>
                </m:dPr>
                <m:e>
                  <m:r>
                    <w:rPr>
                      <w:rFonts w:ascii="Cambria Math" w:hAnsi="Cambria Math"/>
                      <w:lang w:val="en-US"/>
                    </w:rPr>
                    <m:t>52</m:t>
                  </m:r>
                </m:e>
              </m:d>
            </m:e>
          </m:eqArr>
        </m:oMath>
      </m:oMathPara>
    </w:p>
    <w:p w14:paraId="49DEFC63" w14:textId="0C907225" w:rsidR="004319FC" w:rsidRDefault="004319FC" w:rsidP="0060134A">
      <w:pPr>
        <w:pStyle w:val="NormalWeb"/>
        <w:spacing w:line="276" w:lineRule="auto"/>
        <w:jc w:val="both"/>
        <w:rPr>
          <w:lang w:val="en-US"/>
        </w:rPr>
      </w:pPr>
      <w:r>
        <w:rPr>
          <w:lang w:val="en-US"/>
        </w:rPr>
        <w:t xml:space="preserve">For each doxy-PEP stratum </w:t>
      </w:r>
      <m:oMath>
        <m:r>
          <w:rPr>
            <w:rFonts w:ascii="Cambria Math" w:hAnsi="Cambria Math"/>
            <w:lang w:val="en-US"/>
          </w:rPr>
          <m:t>i</m:t>
        </m:r>
        <m:r>
          <m:rPr>
            <m:sty m:val="p"/>
          </m:rPr>
          <w:rPr>
            <w:rFonts w:ascii="Cambria Math" w:hAnsi="Cambria Math"/>
            <w:lang w:val="en-US"/>
          </w:rPr>
          <m:t>∈</m:t>
        </m:r>
        <m:r>
          <m:rPr>
            <m:lit/>
            <m:sty m:val="p"/>
          </m:rPr>
          <w:rPr>
            <w:rFonts w:ascii="Cambria Math" w:hAnsi="Cambria Math"/>
            <w:lang w:val="en-US"/>
          </w:rPr>
          <m:t>{</m:t>
        </m:r>
        <m:r>
          <w:rPr>
            <w:rFonts w:ascii="Cambria Math" w:hAnsi="Cambria Math"/>
            <w:lang w:val="en-US"/>
          </w:rPr>
          <m:t>N,X,D,M</m:t>
        </m:r>
        <m:r>
          <m:rPr>
            <m:lit/>
          </m:rPr>
          <w:rPr>
            <w:rFonts w:ascii="Cambria Math" w:hAnsi="Cambria Math"/>
            <w:lang w:val="en-US"/>
          </w:rPr>
          <m:t>}</m:t>
        </m:r>
      </m:oMath>
      <w:r>
        <w:rPr>
          <w:lang w:val="en-US"/>
        </w:rPr>
        <w:t xml:space="preserve"> and calendar year </w:t>
      </w:r>
      <m:oMath>
        <m:r>
          <w:rPr>
            <w:rFonts w:ascii="Cambria Math" w:hAnsi="Cambria Math"/>
            <w:lang w:val="en-US"/>
          </w:rPr>
          <m:t>t</m:t>
        </m:r>
      </m:oMath>
      <w:r>
        <w:rPr>
          <w:lang w:val="en-US"/>
        </w:rPr>
        <w:t xml:space="preserve">, the total number of diagnosed cases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D</m:t>
            </m:r>
          </m:sub>
          <m:sup>
            <m:r>
              <w:rPr>
                <w:rFonts w:ascii="Cambria Math" w:hAnsi="Cambria Math"/>
                <w:lang w:val="en-US"/>
              </w:rPr>
              <m:t>i</m:t>
            </m:r>
          </m:sup>
        </m:sSubSup>
        <m:d>
          <m:dPr>
            <m:ctrlPr>
              <w:rPr>
                <w:rFonts w:ascii="Cambria Math" w:hAnsi="Cambria Math"/>
                <w:lang w:val="en-US"/>
              </w:rPr>
            </m:ctrlPr>
          </m:dPr>
          <m:e>
            <m:r>
              <w:rPr>
                <w:rFonts w:ascii="Cambria Math" w:hAnsi="Cambria Math"/>
                <w:lang w:val="en-US"/>
              </w:rPr>
              <m:t>t</m:t>
            </m:r>
            <m:ctrlPr>
              <w:rPr>
                <w:rFonts w:ascii="Cambria Math" w:hAnsi="Cambria Math"/>
                <w:i/>
                <w:lang w:val="en-US"/>
              </w:rPr>
            </m:ctrlPr>
          </m:e>
        </m:d>
      </m:oMath>
      <w:r>
        <w:rPr>
          <w:lang w:val="en-US"/>
        </w:rPr>
        <w:t xml:space="preserve">, the number of </w:t>
      </w:r>
      <w:r w:rsidR="00F43BF8">
        <w:rPr>
          <w:lang w:val="en-US"/>
        </w:rPr>
        <w:t>primary-stage</w:t>
      </w:r>
      <w:r>
        <w:rPr>
          <w:lang w:val="en-US"/>
        </w:rPr>
        <w:t xml:space="preserve"> diagnoses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oMath>
      <w:r w:rsidRPr="00F43BF8">
        <w:rPr>
          <w:iCs/>
          <w:lang w:val="en-US"/>
        </w:rPr>
        <w:t>,</w:t>
      </w:r>
      <w:r>
        <w:rPr>
          <w:lang w:val="en-US"/>
        </w:rPr>
        <w:t xml:space="preserve"> </w:t>
      </w:r>
      <w:r w:rsidR="00F43BF8">
        <w:rPr>
          <w:lang w:val="en-US"/>
        </w:rPr>
        <w:t xml:space="preserve">the number of secondary-stage diagnoses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S</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oMath>
      <w:r w:rsidR="00F43BF8">
        <w:rPr>
          <w:lang w:val="en-US"/>
        </w:rPr>
        <w:t xml:space="preserve">, the number of early-latent-stage diagnoses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E</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oMath>
      <w:r w:rsidR="00F43BF8">
        <w:rPr>
          <w:lang w:val="en-US"/>
        </w:rPr>
        <w:t xml:space="preserve">, the number of late-latent-stage diagnoses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L</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oMath>
      <w:r w:rsidR="00F43BF8">
        <w:rPr>
          <w:lang w:val="en-US"/>
        </w:rPr>
        <w:t xml:space="preserve">, the number of tertiary-stage diagnoses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oMath>
      <w:r w:rsidR="00F43BF8">
        <w:rPr>
          <w:lang w:val="en-US"/>
        </w:rPr>
        <w:t xml:space="preserve">, </w:t>
      </w:r>
      <w:r>
        <w:rPr>
          <w:lang w:val="en-US"/>
        </w:rPr>
        <w:t xml:space="preserve">the number of unaffected patients screened for syphilis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U</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oMath>
      <w:r>
        <w:rPr>
          <w:lang w:val="en-US"/>
        </w:rPr>
        <w:t>,</w:t>
      </w:r>
      <w:r w:rsidR="00253087">
        <w:rPr>
          <w:lang w:val="en-US"/>
        </w:rPr>
        <w:t xml:space="preserve"> the number of syphilis tests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oMath>
      <w:r w:rsidR="00253087">
        <w:rPr>
          <w:lang w:val="en-US"/>
        </w:rPr>
        <w:t>, are as follows:</w:t>
      </w:r>
    </w:p>
    <w:p w14:paraId="246FE937" w14:textId="1B094197" w:rsidR="00253087" w:rsidRDefault="00000000" w:rsidP="0060134A">
      <w:pPr>
        <w:pStyle w:val="NormalWeb"/>
        <w:spacing w:line="276" w:lineRule="auto"/>
        <w:jc w:val="both"/>
        <w:rPr>
          <w:lang w:val="en-US"/>
        </w:rPr>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D</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j∈</m:t>
                  </m:r>
                  <m:r>
                    <m:rPr>
                      <m:lit/>
                    </m:rPr>
                    <w:rPr>
                      <w:rFonts w:ascii="Cambria Math" w:hAnsi="Cambria Math"/>
                      <w:lang w:val="en-US"/>
                    </w:rPr>
                    <m:t>{</m:t>
                  </m:r>
                  <m:r>
                    <w:rPr>
                      <w:rFonts w:ascii="Cambria Math" w:hAnsi="Cambria Math"/>
                      <w:lang w:val="en-US"/>
                    </w:rPr>
                    <m:t>L,H</m:t>
                  </m:r>
                  <m:r>
                    <m:rPr>
                      <m:lit/>
                    </m:rPr>
                    <w:rPr>
                      <w:rFonts w:ascii="Cambria Math" w:hAnsi="Cambria Math"/>
                      <w:lang w:val="en-US"/>
                    </w:rPr>
                    <m:t>}</m:t>
                  </m:r>
                </m:sub>
                <m:sup/>
                <m:e>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t</m:t>
                          </m:r>
                        </m:sub>
                        <m:sup>
                          <m:r>
                            <w:rPr>
                              <w:rFonts w:ascii="Cambria Math" w:hAnsi="Cambria Math"/>
                              <w:lang w:val="en-US"/>
                            </w:rPr>
                            <m:t>t+1</m:t>
                          </m:r>
                        </m:sup>
                        <m:e>
                          <m:r>
                            <w:rPr>
                              <w:rFonts w:ascii="Cambria Math" w:hAnsi="Cambria Math"/>
                              <w:lang w:val="en-US"/>
                            </w:rPr>
                            <m:t>ρ</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τ</m:t>
                              </m:r>
                            </m:e>
                          </m:d>
                          <m:r>
                            <w:rPr>
                              <w:rFonts w:ascii="Cambria Math" w:hAnsi="Cambria Math"/>
                              <w:lang w:val="en-US"/>
                            </w:rPr>
                            <m:t>dτ</m:t>
                          </m:r>
                        </m:e>
                      </m:nary>
                    </m:e>
                  </m:d>
                </m:e>
              </m:nary>
              <m:r>
                <w:rPr>
                  <w:rFonts w:ascii="Cambria Math" w:hAnsi="Cambria Math"/>
                  <w:lang w:val="en-US"/>
                </w:rPr>
                <m:t>#</m:t>
              </m:r>
              <m:d>
                <m:dPr>
                  <m:ctrlPr>
                    <w:rPr>
                      <w:rFonts w:ascii="Cambria Math" w:hAnsi="Cambria Math"/>
                      <w:i/>
                      <w:lang w:val="en-US"/>
                    </w:rPr>
                  </m:ctrlPr>
                </m:dPr>
                <m:e>
                  <m:r>
                    <w:rPr>
                      <w:rFonts w:ascii="Cambria Math" w:hAnsi="Cambria Math"/>
                      <w:lang w:val="en-US"/>
                    </w:rPr>
                    <m:t>53</m:t>
                  </m:r>
                </m:e>
              </m:d>
            </m:e>
          </m:eqArr>
          <m:r>
            <m:rPr>
              <m:sty m:val="p"/>
            </m:rPr>
            <w:rPr>
              <w:rFonts w:ascii="Cambria Math" w:hAnsi="Cambria Math"/>
              <w:lang w:val="en-US"/>
            </w:rPr>
            <w:br/>
          </m:r>
        </m:oMath>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j∈</m:t>
                  </m:r>
                  <m:r>
                    <m:rPr>
                      <m:lit/>
                    </m:rPr>
                    <w:rPr>
                      <w:rFonts w:ascii="Cambria Math" w:hAnsi="Cambria Math"/>
                      <w:lang w:val="en-US"/>
                    </w:rPr>
                    <m:t>{</m:t>
                  </m:r>
                  <m:r>
                    <w:rPr>
                      <w:rFonts w:ascii="Cambria Math" w:hAnsi="Cambria Math"/>
                      <w:lang w:val="en-US"/>
                    </w:rPr>
                    <m:t>L,H</m:t>
                  </m:r>
                  <m:r>
                    <m:rPr>
                      <m:lit/>
                    </m:rPr>
                    <w:rPr>
                      <w:rFonts w:ascii="Cambria Math" w:hAnsi="Cambria Math"/>
                      <w:lang w:val="en-US"/>
                    </w:rPr>
                    <m:t>}</m:t>
                  </m:r>
                </m:sub>
                <m:sup/>
                <m:e>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t</m:t>
                          </m:r>
                        </m:sub>
                        <m:sup>
                          <m:r>
                            <w:rPr>
                              <w:rFonts w:ascii="Cambria Math" w:hAnsi="Cambria Math"/>
                              <w:lang w:val="en-US"/>
                            </w:rPr>
                            <m:t>t+1</m:t>
                          </m:r>
                        </m:sup>
                        <m:e>
                          <m:r>
                            <w:rPr>
                              <w:rFonts w:ascii="Cambria Math" w:hAnsi="Cambria Math"/>
                              <w:lang w:val="en-US"/>
                            </w:rPr>
                            <m:t>μ</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j</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τ</m:t>
                              </m:r>
                            </m:e>
                          </m:d>
                          <m:r>
                            <w:rPr>
                              <w:rFonts w:ascii="Cambria Math" w:hAnsi="Cambria Math"/>
                              <w:lang w:val="en-US"/>
                            </w:rPr>
                            <m:t>dτ</m:t>
                          </m:r>
                        </m:e>
                      </m:nary>
                    </m:e>
                  </m:d>
                </m:e>
              </m:nary>
              <m:r>
                <w:rPr>
                  <w:rFonts w:ascii="Cambria Math" w:hAnsi="Cambria Math"/>
                  <w:lang w:val="en-US"/>
                </w:rPr>
                <m:t>#</m:t>
              </m:r>
              <m:d>
                <m:dPr>
                  <m:ctrlPr>
                    <w:rPr>
                      <w:rFonts w:ascii="Cambria Math" w:hAnsi="Cambria Math"/>
                      <w:i/>
                      <w:lang w:val="en-US"/>
                    </w:rPr>
                  </m:ctrlPr>
                </m:dPr>
                <m:e>
                  <m:r>
                    <w:rPr>
                      <w:rFonts w:ascii="Cambria Math" w:hAnsi="Cambria Math"/>
                      <w:lang w:val="en-US"/>
                    </w:rPr>
                    <m:t>54</m:t>
                  </m:r>
                </m:e>
              </m:d>
            </m:e>
          </m:eqArr>
          <m:r>
            <m:rPr>
              <m:sty m:val="p"/>
            </m:rPr>
            <w:rPr>
              <w:lang w:val="en-US"/>
            </w:rPr>
            <w:br/>
          </m:r>
        </m:oMath>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S</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j∈</m:t>
                  </m:r>
                  <m:r>
                    <m:rPr>
                      <m:lit/>
                    </m:rPr>
                    <w:rPr>
                      <w:rFonts w:ascii="Cambria Math" w:hAnsi="Cambria Math"/>
                      <w:lang w:val="en-US"/>
                    </w:rPr>
                    <m:t>{</m:t>
                  </m:r>
                  <m:r>
                    <w:rPr>
                      <w:rFonts w:ascii="Cambria Math" w:hAnsi="Cambria Math"/>
                      <w:lang w:val="en-US"/>
                    </w:rPr>
                    <m:t>L,H</m:t>
                  </m:r>
                  <m:r>
                    <m:rPr>
                      <m:lit/>
                    </m:rPr>
                    <w:rPr>
                      <w:rFonts w:ascii="Cambria Math" w:hAnsi="Cambria Math"/>
                      <w:lang w:val="en-US"/>
                    </w:rPr>
                    <m:t>}</m:t>
                  </m:r>
                </m:sub>
                <m:sup/>
                <m:e>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t</m:t>
                          </m:r>
                        </m:sub>
                        <m:sup>
                          <m:r>
                            <w:rPr>
                              <w:rFonts w:ascii="Cambria Math" w:hAnsi="Cambria Math"/>
                              <w:lang w:val="en-US"/>
                            </w:rPr>
                            <m:t>t+1</m:t>
                          </m:r>
                        </m:sup>
                        <m:e>
                          <m:r>
                            <w:rPr>
                              <w:rFonts w:ascii="Cambria Math" w:hAnsi="Cambria Math"/>
                              <w:lang w:val="en-US"/>
                            </w:rPr>
                            <m:t>μ</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j</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τ</m:t>
                              </m:r>
                            </m:e>
                          </m:d>
                          <m:r>
                            <w:rPr>
                              <w:rFonts w:ascii="Cambria Math" w:hAnsi="Cambria Math"/>
                              <w:lang w:val="en-US"/>
                            </w:rPr>
                            <m:t>dτ</m:t>
                          </m:r>
                        </m:e>
                      </m:nary>
                    </m:e>
                  </m:d>
                </m:e>
              </m:nary>
              <m:r>
                <w:rPr>
                  <w:rFonts w:ascii="Cambria Math" w:hAnsi="Cambria Math"/>
                  <w:lang w:val="en-US"/>
                </w:rPr>
                <m:t>#</m:t>
              </m:r>
              <m:d>
                <m:dPr>
                  <m:ctrlPr>
                    <w:rPr>
                      <w:rFonts w:ascii="Cambria Math" w:hAnsi="Cambria Math"/>
                      <w:i/>
                      <w:lang w:val="en-US"/>
                    </w:rPr>
                  </m:ctrlPr>
                </m:dPr>
                <m:e>
                  <m:r>
                    <w:rPr>
                      <w:rFonts w:ascii="Cambria Math" w:hAnsi="Cambria Math"/>
                      <w:lang w:val="en-US"/>
                    </w:rPr>
                    <m:t>55</m:t>
                  </m:r>
                </m:e>
              </m:d>
            </m:e>
          </m:eqArr>
          <m:r>
            <m:rPr>
              <m:sty m:val="p"/>
            </m:rPr>
            <w:rPr>
              <w:lang w:val="en-US"/>
            </w:rPr>
            <w:br/>
          </m:r>
        </m:oMath>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E</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j∈</m:t>
                  </m:r>
                  <m:r>
                    <m:rPr>
                      <m:lit/>
                    </m:rPr>
                    <w:rPr>
                      <w:rFonts w:ascii="Cambria Math" w:hAnsi="Cambria Math"/>
                      <w:lang w:val="en-US"/>
                    </w:rPr>
                    <m:t>{</m:t>
                  </m:r>
                  <m:r>
                    <w:rPr>
                      <w:rFonts w:ascii="Cambria Math" w:hAnsi="Cambria Math"/>
                      <w:lang w:val="en-US"/>
                    </w:rPr>
                    <m:t>L,H</m:t>
                  </m:r>
                  <m:r>
                    <m:rPr>
                      <m:lit/>
                    </m:rPr>
                    <w:rPr>
                      <w:rFonts w:ascii="Cambria Math" w:hAnsi="Cambria Math"/>
                      <w:lang w:val="en-US"/>
                    </w:rPr>
                    <m:t>}</m:t>
                  </m:r>
                </m:sub>
                <m:sup/>
                <m:e>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t</m:t>
                          </m:r>
                        </m:sub>
                        <m:sup>
                          <m:r>
                            <w:rPr>
                              <w:rFonts w:ascii="Cambria Math" w:hAnsi="Cambria Math"/>
                              <w:lang w:val="en-US"/>
                            </w:rPr>
                            <m:t>t+1</m:t>
                          </m:r>
                        </m:sup>
                        <m:e>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τ</m:t>
                              </m:r>
                            </m:e>
                          </m:d>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τ</m:t>
                              </m:r>
                            </m:e>
                          </m:d>
                          <m:r>
                            <w:rPr>
                              <w:rFonts w:ascii="Cambria Math" w:hAnsi="Cambria Math"/>
                              <w:lang w:val="en-US"/>
                            </w:rPr>
                            <m:t>dτ</m:t>
                          </m:r>
                        </m:e>
                      </m:nary>
                    </m:e>
                  </m:d>
                </m:e>
              </m:nary>
              <m:r>
                <w:rPr>
                  <w:rFonts w:ascii="Cambria Math" w:hAnsi="Cambria Math"/>
                  <w:lang w:val="en-US"/>
                </w:rPr>
                <m:t>#</m:t>
              </m:r>
              <m:d>
                <m:dPr>
                  <m:ctrlPr>
                    <w:rPr>
                      <w:rFonts w:ascii="Cambria Math" w:hAnsi="Cambria Math"/>
                      <w:i/>
                      <w:lang w:val="en-US"/>
                    </w:rPr>
                  </m:ctrlPr>
                </m:dPr>
                <m:e>
                  <m:r>
                    <w:rPr>
                      <w:rFonts w:ascii="Cambria Math" w:hAnsi="Cambria Math"/>
                      <w:lang w:val="en-US"/>
                    </w:rPr>
                    <m:t>56</m:t>
                  </m:r>
                </m:e>
              </m:d>
            </m:e>
          </m:eqArr>
          <m:r>
            <m:rPr>
              <m:sty m:val="p"/>
            </m:rPr>
            <w:rPr>
              <w:lang w:val="en-US"/>
            </w:rPr>
            <w:br/>
          </m:r>
        </m:oMath>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L</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j∈</m:t>
                  </m:r>
                  <m:r>
                    <m:rPr>
                      <m:lit/>
                    </m:rPr>
                    <w:rPr>
                      <w:rFonts w:ascii="Cambria Math" w:hAnsi="Cambria Math"/>
                      <w:lang w:val="en-US"/>
                    </w:rPr>
                    <m:t>{</m:t>
                  </m:r>
                  <m:r>
                    <w:rPr>
                      <w:rFonts w:ascii="Cambria Math" w:hAnsi="Cambria Math"/>
                      <w:lang w:val="en-US"/>
                    </w:rPr>
                    <m:t>L,H</m:t>
                  </m:r>
                  <m:r>
                    <m:rPr>
                      <m:lit/>
                    </m:rPr>
                    <w:rPr>
                      <w:rFonts w:ascii="Cambria Math" w:hAnsi="Cambria Math"/>
                      <w:lang w:val="en-US"/>
                    </w:rPr>
                    <m:t>}</m:t>
                  </m:r>
                </m:sub>
                <m:sup/>
                <m:e>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t</m:t>
                          </m:r>
                        </m:sub>
                        <m:sup>
                          <m:r>
                            <w:rPr>
                              <w:rFonts w:ascii="Cambria Math" w:hAnsi="Cambria Math"/>
                              <w:lang w:val="en-US"/>
                            </w:rPr>
                            <m:t>t+1</m:t>
                          </m:r>
                        </m:sup>
                        <m:e>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τ</m:t>
                              </m:r>
                            </m:e>
                          </m:d>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j</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τ</m:t>
                              </m:r>
                            </m:e>
                          </m:d>
                          <m:r>
                            <w:rPr>
                              <w:rFonts w:ascii="Cambria Math" w:hAnsi="Cambria Math"/>
                              <w:lang w:val="en-US"/>
                            </w:rPr>
                            <m:t>dτ</m:t>
                          </m:r>
                        </m:e>
                      </m:nary>
                    </m:e>
                  </m:d>
                </m:e>
              </m:nary>
              <m:r>
                <w:rPr>
                  <w:rFonts w:ascii="Cambria Math" w:hAnsi="Cambria Math"/>
                  <w:lang w:val="en-US"/>
                </w:rPr>
                <m:t>#</m:t>
              </m:r>
              <m:d>
                <m:dPr>
                  <m:ctrlPr>
                    <w:rPr>
                      <w:rFonts w:ascii="Cambria Math" w:hAnsi="Cambria Math"/>
                      <w:i/>
                      <w:lang w:val="en-US"/>
                    </w:rPr>
                  </m:ctrlPr>
                </m:dPr>
                <m:e>
                  <m:r>
                    <w:rPr>
                      <w:rFonts w:ascii="Cambria Math" w:hAnsi="Cambria Math"/>
                      <w:lang w:val="en-US"/>
                    </w:rPr>
                    <m:t>57</m:t>
                  </m:r>
                </m:e>
              </m:d>
            </m:e>
          </m:eqArr>
          <m:r>
            <m:rPr>
              <m:sty m:val="p"/>
            </m:rPr>
            <w:rPr>
              <w:lang w:val="en-US"/>
            </w:rPr>
            <w:br/>
          </m:r>
        </m:oMath>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j∈</m:t>
                  </m:r>
                  <m:r>
                    <m:rPr>
                      <m:lit/>
                    </m:rPr>
                    <w:rPr>
                      <w:rFonts w:ascii="Cambria Math" w:hAnsi="Cambria Math"/>
                      <w:lang w:val="en-US"/>
                    </w:rPr>
                    <m:t>{</m:t>
                  </m:r>
                  <m:r>
                    <w:rPr>
                      <w:rFonts w:ascii="Cambria Math" w:hAnsi="Cambria Math"/>
                      <w:lang w:val="en-US"/>
                    </w:rPr>
                    <m:t>L,H</m:t>
                  </m:r>
                  <m:r>
                    <m:rPr>
                      <m:lit/>
                    </m:rPr>
                    <w:rPr>
                      <w:rFonts w:ascii="Cambria Math" w:hAnsi="Cambria Math"/>
                      <w:lang w:val="en-US"/>
                    </w:rPr>
                    <m:t>}</m:t>
                  </m:r>
                </m:sub>
                <m:sup/>
                <m:e>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t</m:t>
                          </m:r>
                        </m:sub>
                        <m:sup>
                          <m:r>
                            <w:rPr>
                              <w:rFonts w:ascii="Cambria Math" w:hAnsi="Cambria Math"/>
                              <w:lang w:val="en-US"/>
                            </w:rPr>
                            <m:t>t+1</m:t>
                          </m:r>
                        </m:sup>
                        <m:e>
                          <m:r>
                            <w:rPr>
                              <w:rFonts w:ascii="Cambria Math" w:hAnsi="Cambria Math"/>
                              <w:lang w:val="en-US"/>
                            </w:rPr>
                            <m:t>μ</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τ</m:t>
                              </m:r>
                            </m:e>
                          </m:d>
                          <m:r>
                            <w:rPr>
                              <w:rFonts w:ascii="Cambria Math" w:hAnsi="Cambria Math"/>
                              <w:lang w:val="en-US"/>
                            </w:rPr>
                            <m:t>dτ</m:t>
                          </m:r>
                        </m:e>
                      </m:nary>
                    </m:e>
                  </m:d>
                </m:e>
              </m:nary>
              <m:r>
                <w:rPr>
                  <w:rFonts w:ascii="Cambria Math" w:hAnsi="Cambria Math"/>
                  <w:lang w:val="en-US"/>
                </w:rPr>
                <m:t>#</m:t>
              </m:r>
              <m:d>
                <m:dPr>
                  <m:ctrlPr>
                    <w:rPr>
                      <w:rFonts w:ascii="Cambria Math" w:hAnsi="Cambria Math"/>
                      <w:i/>
                      <w:lang w:val="en-US"/>
                    </w:rPr>
                  </m:ctrlPr>
                </m:dPr>
                <m:e>
                  <m:r>
                    <w:rPr>
                      <w:rFonts w:ascii="Cambria Math" w:hAnsi="Cambria Math"/>
                      <w:lang w:val="en-US"/>
                    </w:rPr>
                    <m:t>5</m:t>
                  </m:r>
                  <m:r>
                    <w:rPr>
                      <w:rFonts w:ascii="Cambria Math" w:hAnsi="Cambria Math"/>
                      <w:lang w:val="en-US"/>
                    </w:rPr>
                    <m:t>8</m:t>
                  </m:r>
                </m:e>
              </m:d>
            </m:e>
          </m:eqArr>
          <m:r>
            <m:rPr>
              <m:sty m:val="p"/>
            </m:rPr>
            <w:rPr>
              <w:rFonts w:ascii="Cambria Math" w:hAnsi="Cambria Math"/>
              <w:lang w:val="en-US"/>
            </w:rPr>
            <w:br/>
          </m:r>
        </m:oMath>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U</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j∈</m:t>
                  </m:r>
                  <m:r>
                    <m:rPr>
                      <m:lit/>
                    </m:rPr>
                    <w:rPr>
                      <w:rFonts w:ascii="Cambria Math" w:hAnsi="Cambria Math"/>
                      <w:lang w:val="en-US"/>
                    </w:rPr>
                    <m:t>{</m:t>
                  </m:r>
                  <m:r>
                    <w:rPr>
                      <w:rFonts w:ascii="Cambria Math" w:hAnsi="Cambria Math"/>
                      <w:lang w:val="en-US"/>
                    </w:rPr>
                    <m:t>L,H</m:t>
                  </m:r>
                  <m:r>
                    <m:rPr>
                      <m:lit/>
                    </m:rPr>
                    <w:rPr>
                      <w:rFonts w:ascii="Cambria Math" w:hAnsi="Cambria Math"/>
                      <w:lang w:val="en-US"/>
                    </w:rPr>
                    <m:t>}</m:t>
                  </m:r>
                </m:sub>
                <m:sup/>
                <m:e>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t</m:t>
                          </m:r>
                        </m:sub>
                        <m:sup>
                          <m:r>
                            <w:rPr>
                              <w:rFonts w:ascii="Cambria Math" w:hAnsi="Cambria Math"/>
                              <w:lang w:val="en-US"/>
                            </w:rPr>
                            <m:t>t+1</m:t>
                          </m:r>
                        </m:sup>
                        <m:e>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τ</m:t>
                              </m:r>
                            </m:e>
                          </m:d>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j</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τ</m:t>
                              </m:r>
                            </m:e>
                          </m:d>
                          <m:r>
                            <w:rPr>
                              <w:rFonts w:ascii="Cambria Math" w:hAnsi="Cambria Math"/>
                              <w:lang w:val="en-US"/>
                            </w:rPr>
                            <m:t>dτ</m:t>
                          </m:r>
                        </m:e>
                      </m:nary>
                    </m:e>
                  </m:d>
                </m:e>
              </m:nary>
              <m:r>
                <w:rPr>
                  <w:rFonts w:ascii="Cambria Math" w:hAnsi="Cambria Math"/>
                  <w:lang w:val="en-US"/>
                </w:rPr>
                <m:t>#</m:t>
              </m:r>
              <m:d>
                <m:dPr>
                  <m:ctrlPr>
                    <w:rPr>
                      <w:rFonts w:ascii="Cambria Math" w:hAnsi="Cambria Math"/>
                      <w:i/>
                      <w:lang w:val="en-US"/>
                    </w:rPr>
                  </m:ctrlPr>
                </m:dPr>
                <m:e>
                  <m:r>
                    <w:rPr>
                      <w:rFonts w:ascii="Cambria Math" w:hAnsi="Cambria Math"/>
                      <w:lang w:val="en-US"/>
                    </w:rPr>
                    <m:t>5</m:t>
                  </m:r>
                  <m:r>
                    <w:rPr>
                      <w:rFonts w:ascii="Cambria Math" w:hAnsi="Cambria Math"/>
                      <w:lang w:val="en-US"/>
                    </w:rPr>
                    <m:t>9</m:t>
                  </m:r>
                </m:e>
              </m:d>
            </m:e>
          </m:eqArr>
          <m:r>
            <m:rPr>
              <m:sty m:val="p"/>
            </m:rPr>
            <w:rPr>
              <w:rFonts w:ascii="Cambria Math" w:hAnsi="Cambria Math"/>
              <w:lang w:val="en-US"/>
            </w:rPr>
            <w:br/>
          </m:r>
        </m:oMath>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i</m:t>
                  </m:r>
                </m:sup>
              </m:sSubSup>
              <m:r>
                <w:rPr>
                  <w:rFonts w:ascii="Cambria Math" w:hAnsi="Cambria Math"/>
                  <w:lang w:val="en-US"/>
                </w:rPr>
                <m:t>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U</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S</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E</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L</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i</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hAnsi="Cambria Math"/>
                      <w:i/>
                      <w:lang w:val="en-US"/>
                    </w:rPr>
                  </m:ctrlPr>
                </m:dPr>
                <m:e>
                  <m:r>
                    <w:rPr>
                      <w:rFonts w:ascii="Cambria Math" w:hAnsi="Cambria Math"/>
                      <w:lang w:val="en-US"/>
                    </w:rPr>
                    <m:t>60</m:t>
                  </m:r>
                </m:e>
              </m:d>
            </m:e>
          </m:eqArr>
        </m:oMath>
      </m:oMathPara>
    </w:p>
    <w:p w14:paraId="341F8ABA" w14:textId="77777777" w:rsidR="00253087" w:rsidRDefault="00253087" w:rsidP="0060134A">
      <w:pPr>
        <w:pStyle w:val="NormalWeb"/>
        <w:spacing w:line="276" w:lineRule="auto"/>
        <w:jc w:val="both"/>
        <w:rPr>
          <w:lang w:val="en-US"/>
        </w:rPr>
      </w:pPr>
    </w:p>
    <w:p w14:paraId="135C1A5A" w14:textId="77777777" w:rsidR="00CB17E6" w:rsidRDefault="00CB17E6" w:rsidP="0060134A">
      <w:pPr>
        <w:pStyle w:val="NormalWeb"/>
        <w:spacing w:line="276" w:lineRule="auto"/>
        <w:jc w:val="both"/>
        <w:rPr>
          <w:lang w:val="en-US"/>
        </w:rPr>
      </w:pPr>
    </w:p>
    <w:p w14:paraId="54599F22" w14:textId="77777777" w:rsidR="00F43BF8" w:rsidRDefault="00F43BF8" w:rsidP="0060134A">
      <w:pPr>
        <w:pStyle w:val="NormalWeb"/>
        <w:spacing w:line="276" w:lineRule="auto"/>
        <w:jc w:val="both"/>
        <w:rPr>
          <w:lang w:val="en-US"/>
        </w:rPr>
      </w:pPr>
    </w:p>
    <w:p w14:paraId="79350707" w14:textId="77777777" w:rsidR="00F43BF8" w:rsidRDefault="00F43BF8" w:rsidP="0060134A">
      <w:pPr>
        <w:pStyle w:val="NormalWeb"/>
        <w:spacing w:line="276" w:lineRule="auto"/>
        <w:jc w:val="both"/>
        <w:rPr>
          <w:lang w:val="en-US"/>
        </w:rPr>
      </w:pPr>
    </w:p>
    <w:p w14:paraId="43FE57AC" w14:textId="77777777" w:rsidR="00C51581" w:rsidRDefault="00C51581" w:rsidP="0060134A">
      <w:pPr>
        <w:pStyle w:val="NormalWeb"/>
        <w:spacing w:line="276" w:lineRule="auto"/>
        <w:jc w:val="both"/>
        <w:rPr>
          <w:lang w:val="en-US"/>
        </w:rPr>
      </w:pPr>
    </w:p>
    <w:p w14:paraId="4475C058" w14:textId="77777777" w:rsidR="00C51581" w:rsidRDefault="00C51581" w:rsidP="0060134A">
      <w:pPr>
        <w:pStyle w:val="NormalWeb"/>
        <w:spacing w:line="276" w:lineRule="auto"/>
        <w:jc w:val="both"/>
        <w:rPr>
          <w:lang w:val="en-US"/>
        </w:rPr>
      </w:pPr>
    </w:p>
    <w:p w14:paraId="3F78A3E4" w14:textId="77777777" w:rsidR="00C51581" w:rsidRDefault="00C51581" w:rsidP="0060134A">
      <w:pPr>
        <w:pStyle w:val="NormalWeb"/>
        <w:spacing w:line="276" w:lineRule="auto"/>
        <w:jc w:val="both"/>
        <w:rPr>
          <w:lang w:val="en-US"/>
        </w:rPr>
      </w:pPr>
    </w:p>
    <w:p w14:paraId="76DC7812" w14:textId="77777777" w:rsidR="00C51581" w:rsidRDefault="00C51581" w:rsidP="0060134A">
      <w:pPr>
        <w:pStyle w:val="NormalWeb"/>
        <w:spacing w:line="276" w:lineRule="auto"/>
        <w:jc w:val="both"/>
        <w:rPr>
          <w:lang w:val="en-US"/>
        </w:rPr>
      </w:pPr>
    </w:p>
    <w:p w14:paraId="60189984" w14:textId="77777777" w:rsidR="00C51581" w:rsidRDefault="00C51581" w:rsidP="0060134A">
      <w:pPr>
        <w:pStyle w:val="NormalWeb"/>
        <w:spacing w:line="276" w:lineRule="auto"/>
        <w:jc w:val="both"/>
        <w:rPr>
          <w:lang w:val="en-US"/>
        </w:rPr>
      </w:pPr>
    </w:p>
    <w:p w14:paraId="13223C0D" w14:textId="77777777" w:rsidR="00C51581" w:rsidRDefault="00C51581" w:rsidP="0060134A">
      <w:pPr>
        <w:pStyle w:val="NormalWeb"/>
        <w:spacing w:line="276" w:lineRule="auto"/>
        <w:jc w:val="both"/>
        <w:rPr>
          <w:lang w:val="en-US"/>
        </w:rPr>
      </w:pPr>
    </w:p>
    <w:p w14:paraId="2D2F1514" w14:textId="77777777" w:rsidR="00C51581" w:rsidRDefault="00C51581" w:rsidP="0060134A">
      <w:pPr>
        <w:pStyle w:val="NormalWeb"/>
        <w:spacing w:line="276" w:lineRule="auto"/>
        <w:jc w:val="both"/>
        <w:rPr>
          <w:lang w:val="en-US"/>
        </w:rPr>
      </w:pPr>
    </w:p>
    <w:p w14:paraId="30114009" w14:textId="77777777" w:rsidR="00C51581" w:rsidRDefault="00C51581" w:rsidP="0060134A">
      <w:pPr>
        <w:pStyle w:val="NormalWeb"/>
        <w:spacing w:line="276" w:lineRule="auto"/>
        <w:jc w:val="both"/>
        <w:rPr>
          <w:lang w:val="en-US"/>
        </w:rPr>
      </w:pPr>
    </w:p>
    <w:p w14:paraId="4315B32D" w14:textId="77777777" w:rsidR="00C51581" w:rsidRDefault="00C51581" w:rsidP="0060134A">
      <w:pPr>
        <w:pStyle w:val="NormalWeb"/>
        <w:spacing w:line="276" w:lineRule="auto"/>
        <w:jc w:val="both"/>
        <w:rPr>
          <w:lang w:val="en-US"/>
        </w:rPr>
      </w:pPr>
    </w:p>
    <w:p w14:paraId="18CA5C6A" w14:textId="77777777" w:rsidR="00C51581" w:rsidRDefault="00C51581" w:rsidP="0060134A">
      <w:pPr>
        <w:pStyle w:val="NormalWeb"/>
        <w:spacing w:line="276" w:lineRule="auto"/>
        <w:jc w:val="both"/>
        <w:rPr>
          <w:lang w:val="en-US"/>
        </w:rPr>
      </w:pPr>
    </w:p>
    <w:p w14:paraId="331C56BF" w14:textId="77777777" w:rsidR="00C51581" w:rsidRDefault="00C51581" w:rsidP="0060134A">
      <w:pPr>
        <w:pStyle w:val="NormalWeb"/>
        <w:spacing w:line="276" w:lineRule="auto"/>
        <w:jc w:val="both"/>
        <w:rPr>
          <w:lang w:val="en-US"/>
        </w:rPr>
      </w:pPr>
    </w:p>
    <w:p w14:paraId="56672E6D" w14:textId="77777777" w:rsidR="00C51581" w:rsidRPr="004319FC" w:rsidRDefault="00C51581" w:rsidP="0060134A">
      <w:pPr>
        <w:pStyle w:val="NormalWeb"/>
        <w:spacing w:line="276" w:lineRule="auto"/>
        <w:jc w:val="both"/>
        <w:rPr>
          <w:lang w:val="en-US"/>
        </w:rPr>
      </w:pPr>
    </w:p>
    <w:p w14:paraId="7FA49651" w14:textId="755767B3" w:rsidR="00F938FF" w:rsidRPr="0004219E" w:rsidRDefault="00F938FF" w:rsidP="0004219E">
      <w:pPr>
        <w:pStyle w:val="NormalWeb"/>
        <w:spacing w:line="276" w:lineRule="auto"/>
        <w:jc w:val="both"/>
        <w:rPr>
          <w:b/>
          <w:bCs/>
          <w:lang w:val="en-US"/>
        </w:rPr>
      </w:pPr>
      <w:r w:rsidRPr="0004219E">
        <w:rPr>
          <w:b/>
          <w:bCs/>
          <w:lang w:val="en-US"/>
        </w:rPr>
        <w:lastRenderedPageBreak/>
        <w:t>Reference:</w:t>
      </w:r>
    </w:p>
    <w:p w14:paraId="61D3B80C" w14:textId="77777777" w:rsidR="003E61AA" w:rsidRPr="003E61AA" w:rsidRDefault="00756851" w:rsidP="003E61AA">
      <w:pPr>
        <w:pStyle w:val="Bibliography"/>
        <w:jc w:val="both"/>
        <w:rPr>
          <w:rFonts w:ascii="Times New Roman" w:hAnsi="Times New Roman" w:cs="Times New Roman"/>
          <w:lang w:val="en-GB"/>
        </w:rPr>
      </w:pPr>
      <w:r w:rsidRPr="003E61AA">
        <w:rPr>
          <w:rFonts w:ascii="Times New Roman" w:hAnsi="Times New Roman" w:cs="Times New Roman"/>
        </w:rPr>
        <w:fldChar w:fldCharType="begin"/>
      </w:r>
      <w:r w:rsidR="003E61AA" w:rsidRPr="003E61AA">
        <w:rPr>
          <w:rFonts w:ascii="Times New Roman" w:hAnsi="Times New Roman" w:cs="Times New Roman"/>
        </w:rPr>
        <w:instrText xml:space="preserve"> ADDIN ZOTERO_BIBL {"uncited":[],"omitted":[],"custom":[]} CSL_BIBLIOGRAPHY </w:instrText>
      </w:r>
      <w:r w:rsidRPr="003E61AA">
        <w:rPr>
          <w:rFonts w:ascii="Times New Roman" w:hAnsi="Times New Roman" w:cs="Times New Roman"/>
        </w:rPr>
        <w:fldChar w:fldCharType="separate"/>
      </w:r>
      <w:r w:rsidR="003E61AA" w:rsidRPr="003E61AA">
        <w:rPr>
          <w:rFonts w:ascii="Times New Roman" w:hAnsi="Times New Roman" w:cs="Times New Roman"/>
          <w:lang w:val="en-GB"/>
        </w:rPr>
        <w:t>[1]</w:t>
      </w:r>
      <w:r w:rsidR="003E61AA" w:rsidRPr="003E61AA">
        <w:rPr>
          <w:rFonts w:ascii="Times New Roman" w:hAnsi="Times New Roman" w:cs="Times New Roman"/>
          <w:lang w:val="en-GB"/>
        </w:rPr>
        <w:tab/>
        <w:t>“Global and regional STI estimates,” World Health Organization. Accessed: Feb. 08, 2025. [Online]. Available: https://www.who.int/data/gho/data/themes/topics/global-and-regional-sti-estimates</w:t>
      </w:r>
    </w:p>
    <w:p w14:paraId="124889AA"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[2]</w:t>
      </w:r>
      <w:r w:rsidRPr="003E61AA">
        <w:rPr>
          <w:rFonts w:ascii="Times New Roman" w:hAnsi="Times New Roman" w:cs="Times New Roman"/>
          <w:lang w:val="en-GB"/>
        </w:rPr>
        <w:tab/>
        <w:t xml:space="preserve">D. E. Mauck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“Population-based methods for estimating the number of men who have sex with men: A systematic review,” </w:t>
      </w:r>
      <w:r w:rsidRPr="003E61AA">
        <w:rPr>
          <w:rFonts w:ascii="Times New Roman" w:hAnsi="Times New Roman" w:cs="Times New Roman"/>
          <w:i/>
          <w:iCs/>
          <w:lang w:val="en-GB"/>
        </w:rPr>
        <w:t>Sex Health</w:t>
      </w:r>
      <w:r w:rsidRPr="003E61AA">
        <w:rPr>
          <w:rFonts w:ascii="Times New Roman" w:hAnsi="Times New Roman" w:cs="Times New Roman"/>
          <w:lang w:val="en-GB"/>
        </w:rPr>
        <w:t xml:space="preserve">, vol. 16, no. 6, pp. 527–538, Nov. 2019,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10.1071/SH18172.</w:t>
      </w:r>
    </w:p>
    <w:p w14:paraId="03D6086B"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[3]</w:t>
      </w:r>
      <w:r w:rsidRPr="003E61AA">
        <w:rPr>
          <w:rFonts w:ascii="Times New Roman" w:hAnsi="Times New Roman" w:cs="Times New Roman"/>
          <w:lang w:val="en-GB"/>
        </w:rPr>
        <w:tab/>
        <w:t xml:space="preserve">R. W. Peeling, D. Mabey, M. L. </w:t>
      </w:r>
      <w:proofErr w:type="spellStart"/>
      <w:r w:rsidRPr="003E61AA">
        <w:rPr>
          <w:rFonts w:ascii="Times New Roman" w:hAnsi="Times New Roman" w:cs="Times New Roman"/>
          <w:lang w:val="en-GB"/>
        </w:rPr>
        <w:t>Kamb</w:t>
      </w:r>
      <w:proofErr w:type="spellEnd"/>
      <w:r w:rsidRPr="003E61AA">
        <w:rPr>
          <w:rFonts w:ascii="Times New Roman" w:hAnsi="Times New Roman" w:cs="Times New Roman"/>
          <w:lang w:val="en-GB"/>
        </w:rPr>
        <w:t xml:space="preserve">, X.-S. Chen, J. D. </w:t>
      </w:r>
      <w:proofErr w:type="spellStart"/>
      <w:r w:rsidRPr="003E61AA">
        <w:rPr>
          <w:rFonts w:ascii="Times New Roman" w:hAnsi="Times New Roman" w:cs="Times New Roman"/>
          <w:lang w:val="en-GB"/>
        </w:rPr>
        <w:t>Radolf</w:t>
      </w:r>
      <w:proofErr w:type="spellEnd"/>
      <w:r w:rsidRPr="003E61AA">
        <w:rPr>
          <w:rFonts w:ascii="Times New Roman" w:hAnsi="Times New Roman" w:cs="Times New Roman"/>
          <w:lang w:val="en-GB"/>
        </w:rPr>
        <w:t xml:space="preserve">, and A. S. </w:t>
      </w:r>
      <w:proofErr w:type="spellStart"/>
      <w:r w:rsidRPr="003E61AA">
        <w:rPr>
          <w:rFonts w:ascii="Times New Roman" w:hAnsi="Times New Roman" w:cs="Times New Roman"/>
          <w:lang w:val="en-GB"/>
        </w:rPr>
        <w:t>Benzaken</w:t>
      </w:r>
      <w:proofErr w:type="spellEnd"/>
      <w:r w:rsidRPr="003E61AA">
        <w:rPr>
          <w:rFonts w:ascii="Times New Roman" w:hAnsi="Times New Roman" w:cs="Times New Roman"/>
          <w:lang w:val="en-GB"/>
        </w:rPr>
        <w:t xml:space="preserve">, “Syphilis,” </w:t>
      </w:r>
      <w:r w:rsidRPr="003E61AA">
        <w:rPr>
          <w:rFonts w:ascii="Times New Roman" w:hAnsi="Times New Roman" w:cs="Times New Roman"/>
          <w:i/>
          <w:iCs/>
          <w:lang w:val="en-GB"/>
        </w:rPr>
        <w:t>Nat Rev Dis Primers</w:t>
      </w:r>
      <w:r w:rsidRPr="003E61AA">
        <w:rPr>
          <w:rFonts w:ascii="Times New Roman" w:hAnsi="Times New Roman" w:cs="Times New Roman"/>
          <w:lang w:val="en-GB"/>
        </w:rPr>
        <w:t xml:space="preserve">, vol. 3, no. 1, p. 17073, Oct. 2017,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10.1038/nrdp.2017.73.</w:t>
      </w:r>
    </w:p>
    <w:p w14:paraId="450D9330"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[4]</w:t>
      </w:r>
      <w:r w:rsidRPr="003E61AA">
        <w:rPr>
          <w:rFonts w:ascii="Times New Roman" w:hAnsi="Times New Roman" w:cs="Times New Roman"/>
          <w:lang w:val="en-GB"/>
        </w:rPr>
        <w:tab/>
        <w:t xml:space="preserve">M. E. Clement and C. B. Hicks, “Syphilis on the Rise: What Went </w:t>
      </w:r>
      <w:proofErr w:type="gramStart"/>
      <w:r w:rsidRPr="003E61AA">
        <w:rPr>
          <w:rFonts w:ascii="Times New Roman" w:hAnsi="Times New Roman" w:cs="Times New Roman"/>
          <w:lang w:val="en-GB"/>
        </w:rPr>
        <w:t>Wrong?,</w:t>
      </w:r>
      <w:proofErr w:type="gramEnd"/>
      <w:r w:rsidRPr="003E61AA">
        <w:rPr>
          <w:rFonts w:ascii="Times New Roman" w:hAnsi="Times New Roman" w:cs="Times New Roman"/>
          <w:lang w:val="en-GB"/>
        </w:rPr>
        <w:t xml:space="preserve">” </w:t>
      </w:r>
      <w:r w:rsidRPr="003E61AA">
        <w:rPr>
          <w:rFonts w:ascii="Times New Roman" w:hAnsi="Times New Roman" w:cs="Times New Roman"/>
          <w:i/>
          <w:iCs/>
          <w:lang w:val="en-GB"/>
        </w:rPr>
        <w:t>JAMA</w:t>
      </w:r>
      <w:r w:rsidRPr="003E61AA">
        <w:rPr>
          <w:rFonts w:ascii="Times New Roman" w:hAnsi="Times New Roman" w:cs="Times New Roman"/>
          <w:lang w:val="en-GB"/>
        </w:rPr>
        <w:t xml:space="preserve">, vol. 315, no. 21, p. 2281, Jun. 2016,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10.1001/jama.2016.7073.</w:t>
      </w:r>
    </w:p>
    <w:p w14:paraId="34D4799F"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[5]</w:t>
      </w:r>
      <w:r w:rsidRPr="003E61AA">
        <w:rPr>
          <w:rFonts w:ascii="Times New Roman" w:hAnsi="Times New Roman" w:cs="Times New Roman"/>
          <w:lang w:val="en-GB"/>
        </w:rPr>
        <w:tab/>
        <w:t>“Syphilis | DSC Clinic - Department of STI Control Singapore,” National Skin Centre. Accessed: Feb. 27, 2025. [Online]. Available: https://www.nsc.com.sg/dsc/prevention-education/sexually-transmitted-infection/types-of-STIs/Pages/Syphilis.aspx?utm_source=chatgpt.com</w:t>
      </w:r>
    </w:p>
    <w:p w14:paraId="564A92CA"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[6]</w:t>
      </w:r>
      <w:r w:rsidRPr="003E61AA">
        <w:rPr>
          <w:rFonts w:ascii="Times New Roman" w:hAnsi="Times New Roman" w:cs="Times New Roman"/>
          <w:lang w:val="en-GB"/>
        </w:rPr>
        <w:tab/>
        <w:t>“The Communicable Disease Surveillance in Singapore 2004,” Ministry of Health. Accessed: Feb. 08, 2025. [Online]. Available: https://www.moh.gov.sg/others/resources-and-statistics/reports-communicable-disease-surveillance-in-singapore-2004/</w:t>
      </w:r>
    </w:p>
    <w:p w14:paraId="05EE3AE9"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[7]</w:t>
      </w:r>
      <w:r w:rsidRPr="003E61AA">
        <w:rPr>
          <w:rFonts w:ascii="Times New Roman" w:hAnsi="Times New Roman" w:cs="Times New Roman"/>
          <w:lang w:val="en-GB"/>
        </w:rPr>
        <w:tab/>
        <w:t>“The Communicable Diseases Surveillance in Singapore 2018,” Ministry of Health. Accessed: Feb. 08, 2025. [Online]. Available: https://www.moh.gov.sg/others/resources-and-statistics/the-communicable-diseases-surveillance-in-singapore-2018/</w:t>
      </w:r>
    </w:p>
    <w:p w14:paraId="1F56A2DC"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[8]</w:t>
      </w:r>
      <w:r w:rsidRPr="003E61AA">
        <w:rPr>
          <w:rFonts w:ascii="Times New Roman" w:hAnsi="Times New Roman" w:cs="Times New Roman"/>
          <w:lang w:val="en-GB"/>
        </w:rPr>
        <w:tab/>
        <w:t>“COMMUNICABLE DISEASES SURVEILLANCE IN SINGAPORE 2019-2020,” Ministry of Health. Accessed: Feb. 08, 2025. [Online]. Available: https://www.moh.gov.sg/others/resources-and-statistics/reports-communicable-diseases-surveillance-in-singapore-2019-2020/</w:t>
      </w:r>
    </w:p>
    <w:p w14:paraId="59B29DD3"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[9]</w:t>
      </w:r>
      <w:r w:rsidRPr="003E61AA">
        <w:rPr>
          <w:rFonts w:ascii="Times New Roman" w:hAnsi="Times New Roman" w:cs="Times New Roman"/>
          <w:lang w:val="en-GB"/>
        </w:rPr>
        <w:tab/>
        <w:t xml:space="preserve">K. </w:t>
      </w:r>
      <w:proofErr w:type="spellStart"/>
      <w:r w:rsidRPr="003E61AA">
        <w:rPr>
          <w:rFonts w:ascii="Times New Roman" w:hAnsi="Times New Roman" w:cs="Times New Roman"/>
          <w:lang w:val="en-GB"/>
        </w:rPr>
        <w:t>Sinka</w:t>
      </w:r>
      <w:proofErr w:type="spellEnd"/>
      <w:r w:rsidRPr="003E61AA">
        <w:rPr>
          <w:rFonts w:ascii="Times New Roman" w:hAnsi="Times New Roman" w:cs="Times New Roman"/>
          <w:lang w:val="en-GB"/>
        </w:rPr>
        <w:t xml:space="preserve">, “The global burden of sexually transmitted infections,” </w:t>
      </w:r>
      <w:r w:rsidRPr="003E61AA">
        <w:rPr>
          <w:rFonts w:ascii="Times New Roman" w:hAnsi="Times New Roman" w:cs="Times New Roman"/>
          <w:i/>
          <w:iCs/>
          <w:lang w:val="en-GB"/>
        </w:rPr>
        <w:t>Clin Dermatol</w:t>
      </w:r>
      <w:r w:rsidRPr="003E61AA">
        <w:rPr>
          <w:rFonts w:ascii="Times New Roman" w:hAnsi="Times New Roman" w:cs="Times New Roman"/>
          <w:lang w:val="en-GB"/>
        </w:rPr>
        <w:t xml:space="preserve">, vol. 42, no. 2, pp. 110–118, 2024,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10.1016/j.clindermatol.2023.12.002.</w:t>
      </w:r>
    </w:p>
    <w:p w14:paraId="345D8191"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[10]</w:t>
      </w:r>
      <w:r w:rsidRPr="003E61AA">
        <w:rPr>
          <w:rFonts w:ascii="Times New Roman" w:hAnsi="Times New Roman" w:cs="Times New Roman"/>
          <w:lang w:val="en-GB"/>
        </w:rPr>
        <w:tab/>
        <w:t xml:space="preserve">L. H. Bachmann, “CDC Clinical Guidelines on the Use of Doxycycline Postexposure Prophylaxis for Bacterial Sexually Transmitted Infection Prevention, United States, 2024,” </w:t>
      </w:r>
      <w:r w:rsidRPr="003E61AA">
        <w:rPr>
          <w:rFonts w:ascii="Times New Roman" w:hAnsi="Times New Roman" w:cs="Times New Roman"/>
          <w:i/>
          <w:iCs/>
          <w:lang w:val="en-GB"/>
        </w:rPr>
        <w:t xml:space="preserve">MMWR </w:t>
      </w:r>
      <w:proofErr w:type="spellStart"/>
      <w:r w:rsidRPr="003E61AA">
        <w:rPr>
          <w:rFonts w:ascii="Times New Roman" w:hAnsi="Times New Roman" w:cs="Times New Roman"/>
          <w:i/>
          <w:iCs/>
          <w:lang w:val="en-GB"/>
        </w:rPr>
        <w:t>Recomm</w:t>
      </w:r>
      <w:proofErr w:type="spellEnd"/>
      <w:r w:rsidRPr="003E61AA">
        <w:rPr>
          <w:rFonts w:ascii="Times New Roman" w:hAnsi="Times New Roman" w:cs="Times New Roman"/>
          <w:i/>
          <w:iCs/>
          <w:lang w:val="en-GB"/>
        </w:rPr>
        <w:t xml:space="preserve"> Rep</w:t>
      </w:r>
      <w:r w:rsidRPr="003E61AA">
        <w:rPr>
          <w:rFonts w:ascii="Times New Roman" w:hAnsi="Times New Roman" w:cs="Times New Roman"/>
          <w:lang w:val="en-GB"/>
        </w:rPr>
        <w:t xml:space="preserve">, vol. 73, 2024,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10.15585/mmwr.rr7302a1.</w:t>
      </w:r>
    </w:p>
    <w:p w14:paraId="02407052"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[11]</w:t>
      </w:r>
      <w:r w:rsidRPr="003E61AA">
        <w:rPr>
          <w:rFonts w:ascii="Times New Roman" w:hAnsi="Times New Roman" w:cs="Times New Roman"/>
          <w:lang w:val="en-GB"/>
        </w:rPr>
        <w:tab/>
        <w:t xml:space="preserve">H. </w:t>
      </w:r>
      <w:proofErr w:type="spellStart"/>
      <w:r w:rsidRPr="003E61AA">
        <w:rPr>
          <w:rFonts w:ascii="Times New Roman" w:hAnsi="Times New Roman" w:cs="Times New Roman"/>
          <w:lang w:val="en-GB"/>
        </w:rPr>
        <w:t>Peyriere</w:t>
      </w:r>
      <w:proofErr w:type="spellEnd"/>
      <w:r w:rsidRPr="003E61AA">
        <w:rPr>
          <w:rFonts w:ascii="Times New Roman" w:hAnsi="Times New Roman" w:cs="Times New Roman"/>
          <w:lang w:val="en-GB"/>
        </w:rPr>
        <w:t xml:space="preserve">, A. </w:t>
      </w:r>
      <w:proofErr w:type="spellStart"/>
      <w:r w:rsidRPr="003E61AA">
        <w:rPr>
          <w:rFonts w:ascii="Times New Roman" w:hAnsi="Times New Roman" w:cs="Times New Roman"/>
          <w:lang w:val="en-GB"/>
        </w:rPr>
        <w:t>Makinson</w:t>
      </w:r>
      <w:proofErr w:type="spellEnd"/>
      <w:r w:rsidRPr="003E61AA">
        <w:rPr>
          <w:rFonts w:ascii="Times New Roman" w:hAnsi="Times New Roman" w:cs="Times New Roman"/>
          <w:lang w:val="en-GB"/>
        </w:rPr>
        <w:t xml:space="preserve">, H. </w:t>
      </w:r>
      <w:proofErr w:type="spellStart"/>
      <w:r w:rsidRPr="003E61AA">
        <w:rPr>
          <w:rFonts w:ascii="Times New Roman" w:hAnsi="Times New Roman" w:cs="Times New Roman"/>
          <w:lang w:val="en-GB"/>
        </w:rPr>
        <w:t>Marchandin</w:t>
      </w:r>
      <w:proofErr w:type="spellEnd"/>
      <w:r w:rsidRPr="003E61AA">
        <w:rPr>
          <w:rFonts w:ascii="Times New Roman" w:hAnsi="Times New Roman" w:cs="Times New Roman"/>
          <w:lang w:val="en-GB"/>
        </w:rPr>
        <w:t xml:space="preserve">, and J. </w:t>
      </w:r>
      <w:proofErr w:type="spellStart"/>
      <w:r w:rsidRPr="003E61AA">
        <w:rPr>
          <w:rFonts w:ascii="Times New Roman" w:hAnsi="Times New Roman" w:cs="Times New Roman"/>
          <w:lang w:val="en-GB"/>
        </w:rPr>
        <w:t>Reynes</w:t>
      </w:r>
      <w:proofErr w:type="spellEnd"/>
      <w:r w:rsidRPr="003E61AA">
        <w:rPr>
          <w:rFonts w:ascii="Times New Roman" w:hAnsi="Times New Roman" w:cs="Times New Roman"/>
          <w:lang w:val="en-GB"/>
        </w:rPr>
        <w:t xml:space="preserve">, “Doxycycline in the management of sexually transmitted infections,” </w:t>
      </w:r>
      <w:r w:rsidRPr="003E61AA">
        <w:rPr>
          <w:rFonts w:ascii="Times New Roman" w:hAnsi="Times New Roman" w:cs="Times New Roman"/>
          <w:i/>
          <w:iCs/>
          <w:lang w:val="en-GB"/>
        </w:rPr>
        <w:t xml:space="preserve">J </w:t>
      </w:r>
      <w:proofErr w:type="spellStart"/>
      <w:r w:rsidRPr="003E61AA">
        <w:rPr>
          <w:rFonts w:ascii="Times New Roman" w:hAnsi="Times New Roman" w:cs="Times New Roman"/>
          <w:i/>
          <w:iCs/>
          <w:lang w:val="en-GB"/>
        </w:rPr>
        <w:t>Antimicrob</w:t>
      </w:r>
      <w:proofErr w:type="spellEnd"/>
      <w:r w:rsidRPr="003E61AA">
        <w:rPr>
          <w:rFonts w:ascii="Times New Roman" w:hAnsi="Times New Roman" w:cs="Times New Roman"/>
          <w:i/>
          <w:iCs/>
          <w:lang w:val="en-GB"/>
        </w:rPr>
        <w:t xml:space="preserve"> </w:t>
      </w:r>
      <w:proofErr w:type="spellStart"/>
      <w:r w:rsidRPr="003E61AA">
        <w:rPr>
          <w:rFonts w:ascii="Times New Roman" w:hAnsi="Times New Roman" w:cs="Times New Roman"/>
          <w:i/>
          <w:iCs/>
          <w:lang w:val="en-GB"/>
        </w:rPr>
        <w:t>Chemother</w:t>
      </w:r>
      <w:proofErr w:type="spellEnd"/>
      <w:r w:rsidRPr="003E61AA">
        <w:rPr>
          <w:rFonts w:ascii="Times New Roman" w:hAnsi="Times New Roman" w:cs="Times New Roman"/>
          <w:lang w:val="en-GB"/>
        </w:rPr>
        <w:t xml:space="preserve">, vol. 73, no. 3, pp. 553–563, Mar. 2018,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10.1093/</w:t>
      </w:r>
      <w:proofErr w:type="spellStart"/>
      <w:r w:rsidRPr="003E61AA">
        <w:rPr>
          <w:rFonts w:ascii="Times New Roman" w:hAnsi="Times New Roman" w:cs="Times New Roman"/>
          <w:lang w:val="en-GB"/>
        </w:rPr>
        <w:t>jac</w:t>
      </w:r>
      <w:proofErr w:type="spellEnd"/>
      <w:r w:rsidRPr="003E61AA">
        <w:rPr>
          <w:rFonts w:ascii="Times New Roman" w:hAnsi="Times New Roman" w:cs="Times New Roman"/>
          <w:lang w:val="en-GB"/>
        </w:rPr>
        <w:t>/dkx420.</w:t>
      </w:r>
    </w:p>
    <w:p w14:paraId="7D21A8B1"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[12]</w:t>
      </w:r>
      <w:r w:rsidRPr="003E61AA">
        <w:rPr>
          <w:rFonts w:ascii="Times New Roman" w:hAnsi="Times New Roman" w:cs="Times New Roman"/>
          <w:lang w:val="en-GB"/>
        </w:rPr>
        <w:tab/>
        <w:t xml:space="preserve">J. C. Dombrowski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“Evidence-Informed Provision of Doxycycline Postexposure Prophylaxis for Prevention of Bacterial Sexually Transmitted Infections,” </w:t>
      </w:r>
      <w:r w:rsidRPr="003E61AA">
        <w:rPr>
          <w:rFonts w:ascii="Times New Roman" w:hAnsi="Times New Roman" w:cs="Times New Roman"/>
          <w:i/>
          <w:iCs/>
          <w:lang w:val="en-GB"/>
        </w:rPr>
        <w:t>Clinical Infectious Diseases</w:t>
      </w:r>
      <w:r w:rsidRPr="003E61AA">
        <w:rPr>
          <w:rFonts w:ascii="Times New Roman" w:hAnsi="Times New Roman" w:cs="Times New Roman"/>
          <w:lang w:val="en-GB"/>
        </w:rPr>
        <w:t xml:space="preserve">, p. ciae527, Oct. 2024,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10.1093/</w:t>
      </w:r>
      <w:proofErr w:type="spellStart"/>
      <w:r w:rsidRPr="003E61AA">
        <w:rPr>
          <w:rFonts w:ascii="Times New Roman" w:hAnsi="Times New Roman" w:cs="Times New Roman"/>
          <w:lang w:val="en-GB"/>
        </w:rPr>
        <w:t>cid</w:t>
      </w:r>
      <w:proofErr w:type="spellEnd"/>
      <w:r w:rsidRPr="003E61AA">
        <w:rPr>
          <w:rFonts w:ascii="Times New Roman" w:hAnsi="Times New Roman" w:cs="Times New Roman"/>
          <w:lang w:val="en-GB"/>
        </w:rPr>
        <w:t>/ciae527.</w:t>
      </w:r>
    </w:p>
    <w:p w14:paraId="0F518345"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[13]</w:t>
      </w:r>
      <w:r w:rsidRPr="003E61AA">
        <w:rPr>
          <w:rFonts w:ascii="Times New Roman" w:hAnsi="Times New Roman" w:cs="Times New Roman"/>
          <w:lang w:val="en-GB"/>
        </w:rPr>
        <w:tab/>
        <w:t xml:space="preserve">D. E. DiMarco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w:t>
      </w:r>
      <w:r w:rsidRPr="003E61AA">
        <w:rPr>
          <w:rFonts w:ascii="Times New Roman" w:hAnsi="Times New Roman" w:cs="Times New Roman"/>
          <w:i/>
          <w:iCs/>
          <w:lang w:val="en-GB"/>
        </w:rPr>
        <w:t>Doxycycline Post-Exposure Prophylaxis to Prevent Bacterial Sexually Transmitted Infections</w:t>
      </w:r>
      <w:r w:rsidRPr="003E61AA">
        <w:rPr>
          <w:rFonts w:ascii="Times New Roman" w:hAnsi="Times New Roman" w:cs="Times New Roman"/>
          <w:lang w:val="en-GB"/>
        </w:rPr>
        <w:t>. in New York State Department of Health AIDS Institute Clinical Guidelines. Baltimore (MD): Johns Hopkins University, 2024. Accessed: Feb. 13, 2025. [Online]. Available: http://www.ncbi.nlm.nih.gov/books/NBK597440/</w:t>
      </w:r>
    </w:p>
    <w:p w14:paraId="4525A6F0"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[14]</w:t>
      </w:r>
      <w:r w:rsidRPr="003E61AA">
        <w:rPr>
          <w:rFonts w:ascii="Times New Roman" w:hAnsi="Times New Roman" w:cs="Times New Roman"/>
          <w:lang w:val="en-GB"/>
        </w:rPr>
        <w:tab/>
        <w:t xml:space="preserve">J.-M. Molina </w:t>
      </w:r>
      <w:r w:rsidRPr="003E61AA">
        <w:rPr>
          <w:rFonts w:ascii="Times New Roman" w:hAnsi="Times New Roman" w:cs="Times New Roman"/>
          <w:i/>
          <w:iCs/>
          <w:lang w:val="en-GB"/>
        </w:rPr>
        <w:t>et al.</w:t>
      </w:r>
      <w:r w:rsidRPr="003E61AA">
        <w:rPr>
          <w:rFonts w:ascii="Times New Roman" w:hAnsi="Times New Roman" w:cs="Times New Roman"/>
          <w:lang w:val="en-GB"/>
        </w:rPr>
        <w:t>, “</w:t>
      </w:r>
      <w:proofErr w:type="gramStart"/>
      <w:r w:rsidRPr="003E61AA">
        <w:rPr>
          <w:rFonts w:ascii="Times New Roman" w:hAnsi="Times New Roman" w:cs="Times New Roman"/>
          <w:lang w:val="en-GB"/>
        </w:rPr>
        <w:t>Post-exposure</w:t>
      </w:r>
      <w:proofErr w:type="gramEnd"/>
      <w:r w:rsidRPr="003E61AA">
        <w:rPr>
          <w:rFonts w:ascii="Times New Roman" w:hAnsi="Times New Roman" w:cs="Times New Roman"/>
          <w:lang w:val="en-GB"/>
        </w:rPr>
        <w:t xml:space="preserve"> prophylaxis with doxycycline to prevent sexually transmitted infections in men who have sex with men: an open-label randomised </w:t>
      </w:r>
      <w:proofErr w:type="spellStart"/>
      <w:r w:rsidRPr="003E61AA">
        <w:rPr>
          <w:rFonts w:ascii="Times New Roman" w:hAnsi="Times New Roman" w:cs="Times New Roman"/>
          <w:lang w:val="en-GB"/>
        </w:rPr>
        <w:t>substudy</w:t>
      </w:r>
      <w:proofErr w:type="spellEnd"/>
      <w:r w:rsidRPr="003E61AA">
        <w:rPr>
          <w:rFonts w:ascii="Times New Roman" w:hAnsi="Times New Roman" w:cs="Times New Roman"/>
          <w:lang w:val="en-GB"/>
        </w:rPr>
        <w:t xml:space="preserve"> of the ANRS IPERGAY trial,” </w:t>
      </w:r>
      <w:r w:rsidRPr="003E61AA">
        <w:rPr>
          <w:rFonts w:ascii="Times New Roman" w:hAnsi="Times New Roman" w:cs="Times New Roman"/>
          <w:i/>
          <w:iCs/>
          <w:lang w:val="en-GB"/>
        </w:rPr>
        <w:t>Lancet Infect Dis</w:t>
      </w:r>
      <w:r w:rsidRPr="003E61AA">
        <w:rPr>
          <w:rFonts w:ascii="Times New Roman" w:hAnsi="Times New Roman" w:cs="Times New Roman"/>
          <w:lang w:val="en-GB"/>
        </w:rPr>
        <w:t xml:space="preserve">, vol. 18, no. 3, pp. 308–317, Mar. 2018,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10.1016/S1473-3099(17)30725-9.</w:t>
      </w:r>
    </w:p>
    <w:p w14:paraId="508219DB"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[15]</w:t>
      </w:r>
      <w:r w:rsidRPr="003E61AA">
        <w:rPr>
          <w:rFonts w:ascii="Times New Roman" w:hAnsi="Times New Roman" w:cs="Times New Roman"/>
          <w:lang w:val="en-GB"/>
        </w:rPr>
        <w:tab/>
        <w:t xml:space="preserve">J.-M. Molina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“Doxycycline prophylaxis and meningococcal group B vaccine to prevent bacterial sexually transmitted infections in France (ANRS 174 DOXYVAC): a multicentre, open-label, randomised trial with a 2 × 2 factorial design,” </w:t>
      </w:r>
      <w:r w:rsidRPr="003E61AA">
        <w:rPr>
          <w:rFonts w:ascii="Times New Roman" w:hAnsi="Times New Roman" w:cs="Times New Roman"/>
          <w:i/>
          <w:iCs/>
          <w:lang w:val="en-GB"/>
        </w:rPr>
        <w:t xml:space="preserve">The Lancet </w:t>
      </w:r>
      <w:r w:rsidRPr="003E61AA">
        <w:rPr>
          <w:rFonts w:ascii="Times New Roman" w:hAnsi="Times New Roman" w:cs="Times New Roman"/>
          <w:i/>
          <w:iCs/>
          <w:lang w:val="en-GB"/>
        </w:rPr>
        <w:lastRenderedPageBreak/>
        <w:t>Infectious Diseases</w:t>
      </w:r>
      <w:r w:rsidRPr="003E61AA">
        <w:rPr>
          <w:rFonts w:ascii="Times New Roman" w:hAnsi="Times New Roman" w:cs="Times New Roman"/>
          <w:lang w:val="en-GB"/>
        </w:rPr>
        <w:t xml:space="preserve">, vol. 24, no. 10, pp. 1093–1104, Oct. 2024,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10.1016/S1473-3099(24)00236-6.</w:t>
      </w:r>
    </w:p>
    <w:p w14:paraId="2A26CA24"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[16]</w:t>
      </w:r>
      <w:r w:rsidRPr="003E61AA">
        <w:rPr>
          <w:rFonts w:ascii="Times New Roman" w:hAnsi="Times New Roman" w:cs="Times New Roman"/>
          <w:lang w:val="en-GB"/>
        </w:rPr>
        <w:tab/>
        <w:t xml:space="preserve">R. K. Bolan, M. R. Beymer, R. E. Weiss, R. P. Flynn, A. A. Leibowitz, and J. D. Klausner, “Doxycycline prophylaxis to reduce incident syphilis among HIV-infected men who have sex with men who continue to engage in high-risk sex: a randomized, controlled pilot study,” </w:t>
      </w:r>
      <w:r w:rsidRPr="003E61AA">
        <w:rPr>
          <w:rFonts w:ascii="Times New Roman" w:hAnsi="Times New Roman" w:cs="Times New Roman"/>
          <w:i/>
          <w:iCs/>
          <w:lang w:val="en-GB"/>
        </w:rPr>
        <w:t xml:space="preserve">Sex </w:t>
      </w:r>
      <w:proofErr w:type="spellStart"/>
      <w:r w:rsidRPr="003E61AA">
        <w:rPr>
          <w:rFonts w:ascii="Times New Roman" w:hAnsi="Times New Roman" w:cs="Times New Roman"/>
          <w:i/>
          <w:iCs/>
          <w:lang w:val="en-GB"/>
        </w:rPr>
        <w:t>Transm</w:t>
      </w:r>
      <w:proofErr w:type="spellEnd"/>
      <w:r w:rsidRPr="003E61AA">
        <w:rPr>
          <w:rFonts w:ascii="Times New Roman" w:hAnsi="Times New Roman" w:cs="Times New Roman"/>
          <w:i/>
          <w:iCs/>
          <w:lang w:val="en-GB"/>
        </w:rPr>
        <w:t xml:space="preserve"> Dis</w:t>
      </w:r>
      <w:r w:rsidRPr="003E61AA">
        <w:rPr>
          <w:rFonts w:ascii="Times New Roman" w:hAnsi="Times New Roman" w:cs="Times New Roman"/>
          <w:lang w:val="en-GB"/>
        </w:rPr>
        <w:t xml:space="preserve">, vol. 42, no. 2, pp. 98–103, Feb. 2015,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10.1097/OLQ.0000000000000216.</w:t>
      </w:r>
    </w:p>
    <w:p w14:paraId="2D2589EA"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[17]</w:t>
      </w:r>
      <w:r w:rsidRPr="003E61AA">
        <w:rPr>
          <w:rFonts w:ascii="Times New Roman" w:hAnsi="Times New Roman" w:cs="Times New Roman"/>
          <w:lang w:val="en-GB"/>
        </w:rPr>
        <w:tab/>
        <w:t xml:space="preserve">A. F. Luetkemeyer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“Postexposure Doxycycline to Prevent Bacterial Sexually Transmitted Infections,” </w:t>
      </w:r>
      <w:r w:rsidRPr="003E61AA">
        <w:rPr>
          <w:rFonts w:ascii="Times New Roman" w:hAnsi="Times New Roman" w:cs="Times New Roman"/>
          <w:i/>
          <w:iCs/>
          <w:lang w:val="en-GB"/>
        </w:rPr>
        <w:t>N Engl J Med</w:t>
      </w:r>
      <w:r w:rsidRPr="003E61AA">
        <w:rPr>
          <w:rFonts w:ascii="Times New Roman" w:hAnsi="Times New Roman" w:cs="Times New Roman"/>
          <w:lang w:val="en-GB"/>
        </w:rPr>
        <w:t xml:space="preserve">, vol. 388, no. 14, pp. 1296–1306, Apr. 2023,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10.1056/NEJMoa2211934.</w:t>
      </w:r>
    </w:p>
    <w:p w14:paraId="1428B0C0"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[18]</w:t>
      </w:r>
      <w:r w:rsidRPr="003E61AA">
        <w:rPr>
          <w:rFonts w:ascii="Times New Roman" w:hAnsi="Times New Roman" w:cs="Times New Roman"/>
          <w:lang w:val="en-GB"/>
        </w:rPr>
        <w:tab/>
        <w:t xml:space="preserve">J. Stewart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“Doxycycline Prophylaxis to Prevent Sexually Transmitted Infections in Women,” </w:t>
      </w:r>
      <w:r w:rsidRPr="003E61AA">
        <w:rPr>
          <w:rFonts w:ascii="Times New Roman" w:hAnsi="Times New Roman" w:cs="Times New Roman"/>
          <w:i/>
          <w:iCs/>
          <w:lang w:val="en-GB"/>
        </w:rPr>
        <w:t>N Engl J Med</w:t>
      </w:r>
      <w:r w:rsidRPr="003E61AA">
        <w:rPr>
          <w:rFonts w:ascii="Times New Roman" w:hAnsi="Times New Roman" w:cs="Times New Roman"/>
          <w:lang w:val="en-GB"/>
        </w:rPr>
        <w:t xml:space="preserve">, vol. 389, no. 25, pp. 2331–2340, Dec. 2023,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10.1056/NEJMoa2304007.</w:t>
      </w:r>
    </w:p>
    <w:p w14:paraId="781167F3"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[19]</w:t>
      </w:r>
      <w:r w:rsidRPr="003E61AA">
        <w:rPr>
          <w:rFonts w:ascii="Times New Roman" w:hAnsi="Times New Roman" w:cs="Times New Roman"/>
          <w:lang w:val="en-GB"/>
        </w:rPr>
        <w:tab/>
        <w:t xml:space="preserve">M. Sankaran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“Doxycycline Postexposure Prophylaxis and Sexually Transmitted Infection Trends,” </w:t>
      </w:r>
      <w:r w:rsidRPr="003E61AA">
        <w:rPr>
          <w:rFonts w:ascii="Times New Roman" w:hAnsi="Times New Roman" w:cs="Times New Roman"/>
          <w:i/>
          <w:iCs/>
          <w:lang w:val="en-GB"/>
        </w:rPr>
        <w:t>JAMA Internal Medicine</w:t>
      </w:r>
      <w:r w:rsidRPr="003E61AA">
        <w:rPr>
          <w:rFonts w:ascii="Times New Roman" w:hAnsi="Times New Roman" w:cs="Times New Roman"/>
          <w:lang w:val="en-GB"/>
        </w:rPr>
        <w:t xml:space="preserve">, Jan. 2025,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10.1001/jamainternmed.2024.7178.</w:t>
      </w:r>
    </w:p>
    <w:p w14:paraId="4ECDC9F1"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[20]</w:t>
      </w:r>
      <w:r w:rsidRPr="003E61AA">
        <w:rPr>
          <w:rFonts w:ascii="Times New Roman" w:hAnsi="Times New Roman" w:cs="Times New Roman"/>
          <w:lang w:val="en-GB"/>
        </w:rPr>
        <w:tab/>
        <w:t xml:space="preserve">M. W. Traeger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“Doxycycline Postexposure Prophylaxis and Bacterial Sexually Transmitted Infections Among Individuals Using HIV Preexposure Prophylaxis,” </w:t>
      </w:r>
      <w:r w:rsidRPr="003E61AA">
        <w:rPr>
          <w:rFonts w:ascii="Times New Roman" w:hAnsi="Times New Roman" w:cs="Times New Roman"/>
          <w:i/>
          <w:iCs/>
          <w:lang w:val="en-GB"/>
        </w:rPr>
        <w:t>JAMA Internal Medicine</w:t>
      </w:r>
      <w:r w:rsidRPr="003E61AA">
        <w:rPr>
          <w:rFonts w:ascii="Times New Roman" w:hAnsi="Times New Roman" w:cs="Times New Roman"/>
          <w:lang w:val="en-GB"/>
        </w:rPr>
        <w:t xml:space="preserve">, Jan. 2025,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10.1001/jamainternmed.2024.7186.</w:t>
      </w:r>
    </w:p>
    <w:p w14:paraId="47C8F559"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[21]</w:t>
      </w:r>
      <w:r w:rsidRPr="003E61AA">
        <w:rPr>
          <w:rFonts w:ascii="Times New Roman" w:hAnsi="Times New Roman" w:cs="Times New Roman"/>
          <w:lang w:val="en-GB"/>
        </w:rPr>
        <w:tab/>
        <w:t xml:space="preserve">J. S. Grant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“Doxycycline Prophylaxis for Bacterial Sexually Transmitted Infections,” </w:t>
      </w:r>
      <w:r w:rsidRPr="003E61AA">
        <w:rPr>
          <w:rFonts w:ascii="Times New Roman" w:hAnsi="Times New Roman" w:cs="Times New Roman"/>
          <w:i/>
          <w:iCs/>
          <w:lang w:val="en-GB"/>
        </w:rPr>
        <w:t>Clinical Infectious Diseases</w:t>
      </w:r>
      <w:r w:rsidRPr="003E61AA">
        <w:rPr>
          <w:rFonts w:ascii="Times New Roman" w:hAnsi="Times New Roman" w:cs="Times New Roman"/>
          <w:lang w:val="en-GB"/>
        </w:rPr>
        <w:t xml:space="preserve">, vol. 70, no. 6, pp. 1247–1253, Mar. 2020,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10.1093/</w:t>
      </w:r>
      <w:proofErr w:type="spellStart"/>
      <w:r w:rsidRPr="003E61AA">
        <w:rPr>
          <w:rFonts w:ascii="Times New Roman" w:hAnsi="Times New Roman" w:cs="Times New Roman"/>
          <w:lang w:val="en-GB"/>
        </w:rPr>
        <w:t>cid</w:t>
      </w:r>
      <w:proofErr w:type="spellEnd"/>
      <w:r w:rsidRPr="003E61AA">
        <w:rPr>
          <w:rFonts w:ascii="Times New Roman" w:hAnsi="Times New Roman" w:cs="Times New Roman"/>
          <w:lang w:val="en-GB"/>
        </w:rPr>
        <w:t>/ciz866.</w:t>
      </w:r>
    </w:p>
    <w:p w14:paraId="03792629"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[22]</w:t>
      </w:r>
      <w:r w:rsidRPr="003E61AA">
        <w:rPr>
          <w:rFonts w:ascii="Times New Roman" w:hAnsi="Times New Roman" w:cs="Times New Roman"/>
          <w:lang w:val="en-GB"/>
        </w:rPr>
        <w:tab/>
        <w:t xml:space="preserve">A. Hazra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“Filling in the Gaps: Updates on Doxycycline Prophylaxis for Bacterial Sexually Transmitted Infections,” </w:t>
      </w:r>
      <w:r w:rsidRPr="003E61AA">
        <w:rPr>
          <w:rFonts w:ascii="Times New Roman" w:hAnsi="Times New Roman" w:cs="Times New Roman"/>
          <w:i/>
          <w:iCs/>
          <w:lang w:val="en-GB"/>
        </w:rPr>
        <w:t>Clinical Infectious Diseases</w:t>
      </w:r>
      <w:r w:rsidRPr="003E61AA">
        <w:rPr>
          <w:rFonts w:ascii="Times New Roman" w:hAnsi="Times New Roman" w:cs="Times New Roman"/>
          <w:lang w:val="en-GB"/>
        </w:rPr>
        <w:t xml:space="preserve">, p. ciae062, Feb. 2024,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10.1093/</w:t>
      </w:r>
      <w:proofErr w:type="spellStart"/>
      <w:r w:rsidRPr="003E61AA">
        <w:rPr>
          <w:rFonts w:ascii="Times New Roman" w:hAnsi="Times New Roman" w:cs="Times New Roman"/>
          <w:lang w:val="en-GB"/>
        </w:rPr>
        <w:t>cid</w:t>
      </w:r>
      <w:proofErr w:type="spellEnd"/>
      <w:r w:rsidRPr="003E61AA">
        <w:rPr>
          <w:rFonts w:ascii="Times New Roman" w:hAnsi="Times New Roman" w:cs="Times New Roman"/>
          <w:lang w:val="en-GB"/>
        </w:rPr>
        <w:t>/ciae062.</w:t>
      </w:r>
    </w:p>
    <w:p w14:paraId="59B9A9AA"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[23]</w:t>
      </w:r>
      <w:r w:rsidRPr="003E61AA">
        <w:rPr>
          <w:rFonts w:ascii="Times New Roman" w:hAnsi="Times New Roman" w:cs="Times New Roman"/>
          <w:lang w:val="en-GB"/>
        </w:rPr>
        <w:tab/>
        <w:t xml:space="preserve">M. W. Traeger, K. H. Mayer, D. S. </w:t>
      </w:r>
      <w:proofErr w:type="spellStart"/>
      <w:r w:rsidRPr="003E61AA">
        <w:rPr>
          <w:rFonts w:ascii="Times New Roman" w:hAnsi="Times New Roman" w:cs="Times New Roman"/>
          <w:lang w:val="en-GB"/>
        </w:rPr>
        <w:t>Krakower</w:t>
      </w:r>
      <w:proofErr w:type="spellEnd"/>
      <w:r w:rsidRPr="003E61AA">
        <w:rPr>
          <w:rFonts w:ascii="Times New Roman" w:hAnsi="Times New Roman" w:cs="Times New Roman"/>
          <w:lang w:val="en-GB"/>
        </w:rPr>
        <w:t xml:space="preserve">, S. Gitin, S. M. Jenness, and J. L. Marcus, “Potential Impact of Doxycycline Post-exposure Prophylaxis Prescribing Strategies on Incidence of Bacterial Sexually Transmitted Infections,” </w:t>
      </w:r>
      <w:r w:rsidRPr="003E61AA">
        <w:rPr>
          <w:rFonts w:ascii="Times New Roman" w:hAnsi="Times New Roman" w:cs="Times New Roman"/>
          <w:i/>
          <w:iCs/>
          <w:lang w:val="en-GB"/>
        </w:rPr>
        <w:t>Clinical Infectious Diseases</w:t>
      </w:r>
      <w:r w:rsidRPr="003E61AA">
        <w:rPr>
          <w:rFonts w:ascii="Times New Roman" w:hAnsi="Times New Roman" w:cs="Times New Roman"/>
          <w:lang w:val="en-GB"/>
        </w:rPr>
        <w:t xml:space="preserve">, p. ciad488, Aug. 2023,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10.1093/</w:t>
      </w:r>
      <w:proofErr w:type="spellStart"/>
      <w:r w:rsidRPr="003E61AA">
        <w:rPr>
          <w:rFonts w:ascii="Times New Roman" w:hAnsi="Times New Roman" w:cs="Times New Roman"/>
          <w:lang w:val="en-GB"/>
        </w:rPr>
        <w:t>cid</w:t>
      </w:r>
      <w:proofErr w:type="spellEnd"/>
      <w:r w:rsidRPr="003E61AA">
        <w:rPr>
          <w:rFonts w:ascii="Times New Roman" w:hAnsi="Times New Roman" w:cs="Times New Roman"/>
          <w:lang w:val="en-GB"/>
        </w:rPr>
        <w:t>/ciad488.</w:t>
      </w:r>
    </w:p>
    <w:p w14:paraId="42AED67E"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[24]</w:t>
      </w:r>
      <w:r w:rsidRPr="003E61AA">
        <w:rPr>
          <w:rFonts w:ascii="Times New Roman" w:hAnsi="Times New Roman" w:cs="Times New Roman"/>
          <w:lang w:val="en-GB"/>
        </w:rPr>
        <w:tab/>
        <w:t xml:space="preserve">M. Holt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“Acceptability of Doxycycline Prophylaxis, Prior Antibiotic Use, and Knowledge of Antimicrobial Resistance Among Australian Gay and Bisexual Men and Nonbinary People,” </w:t>
      </w:r>
      <w:r w:rsidRPr="003E61AA">
        <w:rPr>
          <w:rFonts w:ascii="Times New Roman" w:hAnsi="Times New Roman" w:cs="Times New Roman"/>
          <w:i/>
          <w:iCs/>
          <w:lang w:val="en-GB"/>
        </w:rPr>
        <w:t xml:space="preserve">Sex </w:t>
      </w:r>
      <w:proofErr w:type="spellStart"/>
      <w:r w:rsidRPr="003E61AA">
        <w:rPr>
          <w:rFonts w:ascii="Times New Roman" w:hAnsi="Times New Roman" w:cs="Times New Roman"/>
          <w:i/>
          <w:iCs/>
          <w:lang w:val="en-GB"/>
        </w:rPr>
        <w:t>Transm</w:t>
      </w:r>
      <w:proofErr w:type="spellEnd"/>
      <w:r w:rsidRPr="003E61AA">
        <w:rPr>
          <w:rFonts w:ascii="Times New Roman" w:hAnsi="Times New Roman" w:cs="Times New Roman"/>
          <w:i/>
          <w:iCs/>
          <w:lang w:val="en-GB"/>
        </w:rPr>
        <w:t xml:space="preserve"> Dis</w:t>
      </w:r>
      <w:r w:rsidRPr="003E61AA">
        <w:rPr>
          <w:rFonts w:ascii="Times New Roman" w:hAnsi="Times New Roman" w:cs="Times New Roman"/>
          <w:lang w:val="en-GB"/>
        </w:rPr>
        <w:t xml:space="preserve">, vol. 52, no. 2, pp. 73–80, Feb. 2025,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10.1097/OLQ.0000000000002079.</w:t>
      </w:r>
    </w:p>
    <w:p w14:paraId="486783A7"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[25]</w:t>
      </w:r>
      <w:r w:rsidRPr="003E61AA">
        <w:rPr>
          <w:rFonts w:ascii="Times New Roman" w:hAnsi="Times New Roman" w:cs="Times New Roman"/>
          <w:lang w:val="en-GB"/>
        </w:rPr>
        <w:tab/>
        <w:t xml:space="preserve">M. A. Spinelli, H. M. Scott, E. </w:t>
      </w:r>
      <w:proofErr w:type="spellStart"/>
      <w:r w:rsidRPr="003E61AA">
        <w:rPr>
          <w:rFonts w:ascii="Times New Roman" w:hAnsi="Times New Roman" w:cs="Times New Roman"/>
          <w:lang w:val="en-GB"/>
        </w:rPr>
        <w:t>Vittinghoff</w:t>
      </w:r>
      <w:proofErr w:type="spellEnd"/>
      <w:r w:rsidRPr="003E61AA">
        <w:rPr>
          <w:rFonts w:ascii="Times New Roman" w:hAnsi="Times New Roman" w:cs="Times New Roman"/>
          <w:lang w:val="en-GB"/>
        </w:rPr>
        <w:t xml:space="preserve">, A. Y. Liu, K. Coleman, and S. P. Buchbinder, “High Interest in Doxycycline for Sexually Transmitted Infection Postexposure Prophylaxis in a Multicity Survey of Men Who Have Sex With Men Using a Social Networking Application,” </w:t>
      </w:r>
      <w:r w:rsidRPr="003E61AA">
        <w:rPr>
          <w:rFonts w:ascii="Times New Roman" w:hAnsi="Times New Roman" w:cs="Times New Roman"/>
          <w:i/>
          <w:iCs/>
          <w:lang w:val="en-GB"/>
        </w:rPr>
        <w:t xml:space="preserve">Sex </w:t>
      </w:r>
      <w:proofErr w:type="spellStart"/>
      <w:r w:rsidRPr="003E61AA">
        <w:rPr>
          <w:rFonts w:ascii="Times New Roman" w:hAnsi="Times New Roman" w:cs="Times New Roman"/>
          <w:i/>
          <w:iCs/>
          <w:lang w:val="en-GB"/>
        </w:rPr>
        <w:t>Transm</w:t>
      </w:r>
      <w:proofErr w:type="spellEnd"/>
      <w:r w:rsidRPr="003E61AA">
        <w:rPr>
          <w:rFonts w:ascii="Times New Roman" w:hAnsi="Times New Roman" w:cs="Times New Roman"/>
          <w:i/>
          <w:iCs/>
          <w:lang w:val="en-GB"/>
        </w:rPr>
        <w:t xml:space="preserve"> Dis</w:t>
      </w:r>
      <w:r w:rsidRPr="003E61AA">
        <w:rPr>
          <w:rFonts w:ascii="Times New Roman" w:hAnsi="Times New Roman" w:cs="Times New Roman"/>
          <w:lang w:val="en-GB"/>
        </w:rPr>
        <w:t xml:space="preserve">, vol. 46, no. 4, pp. e32–e34, Apr. 2019,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10.1097/OLQ.0000000000000942.</w:t>
      </w:r>
    </w:p>
    <w:p w14:paraId="46327C61"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[26]</w:t>
      </w:r>
      <w:r w:rsidRPr="003E61AA">
        <w:rPr>
          <w:rFonts w:ascii="Times New Roman" w:hAnsi="Times New Roman" w:cs="Times New Roman"/>
          <w:lang w:val="en-GB"/>
        </w:rPr>
        <w:tab/>
        <w:t xml:space="preserve">M. W. Traeger, D. S. </w:t>
      </w:r>
      <w:proofErr w:type="spellStart"/>
      <w:r w:rsidRPr="003E61AA">
        <w:rPr>
          <w:rFonts w:ascii="Times New Roman" w:hAnsi="Times New Roman" w:cs="Times New Roman"/>
          <w:lang w:val="en-GB"/>
        </w:rPr>
        <w:t>Krakower</w:t>
      </w:r>
      <w:proofErr w:type="spellEnd"/>
      <w:r w:rsidRPr="003E61AA">
        <w:rPr>
          <w:rFonts w:ascii="Times New Roman" w:hAnsi="Times New Roman" w:cs="Times New Roman"/>
          <w:lang w:val="en-GB"/>
        </w:rPr>
        <w:t xml:space="preserve">, K. H. Mayer, S. M. Jenness, and J. L. Marcus, “Use of Doxycycline and Other Antibiotics as Bacterial Sexually Transmitted Infection Prophylaxis in a US Sample of Primarily Gay and Bisexual Men,” </w:t>
      </w:r>
      <w:r w:rsidRPr="003E61AA">
        <w:rPr>
          <w:rFonts w:ascii="Times New Roman" w:hAnsi="Times New Roman" w:cs="Times New Roman"/>
          <w:i/>
          <w:iCs/>
          <w:lang w:val="en-GB"/>
        </w:rPr>
        <w:t>Sexually Transmitted Diseases</w:t>
      </w:r>
      <w:r w:rsidRPr="003E61AA">
        <w:rPr>
          <w:rFonts w:ascii="Times New Roman" w:hAnsi="Times New Roman" w:cs="Times New Roman"/>
          <w:lang w:val="en-GB"/>
        </w:rPr>
        <w:t xml:space="preserve">, vol. 51, no. 12, p. 763, Dec. 2024,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10.1097/OLQ.0000000000002061.</w:t>
      </w:r>
    </w:p>
    <w:p w14:paraId="19DA5F7F"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[27]</w:t>
      </w:r>
      <w:r w:rsidRPr="003E61AA">
        <w:rPr>
          <w:rFonts w:ascii="Times New Roman" w:hAnsi="Times New Roman" w:cs="Times New Roman"/>
          <w:lang w:val="en-GB"/>
        </w:rPr>
        <w:tab/>
        <w:t xml:space="preserve">N. Borel, C. Leonard, J. Slade, and R. V. </w:t>
      </w:r>
      <w:proofErr w:type="spellStart"/>
      <w:r w:rsidRPr="003E61AA">
        <w:rPr>
          <w:rFonts w:ascii="Times New Roman" w:hAnsi="Times New Roman" w:cs="Times New Roman"/>
          <w:lang w:val="en-GB"/>
        </w:rPr>
        <w:t>Schoborg</w:t>
      </w:r>
      <w:proofErr w:type="spellEnd"/>
      <w:r w:rsidRPr="003E61AA">
        <w:rPr>
          <w:rFonts w:ascii="Times New Roman" w:hAnsi="Times New Roman" w:cs="Times New Roman"/>
          <w:lang w:val="en-GB"/>
        </w:rPr>
        <w:t xml:space="preserve">, “Chlamydial Antibiotic Resistance and Treatment Failure in Veterinary and Human Medicine,” </w:t>
      </w:r>
      <w:r w:rsidRPr="003E61AA">
        <w:rPr>
          <w:rFonts w:ascii="Times New Roman" w:hAnsi="Times New Roman" w:cs="Times New Roman"/>
          <w:i/>
          <w:iCs/>
          <w:lang w:val="en-GB"/>
        </w:rPr>
        <w:t xml:space="preserve">Curr Clin </w:t>
      </w:r>
      <w:proofErr w:type="spellStart"/>
      <w:r w:rsidRPr="003E61AA">
        <w:rPr>
          <w:rFonts w:ascii="Times New Roman" w:hAnsi="Times New Roman" w:cs="Times New Roman"/>
          <w:i/>
          <w:iCs/>
          <w:lang w:val="en-GB"/>
        </w:rPr>
        <w:t>Microbiol</w:t>
      </w:r>
      <w:proofErr w:type="spellEnd"/>
      <w:r w:rsidRPr="003E61AA">
        <w:rPr>
          <w:rFonts w:ascii="Times New Roman" w:hAnsi="Times New Roman" w:cs="Times New Roman"/>
          <w:i/>
          <w:iCs/>
          <w:lang w:val="en-GB"/>
        </w:rPr>
        <w:t xml:space="preserve"> Rep</w:t>
      </w:r>
      <w:r w:rsidRPr="003E61AA">
        <w:rPr>
          <w:rFonts w:ascii="Times New Roman" w:hAnsi="Times New Roman" w:cs="Times New Roman"/>
          <w:lang w:val="en-GB"/>
        </w:rPr>
        <w:t xml:space="preserve">, vol. 3, pp. 10–18, 2016,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10.1007/s40588-016-0028-4.</w:t>
      </w:r>
    </w:p>
    <w:p w14:paraId="698E3ED6"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[28]</w:t>
      </w:r>
      <w:r w:rsidRPr="003E61AA">
        <w:rPr>
          <w:rFonts w:ascii="Times New Roman" w:hAnsi="Times New Roman" w:cs="Times New Roman"/>
          <w:lang w:val="en-GB"/>
        </w:rPr>
        <w:tab/>
        <w:t xml:space="preserve">A. Sanchez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“Surveillance of Antibiotic Resistance Genes in Treponema Pallidum Subspecies Pallidum from Patients with Early Syphilis in France,” </w:t>
      </w:r>
      <w:r w:rsidRPr="003E61AA">
        <w:rPr>
          <w:rFonts w:ascii="Times New Roman" w:hAnsi="Times New Roman" w:cs="Times New Roman"/>
          <w:i/>
          <w:iCs/>
          <w:lang w:val="en-GB"/>
        </w:rPr>
        <w:t xml:space="preserve">Acta Derm </w:t>
      </w:r>
      <w:proofErr w:type="spellStart"/>
      <w:r w:rsidRPr="003E61AA">
        <w:rPr>
          <w:rFonts w:ascii="Times New Roman" w:hAnsi="Times New Roman" w:cs="Times New Roman"/>
          <w:i/>
          <w:iCs/>
          <w:lang w:val="en-GB"/>
        </w:rPr>
        <w:t>Venereol</w:t>
      </w:r>
      <w:proofErr w:type="spellEnd"/>
      <w:r w:rsidRPr="003E61AA">
        <w:rPr>
          <w:rFonts w:ascii="Times New Roman" w:hAnsi="Times New Roman" w:cs="Times New Roman"/>
          <w:lang w:val="en-GB"/>
        </w:rPr>
        <w:t xml:space="preserve">, vol. 100, no. 14, p. adv00221, Jul. 2020,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10.2340/00015555-3589.</w:t>
      </w:r>
    </w:p>
    <w:p w14:paraId="110D7E52"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[29]</w:t>
      </w:r>
      <w:r w:rsidRPr="003E61AA">
        <w:rPr>
          <w:rFonts w:ascii="Times New Roman" w:hAnsi="Times New Roman" w:cs="Times New Roman"/>
          <w:lang w:val="en-GB"/>
        </w:rPr>
        <w:tab/>
        <w:t xml:space="preserve">A. </w:t>
      </w:r>
      <w:proofErr w:type="spellStart"/>
      <w:r w:rsidRPr="003E61AA">
        <w:rPr>
          <w:rFonts w:ascii="Times New Roman" w:hAnsi="Times New Roman" w:cs="Times New Roman"/>
          <w:lang w:val="en-GB"/>
        </w:rPr>
        <w:t>Forsgren</w:t>
      </w:r>
      <w:proofErr w:type="spellEnd"/>
      <w:r w:rsidRPr="003E61AA">
        <w:rPr>
          <w:rFonts w:ascii="Times New Roman" w:hAnsi="Times New Roman" w:cs="Times New Roman"/>
          <w:lang w:val="en-GB"/>
        </w:rPr>
        <w:t xml:space="preserve"> and M. Walder, “Haemophilus influenzae, Pneumococci, group A streptococci and Staphylococcus aureus: sensitivity of outpatient strains to commonly </w:t>
      </w:r>
      <w:r w:rsidRPr="003E61AA">
        <w:rPr>
          <w:rFonts w:ascii="Times New Roman" w:hAnsi="Times New Roman" w:cs="Times New Roman"/>
          <w:lang w:val="en-GB"/>
        </w:rPr>
        <w:lastRenderedPageBreak/>
        <w:t xml:space="preserve">prescribed antibiotics,” </w:t>
      </w:r>
      <w:proofErr w:type="spellStart"/>
      <w:r w:rsidRPr="003E61AA">
        <w:rPr>
          <w:rFonts w:ascii="Times New Roman" w:hAnsi="Times New Roman" w:cs="Times New Roman"/>
          <w:i/>
          <w:iCs/>
          <w:lang w:val="en-GB"/>
        </w:rPr>
        <w:t>Scand</w:t>
      </w:r>
      <w:proofErr w:type="spellEnd"/>
      <w:r w:rsidRPr="003E61AA">
        <w:rPr>
          <w:rFonts w:ascii="Times New Roman" w:hAnsi="Times New Roman" w:cs="Times New Roman"/>
          <w:i/>
          <w:iCs/>
          <w:lang w:val="en-GB"/>
        </w:rPr>
        <w:t xml:space="preserve"> J Infect Dis</w:t>
      </w:r>
      <w:r w:rsidRPr="003E61AA">
        <w:rPr>
          <w:rFonts w:ascii="Times New Roman" w:hAnsi="Times New Roman" w:cs="Times New Roman"/>
          <w:lang w:val="en-GB"/>
        </w:rPr>
        <w:t xml:space="preserve">, vol. 14, no. 1, pp. 39–43, 1982,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10.3109/inf.1982.14.issue-1.08.</w:t>
      </w:r>
    </w:p>
    <w:p w14:paraId="4DB3DCD1"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[30]</w:t>
      </w:r>
      <w:r w:rsidRPr="003E61AA">
        <w:rPr>
          <w:rFonts w:ascii="Times New Roman" w:hAnsi="Times New Roman" w:cs="Times New Roman"/>
          <w:lang w:val="en-GB"/>
        </w:rPr>
        <w:tab/>
        <w:t xml:space="preserve">J. R. Caskey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“The Functional and Molecular Effects of Doxycycline Treatment on Borrelia burgdorferi Phenotype,” </w:t>
      </w:r>
      <w:r w:rsidRPr="003E61AA">
        <w:rPr>
          <w:rFonts w:ascii="Times New Roman" w:hAnsi="Times New Roman" w:cs="Times New Roman"/>
          <w:i/>
          <w:iCs/>
          <w:lang w:val="en-GB"/>
        </w:rPr>
        <w:t xml:space="preserve">Front </w:t>
      </w:r>
      <w:proofErr w:type="spellStart"/>
      <w:r w:rsidRPr="003E61AA">
        <w:rPr>
          <w:rFonts w:ascii="Times New Roman" w:hAnsi="Times New Roman" w:cs="Times New Roman"/>
          <w:i/>
          <w:iCs/>
          <w:lang w:val="en-GB"/>
        </w:rPr>
        <w:t>Microbiol</w:t>
      </w:r>
      <w:proofErr w:type="spellEnd"/>
      <w:r w:rsidRPr="003E61AA">
        <w:rPr>
          <w:rFonts w:ascii="Times New Roman" w:hAnsi="Times New Roman" w:cs="Times New Roman"/>
          <w:lang w:val="en-GB"/>
        </w:rPr>
        <w:t xml:space="preserve">, vol. 10, p. 690, Apr. 2019,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10.3389/fmicb.2019.00690.</w:t>
      </w:r>
    </w:p>
    <w:p w14:paraId="082B0D47"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[31]</w:t>
      </w:r>
      <w:r w:rsidRPr="003E61AA">
        <w:rPr>
          <w:rFonts w:ascii="Times New Roman" w:hAnsi="Times New Roman" w:cs="Times New Roman"/>
          <w:lang w:val="en-GB"/>
        </w:rPr>
        <w:tab/>
        <w:t xml:space="preserve">V. J. </w:t>
      </w:r>
      <w:proofErr w:type="spellStart"/>
      <w:r w:rsidRPr="003E61AA">
        <w:rPr>
          <w:rFonts w:ascii="Times New Roman" w:hAnsi="Times New Roman" w:cs="Times New Roman"/>
          <w:lang w:val="en-GB"/>
        </w:rPr>
        <w:t>Cornelisse</w:t>
      </w:r>
      <w:proofErr w:type="spellEnd"/>
      <w:r w:rsidRPr="003E61AA">
        <w:rPr>
          <w:rFonts w:ascii="Times New Roman" w:hAnsi="Times New Roman" w:cs="Times New Roman"/>
          <w:lang w:val="en-GB"/>
        </w:rPr>
        <w:t xml:space="preserve">, B. Riley, and N. A. </w:t>
      </w:r>
      <w:proofErr w:type="spellStart"/>
      <w:r w:rsidRPr="003E61AA">
        <w:rPr>
          <w:rFonts w:ascii="Times New Roman" w:hAnsi="Times New Roman" w:cs="Times New Roman"/>
          <w:lang w:val="en-GB"/>
        </w:rPr>
        <w:t>Medland</w:t>
      </w:r>
      <w:proofErr w:type="spellEnd"/>
      <w:r w:rsidRPr="003E61AA">
        <w:rPr>
          <w:rFonts w:ascii="Times New Roman" w:hAnsi="Times New Roman" w:cs="Times New Roman"/>
          <w:lang w:val="en-GB"/>
        </w:rPr>
        <w:t xml:space="preserve">, “Australian consensus statement on doxycycline post-exposure prophylaxis (doxy-PEP) for the prevention of syphilis, chlamydia and gonorrhoea among gay, bisexual and other men who have sex with men,” </w:t>
      </w:r>
      <w:r w:rsidRPr="003E61AA">
        <w:rPr>
          <w:rFonts w:ascii="Times New Roman" w:hAnsi="Times New Roman" w:cs="Times New Roman"/>
          <w:i/>
          <w:iCs/>
          <w:lang w:val="en-GB"/>
        </w:rPr>
        <w:t>Medical Journal of Australia</w:t>
      </w:r>
      <w:r w:rsidRPr="003E61AA">
        <w:rPr>
          <w:rFonts w:ascii="Times New Roman" w:hAnsi="Times New Roman" w:cs="Times New Roman"/>
          <w:lang w:val="en-GB"/>
        </w:rPr>
        <w:t xml:space="preserve">, vol. 220, no. 7, pp. 381–386, 2024,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10.5694/mja2.52258.</w:t>
      </w:r>
    </w:p>
    <w:p w14:paraId="76A91DFA"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[32]</w:t>
      </w:r>
      <w:r w:rsidRPr="003E61AA">
        <w:rPr>
          <w:rFonts w:ascii="Times New Roman" w:hAnsi="Times New Roman" w:cs="Times New Roman"/>
          <w:lang w:val="en-GB"/>
        </w:rPr>
        <w:tab/>
        <w:t xml:space="preserve">E. A. Meyerowitz, R. Liang, D. Bishop, and C. E. Mullis, “Put a little doxy-PEP in your step: Using doxycycline to prevent chlamydia, syphilis, and </w:t>
      </w:r>
      <w:proofErr w:type="spellStart"/>
      <w:r w:rsidRPr="003E61AA">
        <w:rPr>
          <w:rFonts w:ascii="Times New Roman" w:hAnsi="Times New Roman" w:cs="Times New Roman"/>
          <w:lang w:val="en-GB"/>
        </w:rPr>
        <w:t>gonorrhea</w:t>
      </w:r>
      <w:proofErr w:type="spellEnd"/>
      <w:r w:rsidRPr="003E61AA">
        <w:rPr>
          <w:rFonts w:ascii="Times New Roman" w:hAnsi="Times New Roman" w:cs="Times New Roman"/>
          <w:lang w:val="en-GB"/>
        </w:rPr>
        <w:t xml:space="preserve"> infections,” </w:t>
      </w:r>
      <w:r w:rsidRPr="003E61AA">
        <w:rPr>
          <w:rFonts w:ascii="Times New Roman" w:hAnsi="Times New Roman" w:cs="Times New Roman"/>
          <w:i/>
          <w:iCs/>
          <w:lang w:val="en-GB"/>
        </w:rPr>
        <w:t>PLOS Pathogens</w:t>
      </w:r>
      <w:r w:rsidRPr="003E61AA">
        <w:rPr>
          <w:rFonts w:ascii="Times New Roman" w:hAnsi="Times New Roman" w:cs="Times New Roman"/>
          <w:lang w:val="en-GB"/>
        </w:rPr>
        <w:t xml:space="preserve">, vol. 20, no. 9, p. e1012575, Sep. 2024,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10.1371/journal.ppat.1012575.</w:t>
      </w:r>
    </w:p>
    <w:p w14:paraId="50F00112"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[33]</w:t>
      </w:r>
      <w:r w:rsidRPr="003E61AA">
        <w:rPr>
          <w:rFonts w:ascii="Times New Roman" w:hAnsi="Times New Roman" w:cs="Times New Roman"/>
          <w:lang w:val="en-GB"/>
        </w:rPr>
        <w:tab/>
        <w:t xml:space="preserve">V. T. Chu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“Impact of doxycycline post-exposure prophylaxis for sexually transmitted infections on the gut microbiome and antimicrobial </w:t>
      </w:r>
      <w:proofErr w:type="spellStart"/>
      <w:r w:rsidRPr="003E61AA">
        <w:rPr>
          <w:rFonts w:ascii="Times New Roman" w:hAnsi="Times New Roman" w:cs="Times New Roman"/>
          <w:lang w:val="en-GB"/>
        </w:rPr>
        <w:t>resistome</w:t>
      </w:r>
      <w:proofErr w:type="spellEnd"/>
      <w:r w:rsidRPr="003E61AA">
        <w:rPr>
          <w:rFonts w:ascii="Times New Roman" w:hAnsi="Times New Roman" w:cs="Times New Roman"/>
          <w:lang w:val="en-GB"/>
        </w:rPr>
        <w:t xml:space="preserve">,” </w:t>
      </w:r>
      <w:r w:rsidRPr="003E61AA">
        <w:rPr>
          <w:rFonts w:ascii="Times New Roman" w:hAnsi="Times New Roman" w:cs="Times New Roman"/>
          <w:i/>
          <w:iCs/>
          <w:lang w:val="en-GB"/>
        </w:rPr>
        <w:t>Nat Med</w:t>
      </w:r>
      <w:r w:rsidRPr="003E61AA">
        <w:rPr>
          <w:rFonts w:ascii="Times New Roman" w:hAnsi="Times New Roman" w:cs="Times New Roman"/>
          <w:lang w:val="en-GB"/>
        </w:rPr>
        <w:t xml:space="preserve">, vol. 31, no. 1, pp. 207–217, Jan. 2025,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10.1038/s41591-024-03274-2.</w:t>
      </w:r>
    </w:p>
    <w:p w14:paraId="2265F61E"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[34]</w:t>
      </w:r>
      <w:r w:rsidRPr="003E61AA">
        <w:rPr>
          <w:rFonts w:ascii="Times New Roman" w:hAnsi="Times New Roman" w:cs="Times New Roman"/>
          <w:lang w:val="en-GB"/>
        </w:rPr>
        <w:tab/>
        <w:t xml:space="preserve">D. P. Wilson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“Chemoprophylaxis is likely to be acceptable and could mitigate syphilis epidemics among populations of gay men,” </w:t>
      </w:r>
      <w:r w:rsidRPr="003E61AA">
        <w:rPr>
          <w:rFonts w:ascii="Times New Roman" w:hAnsi="Times New Roman" w:cs="Times New Roman"/>
          <w:i/>
          <w:iCs/>
          <w:lang w:val="en-GB"/>
        </w:rPr>
        <w:t xml:space="preserve">Sex </w:t>
      </w:r>
      <w:proofErr w:type="spellStart"/>
      <w:r w:rsidRPr="003E61AA">
        <w:rPr>
          <w:rFonts w:ascii="Times New Roman" w:hAnsi="Times New Roman" w:cs="Times New Roman"/>
          <w:i/>
          <w:iCs/>
          <w:lang w:val="en-GB"/>
        </w:rPr>
        <w:t>Transm</w:t>
      </w:r>
      <w:proofErr w:type="spellEnd"/>
      <w:r w:rsidRPr="003E61AA">
        <w:rPr>
          <w:rFonts w:ascii="Times New Roman" w:hAnsi="Times New Roman" w:cs="Times New Roman"/>
          <w:i/>
          <w:iCs/>
          <w:lang w:val="en-GB"/>
        </w:rPr>
        <w:t xml:space="preserve"> Dis</w:t>
      </w:r>
      <w:r w:rsidRPr="003E61AA">
        <w:rPr>
          <w:rFonts w:ascii="Times New Roman" w:hAnsi="Times New Roman" w:cs="Times New Roman"/>
          <w:lang w:val="en-GB"/>
        </w:rPr>
        <w:t xml:space="preserve">, vol. 38, no. 7, pp. 573–579, Jul. 2011,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10.1097/OLQ.0b013e31820e64fd.</w:t>
      </w:r>
    </w:p>
    <w:p w14:paraId="3C9FA9ED"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[35]</w:t>
      </w:r>
      <w:r w:rsidRPr="003E61AA">
        <w:rPr>
          <w:rFonts w:ascii="Times New Roman" w:hAnsi="Times New Roman" w:cs="Times New Roman"/>
          <w:lang w:val="en-GB"/>
        </w:rPr>
        <w:tab/>
        <w:t xml:space="preserve">J. </w:t>
      </w:r>
      <w:proofErr w:type="spellStart"/>
      <w:r w:rsidRPr="003E61AA">
        <w:rPr>
          <w:rFonts w:ascii="Times New Roman" w:hAnsi="Times New Roman" w:cs="Times New Roman"/>
          <w:lang w:val="en-GB"/>
        </w:rPr>
        <w:t>Zeggagh</w:t>
      </w:r>
      <w:proofErr w:type="spellEnd"/>
      <w:r w:rsidRPr="003E61AA">
        <w:rPr>
          <w:rFonts w:ascii="Times New Roman" w:hAnsi="Times New Roman" w:cs="Times New Roman"/>
          <w:lang w:val="en-GB"/>
        </w:rPr>
        <w:t xml:space="preserve">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“Incidence and risk factors for recurrent sexually transmitted infections among MSM on HIV pre-exposure prophylaxis,” </w:t>
      </w:r>
      <w:r w:rsidRPr="003E61AA">
        <w:rPr>
          <w:rFonts w:ascii="Times New Roman" w:hAnsi="Times New Roman" w:cs="Times New Roman"/>
          <w:i/>
          <w:iCs/>
          <w:lang w:val="en-GB"/>
        </w:rPr>
        <w:t>AIDS</w:t>
      </w:r>
      <w:r w:rsidRPr="003E61AA">
        <w:rPr>
          <w:rFonts w:ascii="Times New Roman" w:hAnsi="Times New Roman" w:cs="Times New Roman"/>
          <w:lang w:val="en-GB"/>
        </w:rPr>
        <w:t xml:space="preserve">, vol. 36, no. 8, pp. 1129–1134, Jul. 2022,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10.1097/QAD.0000000000003187.</w:t>
      </w:r>
    </w:p>
    <w:p w14:paraId="5446B872"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[36]</w:t>
      </w:r>
      <w:r w:rsidRPr="003E61AA">
        <w:rPr>
          <w:rFonts w:ascii="Times New Roman" w:hAnsi="Times New Roman" w:cs="Times New Roman"/>
          <w:lang w:val="en-GB"/>
        </w:rPr>
        <w:tab/>
        <w:t>“Taking doxycycline with other medicines and herbal supplements,” National Health Service. Accessed: Feb. 10, 2025. [Online]. Available: https://www.nhs.uk/medicines/doxycycline/taking-doxycycline-with-other-medicines-and-herbal-supplements/</w:t>
      </w:r>
    </w:p>
    <w:p w14:paraId="381ED4F7"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[37]</w:t>
      </w:r>
      <w:r w:rsidRPr="003E61AA">
        <w:rPr>
          <w:rFonts w:ascii="Times New Roman" w:hAnsi="Times New Roman" w:cs="Times New Roman"/>
          <w:lang w:val="en-GB"/>
        </w:rPr>
        <w:tab/>
        <w:t>“Who can and cannot take doxycycline,” National Health Service. Accessed: Feb. 10, 2025. [Online]. Available: https://www.nhs.uk/medicines/doxycycline/who-can-and-cannot-take-doxycycline/</w:t>
      </w:r>
    </w:p>
    <w:p w14:paraId="11DCE29F"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[38]</w:t>
      </w:r>
      <w:r w:rsidRPr="003E61AA">
        <w:rPr>
          <w:rFonts w:ascii="Times New Roman" w:hAnsi="Times New Roman" w:cs="Times New Roman"/>
          <w:lang w:val="en-GB"/>
        </w:rPr>
        <w:tab/>
        <w:t xml:space="preserve">M. H. </w:t>
      </w:r>
      <w:proofErr w:type="spellStart"/>
      <w:r w:rsidRPr="003E61AA">
        <w:rPr>
          <w:rFonts w:ascii="Times New Roman" w:hAnsi="Times New Roman" w:cs="Times New Roman"/>
          <w:lang w:val="en-GB"/>
        </w:rPr>
        <w:t>Junejo</w:t>
      </w:r>
      <w:proofErr w:type="spellEnd"/>
      <w:r w:rsidRPr="003E61AA">
        <w:rPr>
          <w:rFonts w:ascii="Times New Roman" w:hAnsi="Times New Roman" w:cs="Times New Roman"/>
          <w:lang w:val="en-GB"/>
        </w:rPr>
        <w:t>, J. L. Marcus, and K. A. Katz, “Doxycycline Postexposure Prophylaxis (</w:t>
      </w:r>
      <w:proofErr w:type="spellStart"/>
      <w:r w:rsidRPr="003E61AA">
        <w:rPr>
          <w:rFonts w:ascii="Times New Roman" w:hAnsi="Times New Roman" w:cs="Times New Roman"/>
          <w:lang w:val="en-GB"/>
        </w:rPr>
        <w:t>DoxyPEP</w:t>
      </w:r>
      <w:proofErr w:type="spellEnd"/>
      <w:r w:rsidRPr="003E61AA">
        <w:rPr>
          <w:rFonts w:ascii="Times New Roman" w:hAnsi="Times New Roman" w:cs="Times New Roman"/>
          <w:lang w:val="en-GB"/>
        </w:rPr>
        <w:t xml:space="preserve">) for Bacterial STI Prevention,” </w:t>
      </w:r>
      <w:r w:rsidRPr="003E61AA">
        <w:rPr>
          <w:rFonts w:ascii="Times New Roman" w:hAnsi="Times New Roman" w:cs="Times New Roman"/>
          <w:i/>
          <w:iCs/>
          <w:lang w:val="en-GB"/>
        </w:rPr>
        <w:t>JAMA Dermatology</w:t>
      </w:r>
      <w:r w:rsidRPr="003E61AA">
        <w:rPr>
          <w:rFonts w:ascii="Times New Roman" w:hAnsi="Times New Roman" w:cs="Times New Roman"/>
          <w:lang w:val="en-GB"/>
        </w:rPr>
        <w:t xml:space="preserve">, vol. 161, no. 1, pp. 7–8, Jan. 2025,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10.1001/jamadermatol.2024.4567.</w:t>
      </w:r>
    </w:p>
    <w:p w14:paraId="61EEADE6"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[39]</w:t>
      </w:r>
      <w:r w:rsidRPr="003E61AA">
        <w:rPr>
          <w:rFonts w:ascii="Times New Roman" w:hAnsi="Times New Roman" w:cs="Times New Roman"/>
          <w:lang w:val="en-GB"/>
        </w:rPr>
        <w:tab/>
        <w:t>“About doxycycline,” National Health Service. Accessed: Feb. 20, 2025. [Online]. Available: https://www.nhs.uk/medicines/doxycycline/about-doxycycline/</w:t>
      </w:r>
    </w:p>
    <w:p w14:paraId="1C923CFA"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[40]</w:t>
      </w:r>
      <w:r w:rsidRPr="003E61AA">
        <w:rPr>
          <w:rFonts w:ascii="Times New Roman" w:hAnsi="Times New Roman" w:cs="Times New Roman"/>
          <w:lang w:val="en-GB"/>
        </w:rPr>
        <w:tab/>
        <w:t xml:space="preserve">L. K. Whittles, X. </w:t>
      </w:r>
      <w:proofErr w:type="spellStart"/>
      <w:r w:rsidRPr="003E61AA">
        <w:rPr>
          <w:rFonts w:ascii="Times New Roman" w:hAnsi="Times New Roman" w:cs="Times New Roman"/>
          <w:lang w:val="en-GB"/>
        </w:rPr>
        <w:t>Didelot</w:t>
      </w:r>
      <w:proofErr w:type="spellEnd"/>
      <w:r w:rsidRPr="003E61AA">
        <w:rPr>
          <w:rFonts w:ascii="Times New Roman" w:hAnsi="Times New Roman" w:cs="Times New Roman"/>
          <w:lang w:val="en-GB"/>
        </w:rPr>
        <w:t xml:space="preserve">, and P. J. White, “Public health impact and cost-effectiveness of gonorrhoea vaccination: an integrated transmission-dynamic health-economic modelling analysis,” </w:t>
      </w:r>
      <w:r w:rsidRPr="003E61AA">
        <w:rPr>
          <w:rFonts w:ascii="Times New Roman" w:hAnsi="Times New Roman" w:cs="Times New Roman"/>
          <w:i/>
          <w:iCs/>
          <w:lang w:val="en-GB"/>
        </w:rPr>
        <w:t>The Lancet Infectious Diseases</w:t>
      </w:r>
      <w:r w:rsidRPr="003E61AA">
        <w:rPr>
          <w:rFonts w:ascii="Times New Roman" w:hAnsi="Times New Roman" w:cs="Times New Roman"/>
          <w:lang w:val="en-GB"/>
        </w:rPr>
        <w:t xml:space="preserve">, vol. 22, no. 7, pp. 1030–1041, Jul. 2022,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10.1016/S1473-3099(21)00744-1.</w:t>
      </w:r>
    </w:p>
    <w:p w14:paraId="313A164B"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[41]</w:t>
      </w:r>
      <w:r w:rsidRPr="003E61AA">
        <w:rPr>
          <w:rFonts w:ascii="Times New Roman" w:hAnsi="Times New Roman" w:cs="Times New Roman"/>
          <w:lang w:val="en-GB"/>
        </w:rPr>
        <w:tab/>
        <w:t xml:space="preserve">J. G. Rosenberger </w:t>
      </w:r>
      <w:r w:rsidRPr="003E61AA">
        <w:rPr>
          <w:rFonts w:ascii="Times New Roman" w:hAnsi="Times New Roman" w:cs="Times New Roman"/>
          <w:i/>
          <w:iCs/>
          <w:lang w:val="en-GB"/>
        </w:rPr>
        <w:t>et al.</w:t>
      </w:r>
      <w:r w:rsidRPr="003E61AA">
        <w:rPr>
          <w:rFonts w:ascii="Times New Roman" w:hAnsi="Times New Roman" w:cs="Times New Roman"/>
          <w:lang w:val="en-GB"/>
        </w:rPr>
        <w:t xml:space="preserve">, “Sexual </w:t>
      </w:r>
      <w:proofErr w:type="spellStart"/>
      <w:r w:rsidRPr="003E61AA">
        <w:rPr>
          <w:rFonts w:ascii="Times New Roman" w:hAnsi="Times New Roman" w:cs="Times New Roman"/>
          <w:lang w:val="en-GB"/>
        </w:rPr>
        <w:t>Behaviors</w:t>
      </w:r>
      <w:proofErr w:type="spellEnd"/>
      <w:r w:rsidRPr="003E61AA">
        <w:rPr>
          <w:rFonts w:ascii="Times New Roman" w:hAnsi="Times New Roman" w:cs="Times New Roman"/>
          <w:lang w:val="en-GB"/>
        </w:rPr>
        <w:t xml:space="preserve"> and Situational Characteristics of Most Recent Male-Partnered Sexual Event among Gay and Bisexually Identified Men in the United States,” </w:t>
      </w:r>
      <w:r w:rsidRPr="003E61AA">
        <w:rPr>
          <w:rFonts w:ascii="Times New Roman" w:hAnsi="Times New Roman" w:cs="Times New Roman"/>
          <w:i/>
          <w:iCs/>
          <w:lang w:val="en-GB"/>
        </w:rPr>
        <w:t>The Journal of Sexual Medicine</w:t>
      </w:r>
      <w:r w:rsidRPr="003E61AA">
        <w:rPr>
          <w:rFonts w:ascii="Times New Roman" w:hAnsi="Times New Roman" w:cs="Times New Roman"/>
          <w:lang w:val="en-GB"/>
        </w:rPr>
        <w:t xml:space="preserve">, vol. 8, no. 11, pp. 3040–3050, 2011,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10.1111/j.1743-6109.2011.02438.x.</w:t>
      </w:r>
    </w:p>
    <w:p w14:paraId="1C75FC10"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[42]</w:t>
      </w:r>
      <w:r w:rsidRPr="003E61AA">
        <w:rPr>
          <w:rFonts w:ascii="Times New Roman" w:hAnsi="Times New Roman" w:cs="Times New Roman"/>
          <w:lang w:val="en-GB"/>
        </w:rPr>
        <w:tab/>
        <w:t xml:space="preserve">M. E. Tudor, A. M. Al Aboud, S. W. Leslie, and W. Gossman, “Syphilis,” in </w:t>
      </w:r>
      <w:proofErr w:type="spellStart"/>
      <w:r w:rsidRPr="003E61AA">
        <w:rPr>
          <w:rFonts w:ascii="Times New Roman" w:hAnsi="Times New Roman" w:cs="Times New Roman"/>
          <w:i/>
          <w:iCs/>
          <w:lang w:val="en-GB"/>
        </w:rPr>
        <w:t>StatPearls</w:t>
      </w:r>
      <w:proofErr w:type="spellEnd"/>
      <w:r w:rsidRPr="003E61AA">
        <w:rPr>
          <w:rFonts w:ascii="Times New Roman" w:hAnsi="Times New Roman" w:cs="Times New Roman"/>
          <w:lang w:val="en-GB"/>
        </w:rPr>
        <w:t xml:space="preserve">, Treasure Island (FL): </w:t>
      </w:r>
      <w:proofErr w:type="spellStart"/>
      <w:r w:rsidRPr="003E61AA">
        <w:rPr>
          <w:rFonts w:ascii="Times New Roman" w:hAnsi="Times New Roman" w:cs="Times New Roman"/>
          <w:lang w:val="en-GB"/>
        </w:rPr>
        <w:t>StatPearls</w:t>
      </w:r>
      <w:proofErr w:type="spellEnd"/>
      <w:r w:rsidRPr="003E61AA">
        <w:rPr>
          <w:rFonts w:ascii="Times New Roman" w:hAnsi="Times New Roman" w:cs="Times New Roman"/>
          <w:lang w:val="en-GB"/>
        </w:rPr>
        <w:t xml:space="preserve"> Publishing, 2025. Accessed: Mar. 10, 2025. [Online]. Available: http://www.ncbi.nlm.nih.gov/books/NBK534780/</w:t>
      </w:r>
    </w:p>
    <w:p w14:paraId="7553A9DB"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[43]</w:t>
      </w:r>
      <w:r w:rsidRPr="003E61AA">
        <w:rPr>
          <w:rFonts w:ascii="Times New Roman" w:hAnsi="Times New Roman" w:cs="Times New Roman"/>
          <w:lang w:val="en-GB"/>
        </w:rPr>
        <w:tab/>
        <w:t>M. E. Kent and F. Romanelli, “</w:t>
      </w:r>
      <w:proofErr w:type="spellStart"/>
      <w:r w:rsidRPr="003E61AA">
        <w:rPr>
          <w:rFonts w:ascii="Times New Roman" w:hAnsi="Times New Roman" w:cs="Times New Roman"/>
          <w:lang w:val="en-GB"/>
        </w:rPr>
        <w:t>Reexamining</w:t>
      </w:r>
      <w:proofErr w:type="spellEnd"/>
      <w:r w:rsidRPr="003E61AA">
        <w:rPr>
          <w:rFonts w:ascii="Times New Roman" w:hAnsi="Times New Roman" w:cs="Times New Roman"/>
          <w:lang w:val="en-GB"/>
        </w:rPr>
        <w:t xml:space="preserve"> Syphilis: An Update on Epidemiology, Clinical Manifestations, and Management,” </w:t>
      </w:r>
      <w:r w:rsidRPr="003E61AA">
        <w:rPr>
          <w:rFonts w:ascii="Times New Roman" w:hAnsi="Times New Roman" w:cs="Times New Roman"/>
          <w:i/>
          <w:iCs/>
          <w:lang w:val="en-GB"/>
        </w:rPr>
        <w:t xml:space="preserve">Ann </w:t>
      </w:r>
      <w:proofErr w:type="spellStart"/>
      <w:r w:rsidRPr="003E61AA">
        <w:rPr>
          <w:rFonts w:ascii="Times New Roman" w:hAnsi="Times New Roman" w:cs="Times New Roman"/>
          <w:i/>
          <w:iCs/>
          <w:lang w:val="en-GB"/>
        </w:rPr>
        <w:t>Pharmacother</w:t>
      </w:r>
      <w:proofErr w:type="spellEnd"/>
      <w:r w:rsidRPr="003E61AA">
        <w:rPr>
          <w:rFonts w:ascii="Times New Roman" w:hAnsi="Times New Roman" w:cs="Times New Roman"/>
          <w:lang w:val="en-GB"/>
        </w:rPr>
        <w:t xml:space="preserve">, vol. 42, no. 2, pp. 226–236, Feb. 2008,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10.1345/aph.1K086.</w:t>
      </w:r>
    </w:p>
    <w:p w14:paraId="25A831AB"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[44]</w:t>
      </w:r>
      <w:r w:rsidRPr="003E61AA">
        <w:rPr>
          <w:rFonts w:ascii="Times New Roman" w:hAnsi="Times New Roman" w:cs="Times New Roman"/>
          <w:lang w:val="en-GB"/>
        </w:rPr>
        <w:tab/>
        <w:t xml:space="preserve">L. V. STAMM, “Syphilis: antibiotic treatment and resistance,” </w:t>
      </w:r>
      <w:proofErr w:type="spellStart"/>
      <w:r w:rsidRPr="003E61AA">
        <w:rPr>
          <w:rFonts w:ascii="Times New Roman" w:hAnsi="Times New Roman" w:cs="Times New Roman"/>
          <w:i/>
          <w:iCs/>
          <w:lang w:val="en-GB"/>
        </w:rPr>
        <w:t>Epidemiol</w:t>
      </w:r>
      <w:proofErr w:type="spellEnd"/>
      <w:r w:rsidRPr="003E61AA">
        <w:rPr>
          <w:rFonts w:ascii="Times New Roman" w:hAnsi="Times New Roman" w:cs="Times New Roman"/>
          <w:i/>
          <w:iCs/>
          <w:lang w:val="en-GB"/>
        </w:rPr>
        <w:t xml:space="preserve"> Infect</w:t>
      </w:r>
      <w:r w:rsidRPr="003E61AA">
        <w:rPr>
          <w:rFonts w:ascii="Times New Roman" w:hAnsi="Times New Roman" w:cs="Times New Roman"/>
          <w:lang w:val="en-GB"/>
        </w:rPr>
        <w:t xml:space="preserve">, vol. 143, no. 8, pp. 1567–1574, Jun. 2015,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10.1017/S0950268814002830.</w:t>
      </w:r>
    </w:p>
    <w:p w14:paraId="40863162"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lastRenderedPageBreak/>
        <w:t>[45]</w:t>
      </w:r>
      <w:r w:rsidRPr="003E61AA">
        <w:rPr>
          <w:rFonts w:ascii="Times New Roman" w:hAnsi="Times New Roman" w:cs="Times New Roman"/>
          <w:lang w:val="en-GB"/>
        </w:rPr>
        <w:tab/>
        <w:t xml:space="preserve">M. J. Tobin, “Fiftieth Anniversary of Uncovering the Tuskegee Syphilis Study: The Story and Timeless Lessons,” </w:t>
      </w:r>
      <w:r w:rsidRPr="003E61AA">
        <w:rPr>
          <w:rFonts w:ascii="Times New Roman" w:hAnsi="Times New Roman" w:cs="Times New Roman"/>
          <w:i/>
          <w:iCs/>
          <w:lang w:val="en-GB"/>
        </w:rPr>
        <w:t>Am J Respir Crit Care Med</w:t>
      </w:r>
      <w:r w:rsidRPr="003E61AA">
        <w:rPr>
          <w:rFonts w:ascii="Times New Roman" w:hAnsi="Times New Roman" w:cs="Times New Roman"/>
          <w:lang w:val="en-GB"/>
        </w:rPr>
        <w:t xml:space="preserve">, vol. 205, no. 10, pp. 1145–1158,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10.1164/rccm.202201-0136SO.</w:t>
      </w:r>
    </w:p>
    <w:p w14:paraId="77214248" w14:textId="77777777" w:rsidR="003E61AA" w:rsidRPr="003E61AA" w:rsidRDefault="003E61AA" w:rsidP="003E61AA">
      <w:pPr>
        <w:pStyle w:val="Bibliography"/>
        <w:jc w:val="both"/>
        <w:rPr>
          <w:rFonts w:ascii="Times New Roman" w:hAnsi="Times New Roman" w:cs="Times New Roman"/>
          <w:lang w:val="en-GB"/>
        </w:rPr>
      </w:pPr>
      <w:r w:rsidRPr="003E61AA">
        <w:rPr>
          <w:rFonts w:ascii="Times New Roman" w:hAnsi="Times New Roman" w:cs="Times New Roman"/>
          <w:lang w:val="en-GB"/>
        </w:rPr>
        <w:t>[46]</w:t>
      </w:r>
      <w:r w:rsidRPr="003E61AA">
        <w:rPr>
          <w:rFonts w:ascii="Times New Roman" w:hAnsi="Times New Roman" w:cs="Times New Roman"/>
          <w:lang w:val="en-GB"/>
        </w:rPr>
        <w:tab/>
        <w:t>E. G. Clark and N. Danbolt, “The Oslo study of the natural history of untreated syphilis: An epidemiologic investigation based on a restudy of the Boeck-</w:t>
      </w:r>
      <w:proofErr w:type="spellStart"/>
      <w:r w:rsidRPr="003E61AA">
        <w:rPr>
          <w:rFonts w:ascii="Times New Roman" w:hAnsi="Times New Roman" w:cs="Times New Roman"/>
          <w:lang w:val="en-GB"/>
        </w:rPr>
        <w:t>Bruusgaard</w:t>
      </w:r>
      <w:proofErr w:type="spellEnd"/>
      <w:r w:rsidRPr="003E61AA">
        <w:rPr>
          <w:rFonts w:ascii="Times New Roman" w:hAnsi="Times New Roman" w:cs="Times New Roman"/>
          <w:lang w:val="en-GB"/>
        </w:rPr>
        <w:t xml:space="preserve"> material a review and appraisal,” </w:t>
      </w:r>
      <w:r w:rsidRPr="003E61AA">
        <w:rPr>
          <w:rFonts w:ascii="Times New Roman" w:hAnsi="Times New Roman" w:cs="Times New Roman"/>
          <w:i/>
          <w:iCs/>
          <w:lang w:val="en-GB"/>
        </w:rPr>
        <w:t>Journal of Chronic Diseases</w:t>
      </w:r>
      <w:r w:rsidRPr="003E61AA">
        <w:rPr>
          <w:rFonts w:ascii="Times New Roman" w:hAnsi="Times New Roman" w:cs="Times New Roman"/>
          <w:lang w:val="en-GB"/>
        </w:rPr>
        <w:t xml:space="preserve">, vol. 2, no. 3, pp. 311–344, Sep. 1955, </w:t>
      </w:r>
      <w:proofErr w:type="spellStart"/>
      <w:r w:rsidRPr="003E61AA">
        <w:rPr>
          <w:rFonts w:ascii="Times New Roman" w:hAnsi="Times New Roman" w:cs="Times New Roman"/>
          <w:lang w:val="en-GB"/>
        </w:rPr>
        <w:t>doi</w:t>
      </w:r>
      <w:proofErr w:type="spellEnd"/>
      <w:r w:rsidRPr="003E61AA">
        <w:rPr>
          <w:rFonts w:ascii="Times New Roman" w:hAnsi="Times New Roman" w:cs="Times New Roman"/>
          <w:lang w:val="en-GB"/>
        </w:rPr>
        <w:t>: 10.1016/0021-9681(55)90139-9.</w:t>
      </w:r>
    </w:p>
    <w:p w14:paraId="0E5590FF" w14:textId="51F8C183" w:rsidR="00770CE9" w:rsidRPr="00C52698" w:rsidRDefault="00756851" w:rsidP="003E61AA">
      <w:pPr>
        <w:pStyle w:val="Bibliography"/>
        <w:jc w:val="both"/>
        <w:rPr>
          <w:rFonts w:ascii="Times New Roman" w:hAnsi="Times New Roman" w:cs="Times New Roman"/>
        </w:rPr>
      </w:pPr>
      <w:r w:rsidRPr="003E61AA">
        <w:rPr>
          <w:rFonts w:ascii="Times New Roman" w:hAnsi="Times New Roman" w:cs="Times New Roman"/>
        </w:rPr>
        <w:fldChar w:fldCharType="end"/>
      </w:r>
    </w:p>
    <w:sectPr w:rsidR="00770CE9" w:rsidRPr="00C52698" w:rsidSect="00155C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1E884" w14:textId="77777777" w:rsidR="00681283" w:rsidRDefault="00681283" w:rsidP="00FC200C">
      <w:pPr>
        <w:spacing w:after="0" w:line="240" w:lineRule="auto"/>
      </w:pPr>
      <w:r>
        <w:separator/>
      </w:r>
    </w:p>
  </w:endnote>
  <w:endnote w:type="continuationSeparator" w:id="0">
    <w:p w14:paraId="0DF9CAAF" w14:textId="77777777" w:rsidR="00681283" w:rsidRDefault="00681283" w:rsidP="00FC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08FAF" w14:textId="77777777" w:rsidR="00681283" w:rsidRDefault="00681283" w:rsidP="00FC200C">
      <w:pPr>
        <w:spacing w:after="0" w:line="240" w:lineRule="auto"/>
      </w:pPr>
      <w:r>
        <w:separator/>
      </w:r>
    </w:p>
  </w:footnote>
  <w:footnote w:type="continuationSeparator" w:id="0">
    <w:p w14:paraId="4CE5512A" w14:textId="77777777" w:rsidR="00681283" w:rsidRDefault="00681283" w:rsidP="00FC200C">
      <w:pPr>
        <w:spacing w:after="0" w:line="240" w:lineRule="auto"/>
      </w:pPr>
      <w:r>
        <w:continuationSeparator/>
      </w:r>
    </w:p>
  </w:footnote>
  <w:footnote w:id="1">
    <w:p w14:paraId="68846F45" w14:textId="495BBEC3" w:rsidR="001B0FBD" w:rsidRPr="001B0FBD" w:rsidRDefault="001B0FBD" w:rsidP="001B0FBD">
      <w:pPr>
        <w:pStyle w:val="FootnoteText"/>
        <w:jc w:val="both"/>
        <w:rPr>
          <w:rFonts w:ascii="Times New Roman" w:hAnsi="Times New Roman" w:cs="Times New Roman"/>
        </w:rPr>
      </w:pPr>
      <w:r w:rsidRPr="001B0FBD">
        <w:rPr>
          <w:rStyle w:val="FootnoteReference"/>
          <w:rFonts w:ascii="Times New Roman" w:hAnsi="Times New Roman" w:cs="Times New Roman"/>
        </w:rPr>
        <w:footnoteRef/>
      </w:r>
      <w:r w:rsidRPr="001B0FBD">
        <w:rPr>
          <w:rFonts w:ascii="Times New Roman" w:hAnsi="Times New Roman" w:cs="Times New Roman"/>
        </w:rPr>
        <w:t xml:space="preserve"> Nontreponemal </w:t>
      </w:r>
      <w:r>
        <w:rPr>
          <w:rFonts w:ascii="Times New Roman" w:hAnsi="Times New Roman" w:cs="Times New Roman"/>
        </w:rPr>
        <w:t>t</w:t>
      </w:r>
      <w:r w:rsidRPr="001B0FBD">
        <w:rPr>
          <w:rFonts w:ascii="Times New Roman" w:hAnsi="Times New Roman" w:cs="Times New Roman"/>
        </w:rPr>
        <w:t xml:space="preserve">ests (screening tests) detect </w:t>
      </w:r>
      <w:r w:rsidRPr="001B0FBD">
        <w:rPr>
          <w:rStyle w:val="Strong"/>
          <w:rFonts w:ascii="Times New Roman" w:hAnsi="Times New Roman" w:cs="Times New Roman"/>
          <w:b w:val="0"/>
          <w:bCs w:val="0"/>
        </w:rPr>
        <w:t>reagin antibodies</w:t>
      </w:r>
      <w:r w:rsidRPr="001B0FBD">
        <w:rPr>
          <w:rFonts w:ascii="Times New Roman" w:hAnsi="Times New Roman" w:cs="Times New Roman"/>
        </w:rPr>
        <w:t xml:space="preserve"> produced in response to syphilis but can also be positive in other conditions.</w:t>
      </w:r>
    </w:p>
  </w:footnote>
  <w:footnote w:id="2">
    <w:p w14:paraId="7863CBB5" w14:textId="3630D9F7" w:rsidR="001B0FBD" w:rsidRPr="001B0FBD" w:rsidRDefault="001B0FBD" w:rsidP="001B0FBD">
      <w:pPr>
        <w:pStyle w:val="FootnoteText"/>
        <w:jc w:val="both"/>
        <w:rPr>
          <w:lang w:val="en-US"/>
        </w:rPr>
      </w:pPr>
      <w:r w:rsidRPr="001B0FBD">
        <w:rPr>
          <w:rStyle w:val="FootnoteReference"/>
          <w:rFonts w:ascii="Times New Roman" w:hAnsi="Times New Roman" w:cs="Times New Roman"/>
        </w:rPr>
        <w:footnoteRef/>
      </w:r>
      <w:r w:rsidRPr="001B0FBD">
        <w:rPr>
          <w:rFonts w:ascii="Times New Roman" w:hAnsi="Times New Roman" w:cs="Times New Roman"/>
        </w:rPr>
        <w:t xml:space="preserve"> Treponemal </w:t>
      </w:r>
      <w:r>
        <w:rPr>
          <w:rFonts w:ascii="Times New Roman" w:hAnsi="Times New Roman" w:cs="Times New Roman"/>
        </w:rPr>
        <w:t>t</w:t>
      </w:r>
      <w:r w:rsidRPr="001B0FBD">
        <w:rPr>
          <w:rFonts w:ascii="Times New Roman" w:hAnsi="Times New Roman" w:cs="Times New Roman"/>
        </w:rPr>
        <w:t>ests</w:t>
      </w:r>
      <w:r>
        <w:rPr>
          <w:rFonts w:ascii="Times New Roman" w:hAnsi="Times New Roman" w:cs="Times New Roman"/>
        </w:rPr>
        <w:t xml:space="preserve"> (confirmation tests)</w:t>
      </w:r>
      <w:r w:rsidRPr="001B0FBD">
        <w:rPr>
          <w:rFonts w:ascii="Times New Roman" w:hAnsi="Times New Roman" w:cs="Times New Roman"/>
        </w:rPr>
        <w:t xml:space="preserve"> detect </w:t>
      </w:r>
      <w:r w:rsidRPr="001B0FBD">
        <w:rPr>
          <w:rStyle w:val="Strong"/>
          <w:rFonts w:ascii="Times New Roman" w:hAnsi="Times New Roman" w:cs="Times New Roman"/>
          <w:b w:val="0"/>
          <w:bCs w:val="0"/>
        </w:rPr>
        <w:t>antibodies</w:t>
      </w:r>
      <w:r w:rsidRPr="001B0FBD">
        <w:rPr>
          <w:rFonts w:ascii="Times New Roman" w:hAnsi="Times New Roman" w:cs="Times New Roman"/>
        </w:rPr>
        <w:t xml:space="preserve"> specific to </w:t>
      </w:r>
      <w:r w:rsidRPr="001B0FBD">
        <w:rPr>
          <w:rStyle w:val="Emphasis"/>
          <w:rFonts w:ascii="Times New Roman" w:hAnsi="Times New Roman" w:cs="Times New Roman"/>
        </w:rPr>
        <w:t>Treponema pallidum</w:t>
      </w:r>
      <w:r w:rsidRPr="001B0FBD">
        <w:rPr>
          <w:rFonts w:ascii="Times New Roman" w:hAnsi="Times New Roman" w:cs="Times New Roman"/>
        </w:rPr>
        <w:t xml:space="preserve"> and remain positive for life.</w:t>
      </w:r>
    </w:p>
  </w:footnote>
  <w:footnote w:id="3">
    <w:p w14:paraId="215C0164" w14:textId="21816A1C" w:rsidR="004F1238" w:rsidRPr="001C2286" w:rsidRDefault="004F1238" w:rsidP="001C2286">
      <w:pPr>
        <w:pStyle w:val="FootnoteText"/>
        <w:jc w:val="both"/>
        <w:rPr>
          <w:rFonts w:ascii="Times New Roman" w:hAnsi="Times New Roman" w:cs="Times New Roman"/>
          <w:lang w:val="en-US"/>
        </w:rPr>
      </w:pPr>
      <w:r w:rsidRPr="001C2286">
        <w:rPr>
          <w:rStyle w:val="FootnoteReference"/>
          <w:rFonts w:ascii="Times New Roman" w:hAnsi="Times New Roman" w:cs="Times New Roman"/>
        </w:rPr>
        <w:footnoteRef/>
      </w:r>
      <w:r w:rsidRPr="001C2286">
        <w:rPr>
          <w:rFonts w:ascii="Times New Roman" w:hAnsi="Times New Roman" w:cs="Times New Roman"/>
        </w:rPr>
        <w:t xml:space="preserve"> A second-generation tetracycline with moderate-spectrum activity that is well tolerated and rapidly absorbed following oral administration </w:t>
      </w:r>
      <w:r w:rsidRPr="001C2286">
        <w:rPr>
          <w:rFonts w:ascii="Times New Roman" w:hAnsi="Times New Roman" w:cs="Times New Roman"/>
        </w:rPr>
        <w:fldChar w:fldCharType="begin"/>
      </w:r>
      <w:r w:rsidR="00986523">
        <w:rPr>
          <w:rFonts w:ascii="Times New Roman" w:hAnsi="Times New Roman" w:cs="Times New Roman"/>
        </w:rPr>
        <w:instrText xml:space="preserve"> ADDIN ZOTERO_ITEM CSL_CITATION {"citationID":"KmK0epzN","properties":{"formattedCitation":"[11]","plainCitation":"[11]","noteIndex":3},"citationItems":[{"id":391,"uris":["http://zotero.org/users/9663344/items/HXL7SPEL"],"itemData":{"id":391,"type":"article-journal","abstract":"Doxycycline is a second-generation tetracycline, available worldwide for half a century. It is an inexpensive broad-spectrum antimicrobial agent largely used in the management of several bacterial infections, particularly involving intracellular pathogens, as well as in the treatment of acne or for the prophylaxis of malaria. Physicochemical characteristics of doxycycline (liposolubility) allow a high diffusion in the tissues and organs. It has high bioavailability and a long elimination half-life allowing oral administration of one or two daily doses. Over the last decade, the prevalence of bacterial sexually transmitted infections (STIs) (syphilis, chlamydiosis, gonorrhoea and Mycoplasma genitalium infections) has increased in most countries, mainly in MSM, many of whom are infected with HIV. In light of increasing prevalence of resistance towards first-line regimens of some STI agents and recently updated recommendations for STI management, doxycycline appears to be an attractive option compared with other available antibiotics for the treatment of some STIs due to its efficacy, good tolerability and oral administration. More recently, indications for doxycycline in STI prophylaxis have been evaluated. Considering the renewed interest of doxycycline in STI management, this review aims to update the pharmacology of, efficacy of, safety of and resistance to doxycycline in this context of use.","container-title":"The Journal of Antimicrobial Chemotherapy","DOI":"10.1093/jac/dkx420","ISSN":"1460-2091","issue":"3","journalAbbreviation":"J Antimicrob Chemother","language":"eng","note":"PMID: 29182717","page":"553-563","source":"PubMed","title":"Doxycycline in the management of sexually transmitted infections","volume":"73","author":[{"family":"Peyriere","given":"Hélène"},{"family":"Makinson","given":"Alain"},{"family":"Marchandin","given":"Hélène"},{"family":"Reynes","given":"Jacques"}],"issued":{"date-parts":[["2018",3,1]]}}}],"schema":"https://github.com/citation-style-language/schema/raw/master/csl-citation.json"} </w:instrText>
      </w:r>
      <w:r w:rsidRPr="001C2286">
        <w:rPr>
          <w:rFonts w:ascii="Times New Roman" w:hAnsi="Times New Roman" w:cs="Times New Roman"/>
        </w:rPr>
        <w:fldChar w:fldCharType="separate"/>
      </w:r>
      <w:r w:rsidR="003B7189">
        <w:rPr>
          <w:rFonts w:ascii="Times New Roman" w:hAnsi="Times New Roman" w:cs="Times New Roman"/>
          <w:noProof/>
        </w:rPr>
        <w:t>[11]</w:t>
      </w:r>
      <w:r w:rsidRPr="001C2286">
        <w:rPr>
          <w:rFonts w:ascii="Times New Roman" w:hAnsi="Times New Roman" w:cs="Times New Roman"/>
        </w:rPr>
        <w:fldChar w:fldCharType="end"/>
      </w:r>
      <w:r w:rsidRPr="001C2286">
        <w:rPr>
          <w:rFonts w:ascii="Times New Roman" w:hAnsi="Times New Roman" w:cs="Times New Roman"/>
        </w:rPr>
        <w:t xml:space="preserve">, which has been extensively used for treating acne, preventing malaria, and managing rosacea </w:t>
      </w:r>
      <w:r w:rsidRPr="001C2286">
        <w:rPr>
          <w:rFonts w:ascii="Times New Roman" w:hAnsi="Times New Roman" w:cs="Times New Roman"/>
        </w:rPr>
        <w:fldChar w:fldCharType="begin"/>
      </w:r>
      <w:r w:rsidR="00986523">
        <w:rPr>
          <w:rFonts w:ascii="Times New Roman" w:hAnsi="Times New Roman" w:cs="Times New Roman"/>
        </w:rPr>
        <w:instrText xml:space="preserve"> ADDIN ZOTERO_ITEM CSL_CITATION {"citationID":"G2SFmjd9","properties":{"formattedCitation":"[10]","plainCitation":"[10]","noteIndex":3},"citationItems":[{"id":402,"uris":["http://zotero.org/users/9663344/items/TF22S9V5"],"itemData":{"id":402,"type":"article-journal","abstract":"This report describes a recommendation from CDC for clinicians to use doxy PEP to help reduce incidents of syphilis, chlamydia, and gonorrhea in populations at high risk for these infections.","container-title":"MMWR. Recommendations and Reports","DOI":"10.15585/mmwr.rr7302a1","ISSN":"1057-59871545-8601","journalAbbreviation":"MMWR Recomm Rep","language":"en-us","source":"www.cdc.gov","title":"CDC Clinical Guidelines on the Use of Doxycycline Postexposure Prophylaxis for Bacterial Sexually Transmitted Infection Prevention, United States, 2024","URL":"https://www.cdc.gov/mmwr/volumes/73/rr/rr7302a1.htm","volume":"73","author":[{"family":"Bachmann","given":"Laura H."}],"accessed":{"date-parts":[["2025",2,9]]},"issued":{"date-parts":[["2024"]]}}}],"schema":"https://github.com/citation-style-language/schema/raw/master/csl-citation.json"} </w:instrText>
      </w:r>
      <w:r w:rsidRPr="001C2286">
        <w:rPr>
          <w:rFonts w:ascii="Times New Roman" w:hAnsi="Times New Roman" w:cs="Times New Roman"/>
        </w:rPr>
        <w:fldChar w:fldCharType="separate"/>
      </w:r>
      <w:r w:rsidR="003B7189">
        <w:rPr>
          <w:rFonts w:ascii="Times New Roman" w:hAnsi="Times New Roman" w:cs="Times New Roman"/>
          <w:noProof/>
        </w:rPr>
        <w:t>[10]</w:t>
      </w:r>
      <w:r w:rsidRPr="001C2286">
        <w:rPr>
          <w:rFonts w:ascii="Times New Roman" w:hAnsi="Times New Roman" w:cs="Times New Roman"/>
        </w:rPr>
        <w:fldChar w:fldCharType="end"/>
      </w:r>
      <w:r w:rsidRPr="001C2286">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464523"/>
    <w:multiLevelType w:val="multilevel"/>
    <w:tmpl w:val="1486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90A2C"/>
    <w:multiLevelType w:val="hybridMultilevel"/>
    <w:tmpl w:val="7302A3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EB5A9F"/>
    <w:multiLevelType w:val="hybridMultilevel"/>
    <w:tmpl w:val="03588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49451C"/>
    <w:multiLevelType w:val="hybridMultilevel"/>
    <w:tmpl w:val="D960B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797B03"/>
    <w:multiLevelType w:val="hybridMultilevel"/>
    <w:tmpl w:val="DFE03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4E74C9"/>
    <w:multiLevelType w:val="hybridMultilevel"/>
    <w:tmpl w:val="8FCAD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057809"/>
    <w:multiLevelType w:val="hybridMultilevel"/>
    <w:tmpl w:val="889664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A7564D"/>
    <w:multiLevelType w:val="hybridMultilevel"/>
    <w:tmpl w:val="E85258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9176226">
    <w:abstractNumId w:val="0"/>
  </w:num>
  <w:num w:numId="2" w16cid:durableId="1046561201">
    <w:abstractNumId w:val="4"/>
  </w:num>
  <w:num w:numId="3" w16cid:durableId="1146388273">
    <w:abstractNumId w:val="7"/>
  </w:num>
  <w:num w:numId="4" w16cid:durableId="1247686311">
    <w:abstractNumId w:val="5"/>
  </w:num>
  <w:num w:numId="5" w16cid:durableId="698699353">
    <w:abstractNumId w:val="3"/>
  </w:num>
  <w:num w:numId="6" w16cid:durableId="174922237">
    <w:abstractNumId w:val="2"/>
  </w:num>
  <w:num w:numId="7" w16cid:durableId="2020741265">
    <w:abstractNumId w:val="6"/>
  </w:num>
  <w:num w:numId="8" w16cid:durableId="1445421526">
    <w:abstractNumId w:val="1"/>
  </w:num>
  <w:num w:numId="9" w16cid:durableId="6487041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E2"/>
    <w:rsid w:val="000000B0"/>
    <w:rsid w:val="000061AE"/>
    <w:rsid w:val="00013399"/>
    <w:rsid w:val="000165A7"/>
    <w:rsid w:val="00022D15"/>
    <w:rsid w:val="00023408"/>
    <w:rsid w:val="00026583"/>
    <w:rsid w:val="00031F56"/>
    <w:rsid w:val="0003385D"/>
    <w:rsid w:val="00033BE4"/>
    <w:rsid w:val="000367DF"/>
    <w:rsid w:val="000414A7"/>
    <w:rsid w:val="0004219E"/>
    <w:rsid w:val="0004249C"/>
    <w:rsid w:val="00044A68"/>
    <w:rsid w:val="00046459"/>
    <w:rsid w:val="00051090"/>
    <w:rsid w:val="00052BB4"/>
    <w:rsid w:val="00054106"/>
    <w:rsid w:val="000645E8"/>
    <w:rsid w:val="00065418"/>
    <w:rsid w:val="00065F71"/>
    <w:rsid w:val="00070873"/>
    <w:rsid w:val="00070A1C"/>
    <w:rsid w:val="00071C42"/>
    <w:rsid w:val="00074B41"/>
    <w:rsid w:val="000752AD"/>
    <w:rsid w:val="00090F3A"/>
    <w:rsid w:val="00094702"/>
    <w:rsid w:val="00096D4A"/>
    <w:rsid w:val="000A0D25"/>
    <w:rsid w:val="000A33FA"/>
    <w:rsid w:val="000B2F01"/>
    <w:rsid w:val="000B5B77"/>
    <w:rsid w:val="000B72A0"/>
    <w:rsid w:val="000B781B"/>
    <w:rsid w:val="000C09A0"/>
    <w:rsid w:val="000C1E72"/>
    <w:rsid w:val="000C2CA4"/>
    <w:rsid w:val="000C5DB4"/>
    <w:rsid w:val="000D1502"/>
    <w:rsid w:val="000E0585"/>
    <w:rsid w:val="000E18E6"/>
    <w:rsid w:val="000E21DC"/>
    <w:rsid w:val="000E47E8"/>
    <w:rsid w:val="000E6B73"/>
    <w:rsid w:val="000F4461"/>
    <w:rsid w:val="000F474F"/>
    <w:rsid w:val="000F53D3"/>
    <w:rsid w:val="00104557"/>
    <w:rsid w:val="0010534C"/>
    <w:rsid w:val="00106D73"/>
    <w:rsid w:val="001112A9"/>
    <w:rsid w:val="001135E4"/>
    <w:rsid w:val="001214CA"/>
    <w:rsid w:val="001230B7"/>
    <w:rsid w:val="00132DF9"/>
    <w:rsid w:val="0015461F"/>
    <w:rsid w:val="00155CFE"/>
    <w:rsid w:val="001654FF"/>
    <w:rsid w:val="00173BBD"/>
    <w:rsid w:val="001771FE"/>
    <w:rsid w:val="00180E6A"/>
    <w:rsid w:val="00191EC5"/>
    <w:rsid w:val="00196C2F"/>
    <w:rsid w:val="00197025"/>
    <w:rsid w:val="00197E0D"/>
    <w:rsid w:val="001A2E6B"/>
    <w:rsid w:val="001A31E6"/>
    <w:rsid w:val="001B075D"/>
    <w:rsid w:val="001B0FBD"/>
    <w:rsid w:val="001B2847"/>
    <w:rsid w:val="001B46FD"/>
    <w:rsid w:val="001B7A3F"/>
    <w:rsid w:val="001B7E54"/>
    <w:rsid w:val="001C2286"/>
    <w:rsid w:val="001C75B7"/>
    <w:rsid w:val="001D02C7"/>
    <w:rsid w:val="001D2FB2"/>
    <w:rsid w:val="001D45D2"/>
    <w:rsid w:val="001D4B0B"/>
    <w:rsid w:val="001E2896"/>
    <w:rsid w:val="001E58D7"/>
    <w:rsid w:val="001E637B"/>
    <w:rsid w:val="001E6482"/>
    <w:rsid w:val="001E65EC"/>
    <w:rsid w:val="001E78AF"/>
    <w:rsid w:val="001F2274"/>
    <w:rsid w:val="001F3820"/>
    <w:rsid w:val="001F6F85"/>
    <w:rsid w:val="00201102"/>
    <w:rsid w:val="00202BE8"/>
    <w:rsid w:val="00204102"/>
    <w:rsid w:val="00204D4F"/>
    <w:rsid w:val="00207E1F"/>
    <w:rsid w:val="002111EB"/>
    <w:rsid w:val="00211291"/>
    <w:rsid w:val="00214A19"/>
    <w:rsid w:val="002176B3"/>
    <w:rsid w:val="00223697"/>
    <w:rsid w:val="0022485C"/>
    <w:rsid w:val="00234C89"/>
    <w:rsid w:val="00243FCA"/>
    <w:rsid w:val="00245A8D"/>
    <w:rsid w:val="00247BD5"/>
    <w:rsid w:val="0025152F"/>
    <w:rsid w:val="00253087"/>
    <w:rsid w:val="00253FFF"/>
    <w:rsid w:val="00256D13"/>
    <w:rsid w:val="002615A1"/>
    <w:rsid w:val="00262B58"/>
    <w:rsid w:val="0026451D"/>
    <w:rsid w:val="00265C62"/>
    <w:rsid w:val="00271809"/>
    <w:rsid w:val="00277A95"/>
    <w:rsid w:val="00280706"/>
    <w:rsid w:val="00280C37"/>
    <w:rsid w:val="0028592E"/>
    <w:rsid w:val="00285F0F"/>
    <w:rsid w:val="002861C7"/>
    <w:rsid w:val="002A5DC5"/>
    <w:rsid w:val="002B61A9"/>
    <w:rsid w:val="002B6FAB"/>
    <w:rsid w:val="002C4FF1"/>
    <w:rsid w:val="002D14FA"/>
    <w:rsid w:val="002D4C14"/>
    <w:rsid w:val="002D6C14"/>
    <w:rsid w:val="002D6C6A"/>
    <w:rsid w:val="002E2E54"/>
    <w:rsid w:val="002F3EBE"/>
    <w:rsid w:val="002F597B"/>
    <w:rsid w:val="002F645A"/>
    <w:rsid w:val="002F65C0"/>
    <w:rsid w:val="00315D4E"/>
    <w:rsid w:val="00315EC9"/>
    <w:rsid w:val="003239D9"/>
    <w:rsid w:val="00326B3D"/>
    <w:rsid w:val="00330B18"/>
    <w:rsid w:val="00332430"/>
    <w:rsid w:val="00333AB0"/>
    <w:rsid w:val="00341A2F"/>
    <w:rsid w:val="003454EF"/>
    <w:rsid w:val="00353655"/>
    <w:rsid w:val="00354729"/>
    <w:rsid w:val="00366EDD"/>
    <w:rsid w:val="00370844"/>
    <w:rsid w:val="003722C6"/>
    <w:rsid w:val="00377B0E"/>
    <w:rsid w:val="00382181"/>
    <w:rsid w:val="003867E3"/>
    <w:rsid w:val="00386A60"/>
    <w:rsid w:val="0038759D"/>
    <w:rsid w:val="0039116B"/>
    <w:rsid w:val="00392B05"/>
    <w:rsid w:val="00395148"/>
    <w:rsid w:val="003A32C2"/>
    <w:rsid w:val="003A4E7B"/>
    <w:rsid w:val="003A6305"/>
    <w:rsid w:val="003B05C7"/>
    <w:rsid w:val="003B11BC"/>
    <w:rsid w:val="003B1D80"/>
    <w:rsid w:val="003B37A4"/>
    <w:rsid w:val="003B5B8C"/>
    <w:rsid w:val="003B7189"/>
    <w:rsid w:val="003C3094"/>
    <w:rsid w:val="003D0CF4"/>
    <w:rsid w:val="003D247D"/>
    <w:rsid w:val="003D722C"/>
    <w:rsid w:val="003E0FCC"/>
    <w:rsid w:val="003E61AA"/>
    <w:rsid w:val="003F632F"/>
    <w:rsid w:val="00401E18"/>
    <w:rsid w:val="004040EB"/>
    <w:rsid w:val="004062A5"/>
    <w:rsid w:val="00406C9E"/>
    <w:rsid w:val="00412161"/>
    <w:rsid w:val="00414D0C"/>
    <w:rsid w:val="00414F9C"/>
    <w:rsid w:val="004173D6"/>
    <w:rsid w:val="00424B19"/>
    <w:rsid w:val="0042611F"/>
    <w:rsid w:val="004319FC"/>
    <w:rsid w:val="00431C29"/>
    <w:rsid w:val="00435A11"/>
    <w:rsid w:val="00441D99"/>
    <w:rsid w:val="00444E89"/>
    <w:rsid w:val="004452AD"/>
    <w:rsid w:val="00451CD2"/>
    <w:rsid w:val="00456B42"/>
    <w:rsid w:val="00462BBF"/>
    <w:rsid w:val="004650EC"/>
    <w:rsid w:val="004728B0"/>
    <w:rsid w:val="00475F46"/>
    <w:rsid w:val="004865D3"/>
    <w:rsid w:val="004874E7"/>
    <w:rsid w:val="0049375F"/>
    <w:rsid w:val="00494FE1"/>
    <w:rsid w:val="004973F9"/>
    <w:rsid w:val="00497B94"/>
    <w:rsid w:val="004A0059"/>
    <w:rsid w:val="004A3ED4"/>
    <w:rsid w:val="004A57CA"/>
    <w:rsid w:val="004B1CFE"/>
    <w:rsid w:val="004B3251"/>
    <w:rsid w:val="004B7523"/>
    <w:rsid w:val="004C2FCF"/>
    <w:rsid w:val="004C79B3"/>
    <w:rsid w:val="004E3383"/>
    <w:rsid w:val="004E3DB1"/>
    <w:rsid w:val="004F1238"/>
    <w:rsid w:val="004F1858"/>
    <w:rsid w:val="004F3369"/>
    <w:rsid w:val="004F4C8F"/>
    <w:rsid w:val="004F5A7B"/>
    <w:rsid w:val="005115FE"/>
    <w:rsid w:val="00513023"/>
    <w:rsid w:val="00514740"/>
    <w:rsid w:val="0051788B"/>
    <w:rsid w:val="005217B5"/>
    <w:rsid w:val="005238A6"/>
    <w:rsid w:val="00525F26"/>
    <w:rsid w:val="00526844"/>
    <w:rsid w:val="00531F79"/>
    <w:rsid w:val="00534895"/>
    <w:rsid w:val="00537E94"/>
    <w:rsid w:val="00540BD4"/>
    <w:rsid w:val="005412D7"/>
    <w:rsid w:val="0054227A"/>
    <w:rsid w:val="00543EDE"/>
    <w:rsid w:val="00544B36"/>
    <w:rsid w:val="0054766F"/>
    <w:rsid w:val="005520F2"/>
    <w:rsid w:val="00556442"/>
    <w:rsid w:val="00567F04"/>
    <w:rsid w:val="00577269"/>
    <w:rsid w:val="005772DE"/>
    <w:rsid w:val="00581C40"/>
    <w:rsid w:val="00582D3D"/>
    <w:rsid w:val="005860CA"/>
    <w:rsid w:val="00593F96"/>
    <w:rsid w:val="00597BA4"/>
    <w:rsid w:val="005A1EFE"/>
    <w:rsid w:val="005A2F9D"/>
    <w:rsid w:val="005A2FE7"/>
    <w:rsid w:val="005A3DEE"/>
    <w:rsid w:val="005A6CF6"/>
    <w:rsid w:val="005B130F"/>
    <w:rsid w:val="005B5A22"/>
    <w:rsid w:val="005B69A4"/>
    <w:rsid w:val="005C0B17"/>
    <w:rsid w:val="005D288A"/>
    <w:rsid w:val="005D3FCA"/>
    <w:rsid w:val="005D77AD"/>
    <w:rsid w:val="005E1070"/>
    <w:rsid w:val="005E1E3A"/>
    <w:rsid w:val="005E6F0A"/>
    <w:rsid w:val="005F151B"/>
    <w:rsid w:val="005F504A"/>
    <w:rsid w:val="0060134A"/>
    <w:rsid w:val="006100F0"/>
    <w:rsid w:val="00610BC1"/>
    <w:rsid w:val="00617443"/>
    <w:rsid w:val="00632549"/>
    <w:rsid w:val="0063599F"/>
    <w:rsid w:val="00653D1A"/>
    <w:rsid w:val="00660E38"/>
    <w:rsid w:val="00664C1E"/>
    <w:rsid w:val="00666C2F"/>
    <w:rsid w:val="00671405"/>
    <w:rsid w:val="00681283"/>
    <w:rsid w:val="006817C5"/>
    <w:rsid w:val="006862D2"/>
    <w:rsid w:val="0069100A"/>
    <w:rsid w:val="00691909"/>
    <w:rsid w:val="00691F49"/>
    <w:rsid w:val="00693D3C"/>
    <w:rsid w:val="006974C5"/>
    <w:rsid w:val="006979F4"/>
    <w:rsid w:val="00697DE1"/>
    <w:rsid w:val="006A4F7D"/>
    <w:rsid w:val="006B302D"/>
    <w:rsid w:val="006B4A95"/>
    <w:rsid w:val="006B70A7"/>
    <w:rsid w:val="006B754F"/>
    <w:rsid w:val="006B7EC8"/>
    <w:rsid w:val="006C1934"/>
    <w:rsid w:val="006C6178"/>
    <w:rsid w:val="006C7107"/>
    <w:rsid w:val="006D09A7"/>
    <w:rsid w:val="006E041C"/>
    <w:rsid w:val="006E1A59"/>
    <w:rsid w:val="006E3438"/>
    <w:rsid w:val="006F09D8"/>
    <w:rsid w:val="006F125F"/>
    <w:rsid w:val="006F1EBE"/>
    <w:rsid w:val="006F27B6"/>
    <w:rsid w:val="006F3C0F"/>
    <w:rsid w:val="00703F40"/>
    <w:rsid w:val="007045F5"/>
    <w:rsid w:val="007145AC"/>
    <w:rsid w:val="00720835"/>
    <w:rsid w:val="007240ED"/>
    <w:rsid w:val="007261D0"/>
    <w:rsid w:val="0073131D"/>
    <w:rsid w:val="00731BB6"/>
    <w:rsid w:val="00743554"/>
    <w:rsid w:val="00744349"/>
    <w:rsid w:val="0075145D"/>
    <w:rsid w:val="00756851"/>
    <w:rsid w:val="007571BB"/>
    <w:rsid w:val="00760048"/>
    <w:rsid w:val="00762845"/>
    <w:rsid w:val="0076345E"/>
    <w:rsid w:val="00770CE9"/>
    <w:rsid w:val="007733E3"/>
    <w:rsid w:val="0077449D"/>
    <w:rsid w:val="00774808"/>
    <w:rsid w:val="00775DAC"/>
    <w:rsid w:val="00776DF1"/>
    <w:rsid w:val="00793783"/>
    <w:rsid w:val="00796744"/>
    <w:rsid w:val="007A00F0"/>
    <w:rsid w:val="007A1AF6"/>
    <w:rsid w:val="007B1710"/>
    <w:rsid w:val="007B42C1"/>
    <w:rsid w:val="007D0EB4"/>
    <w:rsid w:val="007D3E83"/>
    <w:rsid w:val="007E7C62"/>
    <w:rsid w:val="007F0702"/>
    <w:rsid w:val="007F0DD3"/>
    <w:rsid w:val="007F3941"/>
    <w:rsid w:val="007F3FF4"/>
    <w:rsid w:val="007F4B4D"/>
    <w:rsid w:val="007F4E48"/>
    <w:rsid w:val="00810DED"/>
    <w:rsid w:val="00812EC9"/>
    <w:rsid w:val="008169A3"/>
    <w:rsid w:val="00817A1B"/>
    <w:rsid w:val="00820236"/>
    <w:rsid w:val="00822C62"/>
    <w:rsid w:val="00826777"/>
    <w:rsid w:val="00832A9E"/>
    <w:rsid w:val="00835986"/>
    <w:rsid w:val="00835D37"/>
    <w:rsid w:val="00840A56"/>
    <w:rsid w:val="008440FB"/>
    <w:rsid w:val="008504E2"/>
    <w:rsid w:val="0085159A"/>
    <w:rsid w:val="00851C37"/>
    <w:rsid w:val="0085325E"/>
    <w:rsid w:val="00853C33"/>
    <w:rsid w:val="008615D8"/>
    <w:rsid w:val="00863AA1"/>
    <w:rsid w:val="00870B40"/>
    <w:rsid w:val="008754D6"/>
    <w:rsid w:val="0087604D"/>
    <w:rsid w:val="008815B9"/>
    <w:rsid w:val="00885CF4"/>
    <w:rsid w:val="008936EC"/>
    <w:rsid w:val="008A2BB6"/>
    <w:rsid w:val="008A445A"/>
    <w:rsid w:val="008B6C09"/>
    <w:rsid w:val="008C30E6"/>
    <w:rsid w:val="008C349D"/>
    <w:rsid w:val="008D1563"/>
    <w:rsid w:val="008D3C26"/>
    <w:rsid w:val="008D4AC9"/>
    <w:rsid w:val="008D5068"/>
    <w:rsid w:val="008D789D"/>
    <w:rsid w:val="008E5702"/>
    <w:rsid w:val="008E7419"/>
    <w:rsid w:val="0091632D"/>
    <w:rsid w:val="009169AC"/>
    <w:rsid w:val="0092025F"/>
    <w:rsid w:val="00921062"/>
    <w:rsid w:val="009374AF"/>
    <w:rsid w:val="00941A53"/>
    <w:rsid w:val="00943C52"/>
    <w:rsid w:val="00947F6B"/>
    <w:rsid w:val="00953AFD"/>
    <w:rsid w:val="0096064E"/>
    <w:rsid w:val="00965F09"/>
    <w:rsid w:val="009673F5"/>
    <w:rsid w:val="0097600C"/>
    <w:rsid w:val="009767EA"/>
    <w:rsid w:val="00982C67"/>
    <w:rsid w:val="0098410D"/>
    <w:rsid w:val="009856A5"/>
    <w:rsid w:val="00986523"/>
    <w:rsid w:val="00986B7B"/>
    <w:rsid w:val="00994789"/>
    <w:rsid w:val="00995079"/>
    <w:rsid w:val="00995695"/>
    <w:rsid w:val="009A2FCC"/>
    <w:rsid w:val="009A4CFA"/>
    <w:rsid w:val="009A5025"/>
    <w:rsid w:val="009B2D40"/>
    <w:rsid w:val="009C080B"/>
    <w:rsid w:val="009C1CBA"/>
    <w:rsid w:val="009C2789"/>
    <w:rsid w:val="009C2AEC"/>
    <w:rsid w:val="009C499C"/>
    <w:rsid w:val="009C5758"/>
    <w:rsid w:val="009C627C"/>
    <w:rsid w:val="009C7527"/>
    <w:rsid w:val="009D1CAB"/>
    <w:rsid w:val="009D47ED"/>
    <w:rsid w:val="009E64FE"/>
    <w:rsid w:val="009F2059"/>
    <w:rsid w:val="009F4788"/>
    <w:rsid w:val="00A02475"/>
    <w:rsid w:val="00A035D8"/>
    <w:rsid w:val="00A043A4"/>
    <w:rsid w:val="00A04D1B"/>
    <w:rsid w:val="00A04E37"/>
    <w:rsid w:val="00A0504B"/>
    <w:rsid w:val="00A074EC"/>
    <w:rsid w:val="00A17E3A"/>
    <w:rsid w:val="00A34E07"/>
    <w:rsid w:val="00A46B9E"/>
    <w:rsid w:val="00A5319F"/>
    <w:rsid w:val="00A53402"/>
    <w:rsid w:val="00A53871"/>
    <w:rsid w:val="00A56767"/>
    <w:rsid w:val="00A63AA3"/>
    <w:rsid w:val="00A64F9F"/>
    <w:rsid w:val="00A73E17"/>
    <w:rsid w:val="00A82B3B"/>
    <w:rsid w:val="00A86B04"/>
    <w:rsid w:val="00A91896"/>
    <w:rsid w:val="00A918B0"/>
    <w:rsid w:val="00A92196"/>
    <w:rsid w:val="00A921B3"/>
    <w:rsid w:val="00A9534C"/>
    <w:rsid w:val="00A95C03"/>
    <w:rsid w:val="00AA0290"/>
    <w:rsid w:val="00AA76AD"/>
    <w:rsid w:val="00AB166F"/>
    <w:rsid w:val="00AB3B0D"/>
    <w:rsid w:val="00AB3D2C"/>
    <w:rsid w:val="00AB3E7C"/>
    <w:rsid w:val="00AB4CF6"/>
    <w:rsid w:val="00AC07EB"/>
    <w:rsid w:val="00AC3018"/>
    <w:rsid w:val="00AC450E"/>
    <w:rsid w:val="00AC4D68"/>
    <w:rsid w:val="00AC6110"/>
    <w:rsid w:val="00AD1A48"/>
    <w:rsid w:val="00AD1BDF"/>
    <w:rsid w:val="00AD378D"/>
    <w:rsid w:val="00AD3E30"/>
    <w:rsid w:val="00AD5BA8"/>
    <w:rsid w:val="00AD748A"/>
    <w:rsid w:val="00AE0B8D"/>
    <w:rsid w:val="00AE33D1"/>
    <w:rsid w:val="00AE5FE1"/>
    <w:rsid w:val="00AF10DF"/>
    <w:rsid w:val="00AF3402"/>
    <w:rsid w:val="00AF3B45"/>
    <w:rsid w:val="00AF629B"/>
    <w:rsid w:val="00B02BA5"/>
    <w:rsid w:val="00B22679"/>
    <w:rsid w:val="00B22EB1"/>
    <w:rsid w:val="00B22EDB"/>
    <w:rsid w:val="00B24723"/>
    <w:rsid w:val="00B27803"/>
    <w:rsid w:val="00B314C2"/>
    <w:rsid w:val="00B33B21"/>
    <w:rsid w:val="00B47608"/>
    <w:rsid w:val="00B53188"/>
    <w:rsid w:val="00B533AF"/>
    <w:rsid w:val="00B53C4A"/>
    <w:rsid w:val="00B611ED"/>
    <w:rsid w:val="00B630C9"/>
    <w:rsid w:val="00B65DBD"/>
    <w:rsid w:val="00B70091"/>
    <w:rsid w:val="00B76E1B"/>
    <w:rsid w:val="00B93770"/>
    <w:rsid w:val="00B951EB"/>
    <w:rsid w:val="00BA2F7F"/>
    <w:rsid w:val="00BA6C55"/>
    <w:rsid w:val="00BB4AE2"/>
    <w:rsid w:val="00BC7012"/>
    <w:rsid w:val="00BC7A20"/>
    <w:rsid w:val="00BD1D71"/>
    <w:rsid w:val="00BD3FCD"/>
    <w:rsid w:val="00BD42D0"/>
    <w:rsid w:val="00BE1265"/>
    <w:rsid w:val="00BE4349"/>
    <w:rsid w:val="00BF2885"/>
    <w:rsid w:val="00BF5C85"/>
    <w:rsid w:val="00C01F4B"/>
    <w:rsid w:val="00C15518"/>
    <w:rsid w:val="00C265FB"/>
    <w:rsid w:val="00C27747"/>
    <w:rsid w:val="00C43365"/>
    <w:rsid w:val="00C447A5"/>
    <w:rsid w:val="00C51581"/>
    <w:rsid w:val="00C52698"/>
    <w:rsid w:val="00C62053"/>
    <w:rsid w:val="00C62BD8"/>
    <w:rsid w:val="00C65147"/>
    <w:rsid w:val="00C666E2"/>
    <w:rsid w:val="00C67D34"/>
    <w:rsid w:val="00C701BF"/>
    <w:rsid w:val="00C73563"/>
    <w:rsid w:val="00C74DF7"/>
    <w:rsid w:val="00C81FED"/>
    <w:rsid w:val="00C874B9"/>
    <w:rsid w:val="00C90EB8"/>
    <w:rsid w:val="00C931E4"/>
    <w:rsid w:val="00C93922"/>
    <w:rsid w:val="00C972AE"/>
    <w:rsid w:val="00CA1AED"/>
    <w:rsid w:val="00CA553C"/>
    <w:rsid w:val="00CB0143"/>
    <w:rsid w:val="00CB12B1"/>
    <w:rsid w:val="00CB17E6"/>
    <w:rsid w:val="00CC0C92"/>
    <w:rsid w:val="00CC1516"/>
    <w:rsid w:val="00CC6817"/>
    <w:rsid w:val="00CC787B"/>
    <w:rsid w:val="00CD1BB4"/>
    <w:rsid w:val="00CE3F12"/>
    <w:rsid w:val="00CE6024"/>
    <w:rsid w:val="00CF6465"/>
    <w:rsid w:val="00D059BF"/>
    <w:rsid w:val="00D23AFC"/>
    <w:rsid w:val="00D401D7"/>
    <w:rsid w:val="00D4172E"/>
    <w:rsid w:val="00D44D42"/>
    <w:rsid w:val="00D46013"/>
    <w:rsid w:val="00D56DD4"/>
    <w:rsid w:val="00D5711A"/>
    <w:rsid w:val="00D66556"/>
    <w:rsid w:val="00D72442"/>
    <w:rsid w:val="00D779D8"/>
    <w:rsid w:val="00D8121A"/>
    <w:rsid w:val="00D92BA1"/>
    <w:rsid w:val="00D95900"/>
    <w:rsid w:val="00DA3411"/>
    <w:rsid w:val="00DA4A84"/>
    <w:rsid w:val="00DB5DCD"/>
    <w:rsid w:val="00DC7358"/>
    <w:rsid w:val="00DD1666"/>
    <w:rsid w:val="00DE159F"/>
    <w:rsid w:val="00DF3D07"/>
    <w:rsid w:val="00DF437A"/>
    <w:rsid w:val="00E03D8B"/>
    <w:rsid w:val="00E05C7D"/>
    <w:rsid w:val="00E06340"/>
    <w:rsid w:val="00E219BD"/>
    <w:rsid w:val="00E23161"/>
    <w:rsid w:val="00E232BD"/>
    <w:rsid w:val="00E23CBF"/>
    <w:rsid w:val="00E24AB1"/>
    <w:rsid w:val="00E30645"/>
    <w:rsid w:val="00E37098"/>
    <w:rsid w:val="00E403E2"/>
    <w:rsid w:val="00E42967"/>
    <w:rsid w:val="00E43644"/>
    <w:rsid w:val="00E547F0"/>
    <w:rsid w:val="00E54C25"/>
    <w:rsid w:val="00E5546C"/>
    <w:rsid w:val="00E61E14"/>
    <w:rsid w:val="00E62314"/>
    <w:rsid w:val="00E64FC1"/>
    <w:rsid w:val="00E72026"/>
    <w:rsid w:val="00E76342"/>
    <w:rsid w:val="00E775D4"/>
    <w:rsid w:val="00E81DAF"/>
    <w:rsid w:val="00E83670"/>
    <w:rsid w:val="00E86611"/>
    <w:rsid w:val="00E90C52"/>
    <w:rsid w:val="00E923AD"/>
    <w:rsid w:val="00E93E7A"/>
    <w:rsid w:val="00E97D77"/>
    <w:rsid w:val="00EA7824"/>
    <w:rsid w:val="00EB1FB3"/>
    <w:rsid w:val="00EB549D"/>
    <w:rsid w:val="00EB7C6E"/>
    <w:rsid w:val="00EC0FA1"/>
    <w:rsid w:val="00EC3E3C"/>
    <w:rsid w:val="00EC60FB"/>
    <w:rsid w:val="00EC67CE"/>
    <w:rsid w:val="00ED0362"/>
    <w:rsid w:val="00ED5CC3"/>
    <w:rsid w:val="00ED6FFD"/>
    <w:rsid w:val="00EE0618"/>
    <w:rsid w:val="00EE5C9A"/>
    <w:rsid w:val="00EE6234"/>
    <w:rsid w:val="00EF22E9"/>
    <w:rsid w:val="00EF7B2D"/>
    <w:rsid w:val="00F01044"/>
    <w:rsid w:val="00F06460"/>
    <w:rsid w:val="00F149CC"/>
    <w:rsid w:val="00F16369"/>
    <w:rsid w:val="00F17942"/>
    <w:rsid w:val="00F22D53"/>
    <w:rsid w:val="00F26698"/>
    <w:rsid w:val="00F30063"/>
    <w:rsid w:val="00F42FDA"/>
    <w:rsid w:val="00F43BF8"/>
    <w:rsid w:val="00F47BAF"/>
    <w:rsid w:val="00F61FD2"/>
    <w:rsid w:val="00F64FB4"/>
    <w:rsid w:val="00F665A1"/>
    <w:rsid w:val="00F74615"/>
    <w:rsid w:val="00F74632"/>
    <w:rsid w:val="00F8101F"/>
    <w:rsid w:val="00F83CD3"/>
    <w:rsid w:val="00F938FF"/>
    <w:rsid w:val="00FA35C9"/>
    <w:rsid w:val="00FC1637"/>
    <w:rsid w:val="00FC200C"/>
    <w:rsid w:val="00FC34D5"/>
    <w:rsid w:val="00FD0F79"/>
    <w:rsid w:val="00FD48C5"/>
    <w:rsid w:val="00FD48CF"/>
    <w:rsid w:val="00FE03DC"/>
    <w:rsid w:val="00FE0BA6"/>
    <w:rsid w:val="00FE4E47"/>
    <w:rsid w:val="00FE7E6C"/>
    <w:rsid w:val="00FF2B0B"/>
    <w:rsid w:val="00FF3ED2"/>
    <w:rsid w:val="00FF544A"/>
    <w:rsid w:val="00FF58DA"/>
    <w:rsid w:val="00FF61DC"/>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9E81"/>
  <w15:chartTrackingRefBased/>
  <w15:docId w15:val="{D1E17155-EC52-3A4C-9363-10C2B7CC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1AA"/>
  </w:style>
  <w:style w:type="paragraph" w:styleId="Heading1">
    <w:name w:val="heading 1"/>
    <w:basedOn w:val="Normal"/>
    <w:next w:val="Normal"/>
    <w:link w:val="Heading1Char"/>
    <w:uiPriority w:val="9"/>
    <w:qFormat/>
    <w:rsid w:val="00850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4E2"/>
    <w:rPr>
      <w:rFonts w:eastAsiaTheme="majorEastAsia" w:cstheme="majorBidi"/>
      <w:color w:val="272727" w:themeColor="text1" w:themeTint="D8"/>
    </w:rPr>
  </w:style>
  <w:style w:type="paragraph" w:styleId="Title">
    <w:name w:val="Title"/>
    <w:basedOn w:val="Normal"/>
    <w:next w:val="Normal"/>
    <w:link w:val="TitleChar"/>
    <w:uiPriority w:val="10"/>
    <w:qFormat/>
    <w:rsid w:val="00850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4E2"/>
    <w:pPr>
      <w:spacing w:before="160"/>
      <w:jc w:val="center"/>
    </w:pPr>
    <w:rPr>
      <w:i/>
      <w:iCs/>
      <w:color w:val="404040" w:themeColor="text1" w:themeTint="BF"/>
    </w:rPr>
  </w:style>
  <w:style w:type="character" w:customStyle="1" w:styleId="QuoteChar">
    <w:name w:val="Quote Char"/>
    <w:basedOn w:val="DefaultParagraphFont"/>
    <w:link w:val="Quote"/>
    <w:uiPriority w:val="29"/>
    <w:rsid w:val="008504E2"/>
    <w:rPr>
      <w:i/>
      <w:iCs/>
      <w:color w:val="404040" w:themeColor="text1" w:themeTint="BF"/>
    </w:rPr>
  </w:style>
  <w:style w:type="paragraph" w:styleId="ListParagraph">
    <w:name w:val="List Paragraph"/>
    <w:basedOn w:val="Normal"/>
    <w:uiPriority w:val="34"/>
    <w:qFormat/>
    <w:rsid w:val="008504E2"/>
    <w:pPr>
      <w:ind w:left="720"/>
      <w:contextualSpacing/>
    </w:pPr>
  </w:style>
  <w:style w:type="character" w:styleId="IntenseEmphasis">
    <w:name w:val="Intense Emphasis"/>
    <w:basedOn w:val="DefaultParagraphFont"/>
    <w:uiPriority w:val="21"/>
    <w:qFormat/>
    <w:rsid w:val="008504E2"/>
    <w:rPr>
      <w:i/>
      <w:iCs/>
      <w:color w:val="0F4761" w:themeColor="accent1" w:themeShade="BF"/>
    </w:rPr>
  </w:style>
  <w:style w:type="paragraph" w:styleId="IntenseQuote">
    <w:name w:val="Intense Quote"/>
    <w:basedOn w:val="Normal"/>
    <w:next w:val="Normal"/>
    <w:link w:val="IntenseQuoteChar"/>
    <w:uiPriority w:val="30"/>
    <w:qFormat/>
    <w:rsid w:val="00850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4E2"/>
    <w:rPr>
      <w:i/>
      <w:iCs/>
      <w:color w:val="0F4761" w:themeColor="accent1" w:themeShade="BF"/>
    </w:rPr>
  </w:style>
  <w:style w:type="character" w:styleId="IntenseReference">
    <w:name w:val="Intense Reference"/>
    <w:basedOn w:val="DefaultParagraphFont"/>
    <w:uiPriority w:val="32"/>
    <w:qFormat/>
    <w:rsid w:val="008504E2"/>
    <w:rPr>
      <w:b/>
      <w:bCs/>
      <w:smallCaps/>
      <w:color w:val="0F4761" w:themeColor="accent1" w:themeShade="BF"/>
      <w:spacing w:val="5"/>
    </w:rPr>
  </w:style>
  <w:style w:type="paragraph" w:styleId="NormalWeb">
    <w:name w:val="Normal (Web)"/>
    <w:basedOn w:val="Normal"/>
    <w:uiPriority w:val="99"/>
    <w:unhideWhenUsed/>
    <w:rsid w:val="00CE602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53FFF"/>
    <w:rPr>
      <w:b/>
      <w:bCs/>
    </w:rPr>
  </w:style>
  <w:style w:type="paragraph" w:styleId="Bibliography">
    <w:name w:val="Bibliography"/>
    <w:basedOn w:val="Normal"/>
    <w:next w:val="Normal"/>
    <w:uiPriority w:val="37"/>
    <w:unhideWhenUsed/>
    <w:rsid w:val="00D95900"/>
    <w:pPr>
      <w:spacing w:after="0" w:line="240" w:lineRule="auto"/>
      <w:ind w:left="384" w:hanging="384"/>
    </w:pPr>
  </w:style>
  <w:style w:type="character" w:styleId="Emphasis">
    <w:name w:val="Emphasis"/>
    <w:basedOn w:val="DefaultParagraphFont"/>
    <w:uiPriority w:val="20"/>
    <w:qFormat/>
    <w:rsid w:val="00392B05"/>
    <w:rPr>
      <w:i/>
      <w:iCs/>
    </w:rPr>
  </w:style>
  <w:style w:type="paragraph" w:styleId="Header">
    <w:name w:val="header"/>
    <w:basedOn w:val="Normal"/>
    <w:link w:val="HeaderChar"/>
    <w:uiPriority w:val="99"/>
    <w:unhideWhenUsed/>
    <w:rsid w:val="00FC20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00C"/>
  </w:style>
  <w:style w:type="paragraph" w:styleId="Footer">
    <w:name w:val="footer"/>
    <w:basedOn w:val="Normal"/>
    <w:link w:val="FooterChar"/>
    <w:uiPriority w:val="99"/>
    <w:unhideWhenUsed/>
    <w:rsid w:val="00FC20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00C"/>
  </w:style>
  <w:style w:type="paragraph" w:styleId="FootnoteText">
    <w:name w:val="footnote text"/>
    <w:basedOn w:val="Normal"/>
    <w:link w:val="FootnoteTextChar"/>
    <w:uiPriority w:val="99"/>
    <w:semiHidden/>
    <w:unhideWhenUsed/>
    <w:rsid w:val="004F12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238"/>
    <w:rPr>
      <w:sz w:val="20"/>
      <w:szCs w:val="20"/>
    </w:rPr>
  </w:style>
  <w:style w:type="character" w:styleId="FootnoteReference">
    <w:name w:val="footnote reference"/>
    <w:basedOn w:val="DefaultParagraphFont"/>
    <w:uiPriority w:val="99"/>
    <w:semiHidden/>
    <w:unhideWhenUsed/>
    <w:rsid w:val="004F1238"/>
    <w:rPr>
      <w:vertAlign w:val="superscript"/>
    </w:rPr>
  </w:style>
  <w:style w:type="table" w:styleId="TableGrid">
    <w:name w:val="Table Grid"/>
    <w:basedOn w:val="TableNormal"/>
    <w:uiPriority w:val="39"/>
    <w:rsid w:val="006B7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B70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B70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70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70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70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70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B70A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6B70A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B70A7"/>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6B70A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B70A7"/>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ListTable3">
    <w:name w:val="List Table 3"/>
    <w:basedOn w:val="TableNormal"/>
    <w:uiPriority w:val="48"/>
    <w:rsid w:val="006B70A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2-Accent6">
    <w:name w:val="List Table 2 Accent 6"/>
    <w:basedOn w:val="TableNormal"/>
    <w:uiPriority w:val="47"/>
    <w:rsid w:val="006B70A7"/>
    <w:pPr>
      <w:spacing w:after="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Accent5">
    <w:name w:val="List Table 2 Accent 5"/>
    <w:basedOn w:val="TableNormal"/>
    <w:uiPriority w:val="47"/>
    <w:rsid w:val="006B70A7"/>
    <w:pPr>
      <w:spacing w:after="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3-Accent1">
    <w:name w:val="List Table 3 Accent 1"/>
    <w:basedOn w:val="TableNormal"/>
    <w:uiPriority w:val="48"/>
    <w:rsid w:val="006B70A7"/>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4-Accent2">
    <w:name w:val="List Table 4 Accent 2"/>
    <w:basedOn w:val="TableNormal"/>
    <w:uiPriority w:val="49"/>
    <w:rsid w:val="006B70A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6">
    <w:name w:val="List Table 4 Accent 6"/>
    <w:basedOn w:val="TableNormal"/>
    <w:uiPriority w:val="49"/>
    <w:rsid w:val="006B70A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4-Accent4">
    <w:name w:val="List Table 4 Accent 4"/>
    <w:basedOn w:val="TableNormal"/>
    <w:uiPriority w:val="49"/>
    <w:rsid w:val="006B70A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6">
    <w:name w:val="List Table 3 Accent 6"/>
    <w:basedOn w:val="TableNormal"/>
    <w:uiPriority w:val="48"/>
    <w:rsid w:val="006B70A7"/>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2">
    <w:name w:val="List Table 2"/>
    <w:basedOn w:val="TableNormal"/>
    <w:uiPriority w:val="47"/>
    <w:rsid w:val="006B70A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7571BB"/>
    <w:rPr>
      <w:color w:val="666666"/>
    </w:rPr>
  </w:style>
  <w:style w:type="paragraph" w:styleId="Date">
    <w:name w:val="Date"/>
    <w:basedOn w:val="Normal"/>
    <w:next w:val="Normal"/>
    <w:link w:val="DateChar"/>
    <w:uiPriority w:val="99"/>
    <w:semiHidden/>
    <w:unhideWhenUsed/>
    <w:rsid w:val="00AD5BA8"/>
    <w:pPr>
      <w:spacing w:after="0" w:line="240" w:lineRule="auto"/>
    </w:pPr>
    <w:rPr>
      <w:rFonts w:ascii="Times New Roman" w:eastAsia="Times New Roman" w:hAnsi="Times New Roman" w:cs="Times New Roman"/>
      <w:kern w:val="0"/>
      <w14:ligatures w14:val="none"/>
    </w:rPr>
  </w:style>
  <w:style w:type="character" w:customStyle="1" w:styleId="DateChar">
    <w:name w:val="Date Char"/>
    <w:basedOn w:val="DefaultParagraphFont"/>
    <w:link w:val="Date"/>
    <w:uiPriority w:val="99"/>
    <w:semiHidden/>
    <w:rsid w:val="00AD5BA8"/>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70962">
      <w:bodyDiv w:val="1"/>
      <w:marLeft w:val="0"/>
      <w:marRight w:val="0"/>
      <w:marTop w:val="0"/>
      <w:marBottom w:val="0"/>
      <w:divBdr>
        <w:top w:val="none" w:sz="0" w:space="0" w:color="auto"/>
        <w:left w:val="none" w:sz="0" w:space="0" w:color="auto"/>
        <w:bottom w:val="none" w:sz="0" w:space="0" w:color="auto"/>
        <w:right w:val="none" w:sz="0" w:space="0" w:color="auto"/>
      </w:divBdr>
    </w:div>
    <w:div w:id="702287174">
      <w:bodyDiv w:val="1"/>
      <w:marLeft w:val="0"/>
      <w:marRight w:val="0"/>
      <w:marTop w:val="0"/>
      <w:marBottom w:val="0"/>
      <w:divBdr>
        <w:top w:val="none" w:sz="0" w:space="0" w:color="auto"/>
        <w:left w:val="none" w:sz="0" w:space="0" w:color="auto"/>
        <w:bottom w:val="none" w:sz="0" w:space="0" w:color="auto"/>
        <w:right w:val="none" w:sz="0" w:space="0" w:color="auto"/>
      </w:divBdr>
    </w:div>
    <w:div w:id="934824336">
      <w:bodyDiv w:val="1"/>
      <w:marLeft w:val="0"/>
      <w:marRight w:val="0"/>
      <w:marTop w:val="0"/>
      <w:marBottom w:val="0"/>
      <w:divBdr>
        <w:top w:val="none" w:sz="0" w:space="0" w:color="auto"/>
        <w:left w:val="none" w:sz="0" w:space="0" w:color="auto"/>
        <w:bottom w:val="none" w:sz="0" w:space="0" w:color="auto"/>
        <w:right w:val="none" w:sz="0" w:space="0" w:color="auto"/>
      </w:divBdr>
    </w:div>
    <w:div w:id="1918635612">
      <w:bodyDiv w:val="1"/>
      <w:marLeft w:val="0"/>
      <w:marRight w:val="0"/>
      <w:marTop w:val="0"/>
      <w:marBottom w:val="0"/>
      <w:divBdr>
        <w:top w:val="none" w:sz="0" w:space="0" w:color="auto"/>
        <w:left w:val="none" w:sz="0" w:space="0" w:color="auto"/>
        <w:bottom w:val="none" w:sz="0" w:space="0" w:color="auto"/>
        <w:right w:val="none" w:sz="0" w:space="0" w:color="auto"/>
      </w:divBdr>
    </w:div>
    <w:div w:id="205843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62488-A288-1448-B709-1C8576E7E00C}">
  <ds:schemaRefs>
    <ds:schemaRef ds:uri="http://schemas.openxmlformats.org/officeDocument/2006/bibliography"/>
  </ds:schemaRefs>
</ds:datastoreItem>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Normal.dotm</Template>
  <TotalTime>12409</TotalTime>
  <Pages>19</Pages>
  <Words>28735</Words>
  <Characters>163794</Characters>
  <Application>Microsoft Office Word</Application>
  <DocSecurity>0</DocSecurity>
  <Lines>1364</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ZIHAO#</dc:creator>
  <cp:keywords/>
  <dc:description/>
  <cp:lastModifiedBy>#WANG ZIHAO#</cp:lastModifiedBy>
  <cp:revision>109</cp:revision>
  <cp:lastPrinted>2025-03-03T07:58:00Z</cp:lastPrinted>
  <dcterms:created xsi:type="dcterms:W3CDTF">2025-03-04T03:17:00Z</dcterms:created>
  <dcterms:modified xsi:type="dcterms:W3CDTF">2025-04-15T17:18:00Z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id="4ykltIs0"/&gt;&lt;style id="http://www.zotero.org/styles/ieee" locale="en-US" hasBibliography="1" bibliographyStyleHasBeenSet="1"/&gt;&lt;prefs&gt;&lt;pref name="fieldType" value="Field"/&gt;&lt;/prefs&gt;&lt;/data&gt;</vt:lpwstr>
  </property>
</Properties>
</file>