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34E2B" w14:textId="218D7D79" w:rsidR="00D733F8" w:rsidRDefault="00D733F8" w:rsidP="00D33422">
      <w:pPr>
        <w:spacing w:line="276" w:lineRule="auto"/>
        <w:jc w:val="center"/>
        <w:rPr>
          <w:rFonts w:ascii="Times New Roman" w:hAnsi="Times New Roman" w:cs="Times New Roman"/>
          <w:b/>
          <w:bCs/>
          <w:kern w:val="0"/>
          <w:sz w:val="20"/>
          <w:szCs w:val="20"/>
          <w:lang w:val="en-GB"/>
        </w:rPr>
      </w:pPr>
      <w:r w:rsidRPr="00D733F8">
        <w:rPr>
          <w:rFonts w:ascii="Times New Roman" w:hAnsi="Times New Roman" w:cs="Times New Roman"/>
          <w:b/>
          <w:bCs/>
          <w:kern w:val="0"/>
          <w:sz w:val="20"/>
          <w:szCs w:val="20"/>
          <w:lang w:val="en-GB"/>
        </w:rPr>
        <w:t>Long-Term Public Health Impact of Doxycycline Post-Exposure Prophylaxis and Behavioural Factors on Syphilis Transmission: A Modelling Study in Singapore and England</w:t>
      </w:r>
    </w:p>
    <w:p w14:paraId="15B91EE0" w14:textId="3F1BAE4E" w:rsidR="008A64C9" w:rsidRPr="004058B4" w:rsidRDefault="008A64C9" w:rsidP="00D33422">
      <w:pPr>
        <w:spacing w:line="276" w:lineRule="auto"/>
        <w:jc w:val="center"/>
        <w:rPr>
          <w:rFonts w:ascii="Times New Roman" w:hAnsi="Times New Roman" w:cs="Times New Roman"/>
          <w:kern w:val="0"/>
          <w:sz w:val="20"/>
          <w:szCs w:val="20"/>
          <w:vertAlign w:val="superscript"/>
          <w:lang w:val="en-GB"/>
        </w:rPr>
      </w:pPr>
      <w:r w:rsidRPr="008764BD">
        <w:rPr>
          <w:rFonts w:ascii="Times New Roman" w:hAnsi="Times New Roman" w:cs="Times New Roman"/>
          <w:kern w:val="0"/>
          <w:sz w:val="20"/>
          <w:szCs w:val="20"/>
          <w:lang w:val="en-GB"/>
        </w:rPr>
        <w:t>Zihao Wang</w:t>
      </w:r>
      <w:r w:rsidR="004058B4">
        <w:rPr>
          <w:rStyle w:val="FootnoteReference"/>
          <w:rFonts w:ascii="Times New Roman" w:hAnsi="Times New Roman" w:cs="Times New Roman"/>
          <w:kern w:val="0"/>
          <w:sz w:val="20"/>
          <w:szCs w:val="20"/>
          <w:lang w:val="en-GB"/>
        </w:rPr>
        <w:footnoteReference w:id="1"/>
      </w:r>
      <w:r w:rsidRPr="008764BD">
        <w:rPr>
          <w:rFonts w:ascii="Times New Roman" w:hAnsi="Times New Roman" w:cs="Times New Roman"/>
          <w:kern w:val="0"/>
          <w:sz w:val="20"/>
          <w:szCs w:val="20"/>
          <w:lang w:val="en-GB"/>
        </w:rPr>
        <w:t>,</w:t>
      </w:r>
      <w:commentRangeStart w:id="0"/>
      <w:r w:rsidRPr="008764BD">
        <w:rPr>
          <w:rFonts w:ascii="Times New Roman" w:hAnsi="Times New Roman" w:cs="Times New Roman"/>
          <w:kern w:val="0"/>
          <w:sz w:val="20"/>
          <w:szCs w:val="20"/>
          <w:lang w:val="en-GB"/>
        </w:rPr>
        <w:t xml:space="preserve"> </w:t>
      </w:r>
      <w:commentRangeEnd w:id="0"/>
      <w:r w:rsidR="00985E26" w:rsidRPr="008764BD">
        <w:rPr>
          <w:rFonts w:ascii="Times New Roman" w:hAnsi="Times New Roman" w:cs="Times New Roman"/>
          <w:kern w:val="0"/>
          <w:sz w:val="20"/>
          <w:szCs w:val="20"/>
          <w:lang w:val="en-GB"/>
        </w:rPr>
        <w:t>Lilith K</w:t>
      </w:r>
      <w:r w:rsidR="00AD372A">
        <w:rPr>
          <w:rFonts w:ascii="Times New Roman" w:hAnsi="Times New Roman" w:cs="Times New Roman"/>
          <w:kern w:val="0"/>
          <w:sz w:val="20"/>
          <w:szCs w:val="20"/>
          <w:lang w:val="en-GB"/>
        </w:rPr>
        <w:t>.</w:t>
      </w:r>
      <w:r w:rsidR="00985E26" w:rsidRPr="008764BD">
        <w:rPr>
          <w:rFonts w:ascii="Times New Roman" w:hAnsi="Times New Roman" w:cs="Times New Roman"/>
          <w:kern w:val="0"/>
          <w:sz w:val="20"/>
          <w:szCs w:val="20"/>
          <w:lang w:val="en-GB"/>
        </w:rPr>
        <w:t xml:space="preserve"> Whittles</w:t>
      </w:r>
      <w:r w:rsidR="004058B4">
        <w:rPr>
          <w:rStyle w:val="FootnoteReference"/>
          <w:rFonts w:ascii="Times New Roman" w:hAnsi="Times New Roman" w:cs="Times New Roman"/>
          <w:kern w:val="0"/>
          <w:sz w:val="20"/>
          <w:szCs w:val="20"/>
          <w:lang w:val="en-GB"/>
        </w:rPr>
        <w:footnoteReference w:id="2"/>
      </w:r>
      <w:r w:rsidR="00985E26" w:rsidRPr="008764BD">
        <w:rPr>
          <w:rFonts w:ascii="Times New Roman" w:hAnsi="Times New Roman" w:cs="Times New Roman"/>
          <w:kern w:val="0"/>
          <w:sz w:val="20"/>
          <w:szCs w:val="20"/>
          <w:lang w:val="en-GB"/>
        </w:rPr>
        <w:t xml:space="preserve">, </w:t>
      </w:r>
      <w:r w:rsidR="004058B4">
        <w:rPr>
          <w:rFonts w:ascii="Times New Roman" w:hAnsi="Times New Roman" w:cs="Times New Roman"/>
          <w:kern w:val="0"/>
          <w:sz w:val="20"/>
          <w:szCs w:val="20"/>
          <w:lang w:val="en-GB"/>
        </w:rPr>
        <w:t>Dariya Nikitin</w:t>
      </w:r>
      <w:r w:rsidR="004058B4">
        <w:rPr>
          <w:rFonts w:ascii="Times New Roman" w:hAnsi="Times New Roman" w:cs="Times New Roman"/>
          <w:kern w:val="0"/>
          <w:sz w:val="20"/>
          <w:szCs w:val="20"/>
          <w:vertAlign w:val="superscript"/>
          <w:lang w:val="en-GB"/>
        </w:rPr>
        <w:t>2</w:t>
      </w:r>
      <w:r w:rsidR="004058B4">
        <w:rPr>
          <w:rFonts w:ascii="Times New Roman" w:hAnsi="Times New Roman" w:cs="Times New Roman"/>
          <w:kern w:val="0"/>
          <w:sz w:val="20"/>
          <w:szCs w:val="20"/>
          <w:lang w:val="en-GB"/>
        </w:rPr>
        <w:t xml:space="preserve">, </w:t>
      </w:r>
      <w:r w:rsidR="00985E26" w:rsidRPr="008764BD">
        <w:rPr>
          <w:rFonts w:ascii="Times New Roman" w:hAnsi="Times New Roman" w:cs="Times New Roman"/>
          <w:kern w:val="0"/>
          <w:sz w:val="20"/>
          <w:szCs w:val="20"/>
          <w:lang w:val="en-GB"/>
        </w:rPr>
        <w:t>Borame L</w:t>
      </w:r>
      <w:r w:rsidR="00AD372A">
        <w:rPr>
          <w:rFonts w:ascii="Times New Roman" w:hAnsi="Times New Roman" w:cs="Times New Roman"/>
          <w:kern w:val="0"/>
          <w:sz w:val="20"/>
          <w:szCs w:val="20"/>
          <w:lang w:val="en-GB"/>
        </w:rPr>
        <w:t>.</w:t>
      </w:r>
      <w:r w:rsidR="00985E26" w:rsidRPr="008764BD">
        <w:rPr>
          <w:rFonts w:ascii="Times New Roman" w:hAnsi="Times New Roman" w:cs="Times New Roman"/>
          <w:kern w:val="0"/>
          <w:sz w:val="20"/>
          <w:szCs w:val="20"/>
          <w:lang w:val="en-GB"/>
        </w:rPr>
        <w:t xml:space="preserve"> Dickens</w:t>
      </w:r>
      <w:r w:rsidR="004058B4">
        <w:rPr>
          <w:rStyle w:val="FootnoteReference"/>
          <w:rFonts w:ascii="Times New Roman" w:hAnsi="Times New Roman" w:cs="Times New Roman"/>
          <w:kern w:val="0"/>
          <w:sz w:val="20"/>
          <w:szCs w:val="20"/>
          <w:lang w:val="en-GB"/>
        </w:rPr>
        <w:footnoteReference w:id="3"/>
      </w:r>
      <w:r w:rsidR="00985E26" w:rsidRPr="008764BD">
        <w:rPr>
          <w:rFonts w:ascii="Times New Roman" w:hAnsi="Times New Roman" w:cs="Times New Roman"/>
          <w:kern w:val="0"/>
          <w:sz w:val="20"/>
          <w:szCs w:val="20"/>
          <w:lang w:val="en-GB"/>
        </w:rPr>
        <w:t xml:space="preserve">, </w:t>
      </w:r>
      <w:r w:rsidR="00691CD0" w:rsidRPr="008764BD">
        <w:rPr>
          <w:rStyle w:val="CommentReference"/>
        </w:rPr>
        <w:commentReference w:id="0"/>
      </w:r>
      <w:r w:rsidR="00985E26" w:rsidRPr="008764BD">
        <w:rPr>
          <w:rFonts w:ascii="Times New Roman" w:hAnsi="Times New Roman" w:cs="Times New Roman"/>
          <w:kern w:val="0"/>
          <w:sz w:val="20"/>
          <w:szCs w:val="20"/>
          <w:lang w:val="en-GB"/>
        </w:rPr>
        <w:t>Martin T</w:t>
      </w:r>
      <w:r w:rsidR="00AD372A">
        <w:rPr>
          <w:rFonts w:ascii="Times New Roman" w:hAnsi="Times New Roman" w:cs="Times New Roman"/>
          <w:kern w:val="0"/>
          <w:sz w:val="20"/>
          <w:szCs w:val="20"/>
          <w:lang w:val="en-GB"/>
        </w:rPr>
        <w:t>.</w:t>
      </w:r>
      <w:r w:rsidR="00985E26" w:rsidRPr="008764BD">
        <w:rPr>
          <w:rFonts w:ascii="Times New Roman" w:hAnsi="Times New Roman" w:cs="Times New Roman"/>
          <w:kern w:val="0"/>
          <w:sz w:val="20"/>
          <w:szCs w:val="20"/>
          <w:lang w:val="en-GB"/>
        </w:rPr>
        <w:t>W</w:t>
      </w:r>
      <w:r w:rsidR="00AD372A">
        <w:rPr>
          <w:rFonts w:ascii="Times New Roman" w:hAnsi="Times New Roman" w:cs="Times New Roman"/>
          <w:kern w:val="0"/>
          <w:sz w:val="20"/>
          <w:szCs w:val="20"/>
          <w:lang w:val="en-GB"/>
        </w:rPr>
        <w:t>.</w:t>
      </w:r>
      <w:r w:rsidR="00985E26" w:rsidRPr="008764BD">
        <w:rPr>
          <w:rFonts w:ascii="Times New Roman" w:hAnsi="Times New Roman" w:cs="Times New Roman"/>
          <w:kern w:val="0"/>
          <w:sz w:val="20"/>
          <w:szCs w:val="20"/>
          <w:lang w:val="en-GB"/>
        </w:rPr>
        <w:t xml:space="preserve"> Chio</w:t>
      </w:r>
      <w:r w:rsidR="004058B4">
        <w:rPr>
          <w:rStyle w:val="FootnoteReference"/>
          <w:rFonts w:ascii="Times New Roman" w:hAnsi="Times New Roman" w:cs="Times New Roman"/>
          <w:kern w:val="0"/>
          <w:sz w:val="20"/>
          <w:szCs w:val="20"/>
          <w:lang w:val="en-GB"/>
        </w:rPr>
        <w:footnoteReference w:id="4"/>
      </w:r>
      <w:r w:rsidR="00985E26" w:rsidRPr="008764BD">
        <w:rPr>
          <w:rFonts w:ascii="Times New Roman" w:hAnsi="Times New Roman" w:cs="Times New Roman"/>
          <w:kern w:val="0"/>
          <w:sz w:val="20"/>
          <w:szCs w:val="20"/>
          <w:lang w:val="en-GB"/>
        </w:rPr>
        <w:t>, Rayner Kay Jin Tan</w:t>
      </w:r>
      <w:r w:rsidR="004058B4">
        <w:rPr>
          <w:rFonts w:ascii="Times New Roman" w:hAnsi="Times New Roman" w:cs="Times New Roman"/>
          <w:kern w:val="0"/>
          <w:sz w:val="20"/>
          <w:szCs w:val="20"/>
          <w:vertAlign w:val="superscript"/>
          <w:lang w:val="en-GB"/>
        </w:rPr>
        <w:t>3</w:t>
      </w:r>
      <w:r w:rsidR="00985E26" w:rsidRPr="008764BD">
        <w:rPr>
          <w:rFonts w:ascii="Times New Roman" w:hAnsi="Times New Roman" w:cs="Times New Roman"/>
          <w:kern w:val="0"/>
          <w:sz w:val="20"/>
          <w:szCs w:val="20"/>
          <w:lang w:val="en-GB"/>
        </w:rPr>
        <w:t>, Azra Ghani</w:t>
      </w:r>
      <w:r w:rsidR="004058B4">
        <w:rPr>
          <w:rFonts w:ascii="Times New Roman" w:hAnsi="Times New Roman" w:cs="Times New Roman"/>
          <w:kern w:val="0"/>
          <w:sz w:val="20"/>
          <w:szCs w:val="20"/>
          <w:vertAlign w:val="superscript"/>
          <w:lang w:val="en-GB"/>
        </w:rPr>
        <w:t>2</w:t>
      </w:r>
      <w:r w:rsidR="00985E26" w:rsidRPr="008764BD">
        <w:rPr>
          <w:rFonts w:ascii="Times New Roman" w:hAnsi="Times New Roman" w:cs="Times New Roman"/>
          <w:kern w:val="0"/>
          <w:sz w:val="20"/>
          <w:szCs w:val="20"/>
          <w:lang w:val="en-GB"/>
        </w:rPr>
        <w:t xml:space="preserve">, </w:t>
      </w:r>
      <w:r w:rsidRPr="008764BD">
        <w:rPr>
          <w:rFonts w:ascii="Times New Roman" w:hAnsi="Times New Roman" w:cs="Times New Roman"/>
          <w:kern w:val="0"/>
          <w:sz w:val="20"/>
          <w:szCs w:val="20"/>
          <w:lang w:val="en-GB"/>
        </w:rPr>
        <w:t>Jue Tao Lim</w:t>
      </w:r>
      <w:r w:rsidR="004058B4">
        <w:rPr>
          <w:rFonts w:ascii="Times New Roman" w:hAnsi="Times New Roman" w:cs="Times New Roman"/>
          <w:kern w:val="0"/>
          <w:sz w:val="20"/>
          <w:szCs w:val="20"/>
          <w:vertAlign w:val="superscript"/>
          <w:lang w:val="en-GB"/>
        </w:rPr>
        <w:t>1,</w:t>
      </w:r>
      <w:r w:rsidR="004058B4" w:rsidRPr="004058B4">
        <w:rPr>
          <w:rStyle w:val="FootnoteReference"/>
          <w:rFonts w:ascii="Times New Roman" w:hAnsi="Times New Roman" w:cs="Times New Roman"/>
          <w:kern w:val="0"/>
          <w:sz w:val="20"/>
          <w:szCs w:val="20"/>
          <w:lang w:val="en-GB"/>
        </w:rPr>
        <w:footnoteReference w:customMarkFollows="1" w:id="5"/>
        <w:sym w:font="Symbol" w:char="F02A"/>
      </w:r>
    </w:p>
    <w:p w14:paraId="38BE4922" w14:textId="66863D43" w:rsidR="00691CD0" w:rsidRDefault="00691CD0" w:rsidP="001C59C1">
      <w:pPr>
        <w:pStyle w:val="NormalWeb"/>
        <w:spacing w:line="276" w:lineRule="auto"/>
        <w:jc w:val="both"/>
        <w:rPr>
          <w:b/>
          <w:bCs/>
          <w:sz w:val="20"/>
          <w:szCs w:val="20"/>
        </w:rPr>
      </w:pPr>
      <w:r>
        <w:rPr>
          <w:b/>
          <w:bCs/>
          <w:sz w:val="20"/>
          <w:szCs w:val="20"/>
        </w:rPr>
        <w:t>Abstract</w:t>
      </w:r>
    </w:p>
    <w:p w14:paraId="78B77415" w14:textId="7B5A5377" w:rsidR="008F064D" w:rsidRPr="00AE7C36" w:rsidRDefault="008F064D" w:rsidP="00AE7C36">
      <w:pPr>
        <w:pStyle w:val="NormalWeb"/>
        <w:spacing w:line="276" w:lineRule="auto"/>
        <w:jc w:val="both"/>
        <w:rPr>
          <w:sz w:val="20"/>
          <w:szCs w:val="20"/>
        </w:rPr>
      </w:pPr>
      <w:r w:rsidRPr="00AE7C36">
        <w:rPr>
          <w:sz w:val="20"/>
          <w:szCs w:val="20"/>
        </w:rPr>
        <w:t xml:space="preserve">Syphilis remains a significant global public health challenge, particularly among men who have sex with men (MSM). Although penicillin is highly effective for treatment, primary </w:t>
      </w:r>
      <w:r w:rsidRPr="00CC781D">
        <w:rPr>
          <w:sz w:val="20"/>
          <w:szCs w:val="20"/>
        </w:rPr>
        <w:t xml:space="preserve">prevention strategies are limited. </w:t>
      </w:r>
      <w:r w:rsidR="00AE7C36" w:rsidRPr="00CC781D">
        <w:rPr>
          <w:sz w:val="20"/>
          <w:szCs w:val="20"/>
        </w:rPr>
        <w:t xml:space="preserve">Recent trials indicate </w:t>
      </w:r>
      <w:r w:rsidR="00AE7C36" w:rsidRPr="00EE46F7">
        <w:rPr>
          <w:sz w:val="20"/>
          <w:szCs w:val="20"/>
        </w:rPr>
        <w:t xml:space="preserve">that doxycycline post-exposure prophylaxis (doxy-PEP) </w:t>
      </w:r>
      <w:r w:rsidR="00EE46F7" w:rsidRPr="00EE46F7">
        <w:rPr>
          <w:sz w:val="20"/>
          <w:szCs w:val="20"/>
        </w:rPr>
        <w:t xml:space="preserve">has high efficacy in </w:t>
      </w:r>
      <w:r w:rsidR="00AE7C36" w:rsidRPr="00EE46F7">
        <w:rPr>
          <w:sz w:val="20"/>
          <w:szCs w:val="20"/>
        </w:rPr>
        <w:t>reduc</w:t>
      </w:r>
      <w:r w:rsidR="00EE46F7" w:rsidRPr="00EE46F7">
        <w:rPr>
          <w:sz w:val="20"/>
          <w:szCs w:val="20"/>
        </w:rPr>
        <w:t>ing</w:t>
      </w:r>
      <w:r w:rsidR="00AE7C36" w:rsidRPr="00EE46F7">
        <w:rPr>
          <w:sz w:val="20"/>
          <w:szCs w:val="20"/>
        </w:rPr>
        <w:t xml:space="preserve"> syphilis incidence among MSM</w:t>
      </w:r>
      <w:r w:rsidR="00CC781D" w:rsidRPr="00EE46F7">
        <w:rPr>
          <w:sz w:val="20"/>
          <w:szCs w:val="20"/>
        </w:rPr>
        <w:t xml:space="preserve">; </w:t>
      </w:r>
      <w:r w:rsidR="00EE46F7" w:rsidRPr="00EE46F7">
        <w:rPr>
          <w:sz w:val="20"/>
          <w:szCs w:val="20"/>
        </w:rPr>
        <w:t>however, its long-term population-level impact, effects on transmission dynamics, and optimal prescribing strategies remain unclear</w:t>
      </w:r>
      <w:r w:rsidR="00AE7C36" w:rsidRPr="00EE46F7">
        <w:rPr>
          <w:sz w:val="20"/>
          <w:szCs w:val="20"/>
        </w:rPr>
        <w:t>, especially when accounting for real-world behavioural factors such as screening frequency, uptake, adherence, and discontinuation. To address this gap, we developed a behavioural transmission-dynamic model calibrated with Bayesian methods using surveillance data from Singapore and England to quantify the potential long-term public health impact, efficiency, and robustness of alternative doxy-PEP prescribing strategies</w:t>
      </w:r>
      <w:r w:rsidR="00AE7C36" w:rsidRPr="00CC781D">
        <w:rPr>
          <w:sz w:val="20"/>
          <w:szCs w:val="20"/>
        </w:rPr>
        <w:t xml:space="preserve"> under</w:t>
      </w:r>
      <w:r w:rsidR="00AE7C36" w:rsidRPr="00AE7C36">
        <w:rPr>
          <w:sz w:val="20"/>
          <w:szCs w:val="20"/>
        </w:rPr>
        <w:t xml:space="preserve"> varying behavioural patterns and epidemiological settings. Over a 15-year horizon, targeting high-risk MSM at diagnosis emerged as the most efficient approach, averting an estimated 7.61 (2.06</w:t>
      </w:r>
      <w:r w:rsidR="003E6079">
        <w:rPr>
          <w:sz w:val="20"/>
          <w:szCs w:val="20"/>
        </w:rPr>
        <w:t xml:space="preserve"> - </w:t>
      </w:r>
      <w:r w:rsidR="00AE7C36" w:rsidRPr="00AE7C36">
        <w:rPr>
          <w:sz w:val="20"/>
          <w:szCs w:val="20"/>
        </w:rPr>
        <w:t>18.12) cases per prescription (30,652 [3,507</w:t>
      </w:r>
      <w:r w:rsidR="003E6079">
        <w:rPr>
          <w:sz w:val="20"/>
          <w:szCs w:val="20"/>
        </w:rPr>
        <w:t xml:space="preserve"> - </w:t>
      </w:r>
      <w:r w:rsidR="00AE7C36" w:rsidRPr="00AE7C36">
        <w:rPr>
          <w:sz w:val="20"/>
          <w:szCs w:val="20"/>
        </w:rPr>
        <w:t>162,306] total cases averted) in Singapore and 14.02 (6.47</w:t>
      </w:r>
      <w:r w:rsidR="003E6079">
        <w:rPr>
          <w:sz w:val="20"/>
          <w:szCs w:val="20"/>
        </w:rPr>
        <w:t xml:space="preserve"> - </w:t>
      </w:r>
      <w:r w:rsidR="00AE7C36" w:rsidRPr="00AE7C36">
        <w:rPr>
          <w:sz w:val="20"/>
          <w:szCs w:val="20"/>
        </w:rPr>
        <w:t>23.76) cases per prescription (503,320 [150,356</w:t>
      </w:r>
      <w:r w:rsidR="003E6079">
        <w:rPr>
          <w:sz w:val="20"/>
          <w:szCs w:val="20"/>
        </w:rPr>
        <w:t xml:space="preserve"> - </w:t>
      </w:r>
      <w:r w:rsidR="00AE7C36" w:rsidRPr="00AE7C36">
        <w:rPr>
          <w:sz w:val="20"/>
          <w:szCs w:val="20"/>
        </w:rPr>
        <w:t>1,536,342]) in England. In contrast, broader strategies such as offering doxy-PEP to all MSM attending sexual health clinics could achieve greater overall reductions</w:t>
      </w:r>
      <w:r w:rsidR="003E6079">
        <w:rPr>
          <w:sz w:val="20"/>
          <w:szCs w:val="20"/>
        </w:rPr>
        <w:t xml:space="preserve"> - </w:t>
      </w:r>
      <w:r w:rsidR="00AE7C36" w:rsidRPr="00AE7C36">
        <w:rPr>
          <w:sz w:val="20"/>
          <w:szCs w:val="20"/>
        </w:rPr>
        <w:t>up to 75,484 (20,721</w:t>
      </w:r>
      <w:r w:rsidR="003E6079">
        <w:rPr>
          <w:sz w:val="20"/>
          <w:szCs w:val="20"/>
        </w:rPr>
        <w:t xml:space="preserve"> - </w:t>
      </w:r>
      <w:r w:rsidR="00AE7C36" w:rsidRPr="00AE7C36">
        <w:rPr>
          <w:sz w:val="20"/>
          <w:szCs w:val="20"/>
        </w:rPr>
        <w:t>283,976) cases in Singapore and 853,309 (332,929</w:t>
      </w:r>
      <w:r w:rsidR="003E6079">
        <w:rPr>
          <w:sz w:val="20"/>
          <w:szCs w:val="20"/>
        </w:rPr>
        <w:t xml:space="preserve"> - </w:t>
      </w:r>
      <w:r w:rsidR="00AE7C36" w:rsidRPr="00AE7C36">
        <w:rPr>
          <w:sz w:val="20"/>
          <w:szCs w:val="20"/>
        </w:rPr>
        <w:t>2,208,156) in England</w:t>
      </w:r>
      <w:r w:rsidR="003E6079">
        <w:rPr>
          <w:sz w:val="20"/>
          <w:szCs w:val="20"/>
        </w:rPr>
        <w:t xml:space="preserve"> - </w:t>
      </w:r>
      <w:r w:rsidR="00AE7C36" w:rsidRPr="00AE7C36">
        <w:rPr>
          <w:sz w:val="20"/>
          <w:szCs w:val="20"/>
        </w:rPr>
        <w:t>but with substantially lower efficiency, averting as few as 0.062 (0.013</w:t>
      </w:r>
      <w:r w:rsidR="003E6079">
        <w:rPr>
          <w:sz w:val="20"/>
          <w:szCs w:val="20"/>
        </w:rPr>
        <w:t xml:space="preserve"> - </w:t>
      </w:r>
      <w:r w:rsidR="00AE7C36" w:rsidRPr="00AE7C36">
        <w:rPr>
          <w:sz w:val="20"/>
          <w:szCs w:val="20"/>
        </w:rPr>
        <w:t>0.69) and 0.13 (0.042</w:t>
      </w:r>
      <w:r w:rsidR="003E6079">
        <w:rPr>
          <w:sz w:val="20"/>
          <w:szCs w:val="20"/>
        </w:rPr>
        <w:t xml:space="preserve"> - </w:t>
      </w:r>
      <w:r w:rsidR="00AE7C36" w:rsidRPr="00AE7C36">
        <w:rPr>
          <w:sz w:val="20"/>
          <w:szCs w:val="20"/>
        </w:rPr>
        <w:t xml:space="preserve">1.41) cases per prescription, respectively. </w:t>
      </w:r>
      <w:r w:rsidRPr="00AE7C36">
        <w:rPr>
          <w:sz w:val="20"/>
          <w:szCs w:val="20"/>
        </w:rPr>
        <w:t>These findings suggest that untargeted strategies risk over-prescription, increased resource burden, and unnecessary antibiotic exposure. Our results underscore that doxy-PEP prescribing approaches aligned with behavioural risk factors can maximise population-level impact and implementation efficiency, supporting more sustainable and equitable syphilis prevention among MSM.</w:t>
      </w:r>
    </w:p>
    <w:p w14:paraId="16F9CB6B" w14:textId="3B654936" w:rsidR="0091436E" w:rsidRPr="0091436E" w:rsidRDefault="0091436E" w:rsidP="001C59C1">
      <w:pPr>
        <w:pStyle w:val="NormalWeb"/>
        <w:numPr>
          <w:ilvl w:val="0"/>
          <w:numId w:val="31"/>
        </w:numPr>
        <w:spacing w:line="276" w:lineRule="auto"/>
        <w:jc w:val="both"/>
        <w:rPr>
          <w:b/>
          <w:bCs/>
          <w:sz w:val="20"/>
          <w:szCs w:val="20"/>
        </w:rPr>
      </w:pPr>
      <w:r w:rsidRPr="0091436E">
        <w:rPr>
          <w:b/>
          <w:bCs/>
          <w:sz w:val="20"/>
          <w:szCs w:val="20"/>
        </w:rPr>
        <w:t>Introduction</w:t>
      </w:r>
    </w:p>
    <w:p w14:paraId="4AC523B2" w14:textId="4A29A47F" w:rsidR="00D33422" w:rsidRPr="00700ABE" w:rsidRDefault="00D33422" w:rsidP="00700ABE">
      <w:pPr>
        <w:pStyle w:val="NormalWeb"/>
        <w:spacing w:line="276" w:lineRule="auto"/>
        <w:jc w:val="both"/>
        <w:rPr>
          <w:sz w:val="20"/>
          <w:szCs w:val="20"/>
        </w:rPr>
      </w:pPr>
      <w:r w:rsidRPr="00700ABE">
        <w:rPr>
          <w:sz w:val="20"/>
          <w:szCs w:val="20"/>
        </w:rPr>
        <w:t>Sexually transmitted infections (STIs) are among the most prevalent communicable diseases worldwide, posing a significant burden on global health and well-being.</w:t>
      </w:r>
      <w:r w:rsidR="00EC3E3C" w:rsidRPr="00700ABE">
        <w:rPr>
          <w:sz w:val="20"/>
          <w:szCs w:val="20"/>
        </w:rPr>
        <w:t xml:space="preserve"> </w:t>
      </w:r>
      <w:r w:rsidRPr="00700ABE">
        <w:rPr>
          <w:sz w:val="20"/>
          <w:szCs w:val="20"/>
        </w:rPr>
        <w:t>Among these, s</w:t>
      </w:r>
      <w:r w:rsidR="00AD1A48" w:rsidRPr="00700ABE">
        <w:rPr>
          <w:sz w:val="20"/>
          <w:szCs w:val="20"/>
        </w:rPr>
        <w:t>yphilis</w:t>
      </w:r>
      <w:r w:rsidR="00BA2F7F" w:rsidRPr="00700ABE">
        <w:rPr>
          <w:sz w:val="20"/>
          <w:szCs w:val="20"/>
        </w:rPr>
        <w:t xml:space="preserve"> </w:t>
      </w:r>
      <w:r w:rsidRPr="00700ABE">
        <w:rPr>
          <w:sz w:val="20"/>
          <w:szCs w:val="20"/>
        </w:rPr>
        <w:t xml:space="preserve">remains a major public health concern. </w:t>
      </w:r>
      <w:r w:rsidR="00137A7A" w:rsidRPr="00177136">
        <w:rPr>
          <w:sz w:val="20"/>
          <w:szCs w:val="20"/>
        </w:rPr>
        <w:t>and is a chronic, systemic STI</w:t>
      </w:r>
      <w:r w:rsidR="00CE6024" w:rsidRPr="00700ABE">
        <w:rPr>
          <w:sz w:val="20"/>
          <w:szCs w:val="20"/>
        </w:rPr>
        <w:t>.</w:t>
      </w:r>
      <w:r w:rsidR="00137A7A">
        <w:rPr>
          <w:sz w:val="20"/>
          <w:szCs w:val="20"/>
        </w:rPr>
        <w:t xml:space="preserve"> Globally, around 8 million individuals acquire disease yearly, with an increasing incidence across the past 2 decades </w:t>
      </w:r>
      <w:r w:rsidR="00EF4218">
        <w:rPr>
          <w:sz w:val="20"/>
          <w:szCs w:val="20"/>
        </w:rPr>
        <w:fldChar w:fldCharType="begin"/>
      </w:r>
      <w:r w:rsidR="00EF4218">
        <w:rPr>
          <w:sz w:val="20"/>
          <w:szCs w:val="20"/>
        </w:rPr>
        <w:instrText xml:space="preserve"> ADDIN ZOTERO_ITEM CSL_CITATION {"citationID":"tL0yhX2q","properties":{"formattedCitation":"[1]","plainCitation":"[1]","noteIndex":0},"citationItems":[{"id":167,"uris":["http://zotero.org/users/9663344/items/MKLBVPMS"],"itemData":{"id":167,"type":"webpage","abstract":"Efforts to control sexually transmitted infections (STIs) require strong surveillance systems. Effective surveillance is crucial to: monitoring epidemic trends; identifying severe or emerging epidemic outbreaks; strategically directing resources for prevention, treatment, and control efforts; and assessing the effectiveness of these efforts.","container-title":"World Health Organization","language":"en","title":"Global Sexually Transmitted Infections Programme","URL":"https://www.who.int/teams/global-hiv-hepatitis-and-stis-programmes/stis/strategic-information","accessed":{"date-parts":[["2025",6,29]]}}}],"schema":"https://github.com/citation-style-language/schema/raw/master/csl-citation.json"} </w:instrText>
      </w:r>
      <w:r w:rsidR="00EF4218">
        <w:rPr>
          <w:sz w:val="20"/>
          <w:szCs w:val="20"/>
        </w:rPr>
        <w:fldChar w:fldCharType="separate"/>
      </w:r>
      <w:r w:rsidR="00EF4218">
        <w:rPr>
          <w:noProof/>
          <w:sz w:val="20"/>
          <w:szCs w:val="20"/>
        </w:rPr>
        <w:t>[1]</w:t>
      </w:r>
      <w:r w:rsidR="00EF4218">
        <w:rPr>
          <w:sz w:val="20"/>
          <w:szCs w:val="20"/>
        </w:rPr>
        <w:fldChar w:fldCharType="end"/>
      </w:r>
      <w:commentRangeStart w:id="1"/>
      <w:commentRangeEnd w:id="1"/>
      <w:r w:rsidR="00137A7A">
        <w:rPr>
          <w:rStyle w:val="CommentReference"/>
          <w:rFonts w:asciiTheme="minorHAnsi" w:eastAsiaTheme="minorEastAsia" w:hAnsiTheme="minorHAnsi" w:cstheme="minorBidi"/>
          <w:kern w:val="2"/>
          <w14:ligatures w14:val="standardContextual"/>
        </w:rPr>
        <w:commentReference w:id="1"/>
      </w:r>
      <w:r w:rsidR="00137A7A">
        <w:rPr>
          <w:sz w:val="20"/>
          <w:szCs w:val="20"/>
        </w:rPr>
        <w:t xml:space="preserve">. </w:t>
      </w:r>
      <w:r w:rsidRPr="00700ABE">
        <w:rPr>
          <w:sz w:val="20"/>
          <w:szCs w:val="20"/>
        </w:rPr>
        <w:t xml:space="preserve"> In England, male syphilis incidence has risen sharply, increasing from 10.1 to 29.0 cases per 100,000 </w:t>
      </w:r>
      <w:r w:rsidR="00AC1B34">
        <w:rPr>
          <w:sz w:val="20"/>
          <w:szCs w:val="20"/>
        </w:rPr>
        <w:t xml:space="preserve">population </w:t>
      </w:r>
      <w:r w:rsidRPr="00700ABE">
        <w:rPr>
          <w:sz w:val="20"/>
          <w:szCs w:val="20"/>
        </w:rPr>
        <w:t xml:space="preserve">between 2011 and 2024 </w:t>
      </w:r>
      <w:r w:rsidRPr="00700ABE">
        <w:rPr>
          <w:sz w:val="20"/>
          <w:szCs w:val="20"/>
        </w:rPr>
        <w:fldChar w:fldCharType="begin"/>
      </w:r>
      <w:r w:rsidR="00EF4218">
        <w:rPr>
          <w:sz w:val="20"/>
          <w:szCs w:val="20"/>
        </w:rPr>
        <w:instrText xml:space="preserve"> ADDIN ZOTERO_ITEM CSL_CITATION {"citationID":"MfKNdTvD","properties":{"formattedCitation":"[2], [3]","plainCitation":"[2], [3]","noteIndex":0},"citationItems":[{"id":161,"uris":["http://zotero.org/users/9663344/items/9FI9XIHY"],"itemData":{"id":161,"type":"webpage","title":"[ARCHIVED CONTENT] UK Government Web Archive - The National Archives","URL":"https://webarchive.nationalarchives.gov.uk/ukgwa/20170517101539/https:/www.gov.uk/government/statistics/sexually-transmitted-infections-stis-annual-data-tables","accessed":{"date-parts":[["2025",6,25]]}}},{"id":159,"uris":["http://zotero.org/users/9663344/items/AZSD5ENP"],"itemData":{"id":159,"type":"webpage","abstract":"Information on STI diagnoses and sexual health services provided in England by demographic characteristics and geographical region.","container-title":"GOV.UK","language":"en","title":"Sexually transmitted infections (STIs): annual data","title-short":"Sexually transmitted infections (STIs)","URL":"https://www.gov.uk/government/statistics/sexually-transmitted-infections-stis-annual-data-tables","accessed":{"date-parts":[["2025",6,25]]},"issued":{"date-parts":[["2025",6,10]]}}}],"schema":"https://github.com/citation-style-language/schema/raw/master/csl-citation.json"} </w:instrText>
      </w:r>
      <w:r w:rsidRPr="00700ABE">
        <w:rPr>
          <w:sz w:val="20"/>
          <w:szCs w:val="20"/>
        </w:rPr>
        <w:fldChar w:fldCharType="separate"/>
      </w:r>
      <w:r w:rsidR="00EF4218">
        <w:rPr>
          <w:noProof/>
          <w:sz w:val="20"/>
          <w:szCs w:val="20"/>
        </w:rPr>
        <w:t>[2], [3]</w:t>
      </w:r>
      <w:r w:rsidRPr="00700ABE">
        <w:rPr>
          <w:sz w:val="20"/>
          <w:szCs w:val="20"/>
        </w:rPr>
        <w:fldChar w:fldCharType="end"/>
      </w:r>
      <w:r w:rsidRPr="00700ABE">
        <w:rPr>
          <w:sz w:val="20"/>
          <w:szCs w:val="20"/>
        </w:rPr>
        <w:t xml:space="preserve">. </w:t>
      </w:r>
      <w:r w:rsidR="00BA001A">
        <w:rPr>
          <w:sz w:val="20"/>
          <w:szCs w:val="20"/>
        </w:rPr>
        <w:t xml:space="preserve">Whereas in </w:t>
      </w:r>
      <w:r w:rsidR="00BA001A" w:rsidRPr="00700ABE">
        <w:rPr>
          <w:sz w:val="20"/>
          <w:szCs w:val="20"/>
        </w:rPr>
        <w:t xml:space="preserve">Singapore, the incidence of syphilis among men has remained persistently high, fluctuating between 32.5 and 38.1 cases per 100,000 population from 2004 to 2018 </w:t>
      </w:r>
      <w:r w:rsidR="00BA001A" w:rsidRPr="00700ABE">
        <w:rPr>
          <w:sz w:val="20"/>
          <w:szCs w:val="20"/>
        </w:rPr>
        <w:fldChar w:fldCharType="begin"/>
      </w:r>
      <w:r w:rsidR="00EF4218">
        <w:rPr>
          <w:sz w:val="20"/>
          <w:szCs w:val="20"/>
        </w:rPr>
        <w:instrText xml:space="preserve"> ADDIN ZOTERO_ITEM CSL_CITATION {"citationID":"Ae4kqH1p","properties":{"formattedCitation":"[4], [5]","plainCitation":"[4], [5]","noteIndex":0},"citationItems":[{"id":49,"uris":["http://zotero.org/users/9663344/items/HW9E75QE"],"itemData":{"id":49,"type":"webpage","container-title":"Ministry of Health","language":"en","title":"The Communicable Disease Surveillance in Singapore 2004","URL":"https://www.moh.gov.sg/others/resources-and-statistics/reports-communicable-disease-surveillance-in-singapore-2004/","accessed":{"date-parts":[["2025",2,8]]}}},{"id":51,"uris":["http://zotero.org/users/9663344/items/GHI8W3VT"],"itemData":{"id":51,"type":"webpage","container-title":"Ministry of Health","language":"en","title":"The Communicable Diseases Surveillance in Singapore 2018","URL":"https://www.moh.gov.sg/others/resources-and-statistics/the-communicable-diseases-surveillance-in-singapore-2018/","accessed":{"date-parts":[["2025",2,8]]}}}],"schema":"https://github.com/citation-style-language/schema/raw/master/csl-citation.json"} </w:instrText>
      </w:r>
      <w:r w:rsidR="00BA001A" w:rsidRPr="00700ABE">
        <w:rPr>
          <w:sz w:val="20"/>
          <w:szCs w:val="20"/>
        </w:rPr>
        <w:fldChar w:fldCharType="separate"/>
      </w:r>
      <w:r w:rsidR="00EF4218">
        <w:rPr>
          <w:noProof/>
          <w:sz w:val="20"/>
          <w:szCs w:val="20"/>
        </w:rPr>
        <w:t>[4], [5]</w:t>
      </w:r>
      <w:r w:rsidR="00BA001A" w:rsidRPr="00700ABE">
        <w:rPr>
          <w:sz w:val="20"/>
          <w:szCs w:val="20"/>
        </w:rPr>
        <w:fldChar w:fldCharType="end"/>
      </w:r>
      <w:r w:rsidR="00BA001A" w:rsidRPr="00700ABE">
        <w:rPr>
          <w:sz w:val="20"/>
          <w:szCs w:val="20"/>
        </w:rPr>
        <w:t xml:space="preserve">. </w:t>
      </w:r>
      <w:r w:rsidRPr="00700ABE">
        <w:rPr>
          <w:sz w:val="20"/>
          <w:szCs w:val="20"/>
        </w:rPr>
        <w:t xml:space="preserve">Even though syphilis incidence showed a decreasing trend during the COVID-19 pandemic, likely due to reduced sexual activity during lockdowns and decreased testing availability </w:t>
      </w:r>
      <w:r w:rsidRPr="00700ABE">
        <w:rPr>
          <w:sz w:val="20"/>
          <w:szCs w:val="20"/>
        </w:rPr>
        <w:fldChar w:fldCharType="begin"/>
      </w:r>
      <w:r w:rsidR="00EF4218">
        <w:rPr>
          <w:sz w:val="20"/>
          <w:szCs w:val="20"/>
        </w:rPr>
        <w:instrText xml:space="preserve"> ADDIN ZOTERO_ITEM CSL_CITATION {"citationID":"i1iblELD","properties":{"formattedCitation":"[6]","plainCitation":"[6]","noteIndex":0},"citationItems":[{"id":47,"uris":["http://zotero.org/users/9663344/items/UCANDUB4"],"itemData":{"id":47,"type":"webpage","container-title":"Ministry of Health","language":"en","title":"COMMUNICABLE DISEASES SURVEILLANCE IN SINGAPORE 2019-2020","URL":"https://www.moh.gov.sg/others/resources-and-statistics/reports-communicable-diseases-surveillance-in-singapore-2019-2020/","accessed":{"date-parts":[["2025",2,8]]}}}],"schema":"https://github.com/citation-style-language/schema/raw/master/csl-citation.json"} </w:instrText>
      </w:r>
      <w:r w:rsidRPr="00700ABE">
        <w:rPr>
          <w:sz w:val="20"/>
          <w:szCs w:val="20"/>
        </w:rPr>
        <w:fldChar w:fldCharType="separate"/>
      </w:r>
      <w:r w:rsidR="00EF4218">
        <w:rPr>
          <w:noProof/>
          <w:sz w:val="20"/>
          <w:szCs w:val="20"/>
        </w:rPr>
        <w:t>[6]</w:t>
      </w:r>
      <w:r w:rsidRPr="00700ABE">
        <w:rPr>
          <w:sz w:val="20"/>
          <w:szCs w:val="20"/>
        </w:rPr>
        <w:fldChar w:fldCharType="end"/>
      </w:r>
      <w:r w:rsidRPr="00700ABE">
        <w:rPr>
          <w:sz w:val="20"/>
          <w:szCs w:val="20"/>
        </w:rPr>
        <w:t xml:space="preserve">, evidence suggests that transmission rates may now be exceeding pre-pandemic levels as non-pharmaceutical interventions have been lifted </w:t>
      </w:r>
      <w:r w:rsidRPr="00700ABE">
        <w:rPr>
          <w:sz w:val="20"/>
          <w:szCs w:val="20"/>
        </w:rPr>
        <w:fldChar w:fldCharType="begin"/>
      </w:r>
      <w:r w:rsidR="00EF4218">
        <w:rPr>
          <w:sz w:val="20"/>
          <w:szCs w:val="20"/>
        </w:rPr>
        <w:instrText xml:space="preserve"> ADDIN ZOTERO_ITEM CSL_CITATION {"citationID":"uBpyey1l","properties":{"formattedCitation":"[7]","plainCitation":"[7]","noteIndex":0},"citationItems":[{"id":48,"uris":["http://zotero.org/users/9663344/items/M5UVPWDA"],"itemData":{"id":48,"type":"article-journal","abstract":"Understanding the global burden of sexually transmitted infections (STIs) is fundamental to being able to address and control these infections and the health harms they cause. The World Health Organization has renewed its global health sector strategy for the prevention and control of STIs. Reducing STIs remains an integral part of HIV prevention and of sexual and reproductive health programs. Data to measure and describe the global burden continue to improve, with systematic reviews and modeling providing global and regional data for the major STIs. Although substantial gaps remain, as many countries have limited data, the measures available demonstrate the scale of the problem for the main curable STIs, gonorrhea, chlamydia, syphilis, and trichomoniasis; the most common viral STIs, human papillomavirus and genital herpes; the interrelation between STIs and HIV; and the substantially unequal burden of these infections globally and among key populations. Regional and global trends in these infections are affected by population changes; the impact and availability of interventions, such as vaccination; changing behaviors that alter the dynamics of STI transmission; and the role of international travel in promulgating STIs in an increasingly interconnected world.","container-title":"Clinics in Dermatology","DOI":"10.1016/j.clindermatol.2023.12.002","ISSN":"1879-1131","issue":"2","journalAbbreviation":"Clin Dermatol","language":"eng","note":"PMID: 38142791","page":"110-118","source":"PubMed","title":"The global burden of sexually transmitted infections","volume":"42","author":[{"family":"Sinka","given":"Katy"}],"issued":{"date-parts":[["2024"]]}}}],"schema":"https://github.com/citation-style-language/schema/raw/master/csl-citation.json"} </w:instrText>
      </w:r>
      <w:r w:rsidRPr="00700ABE">
        <w:rPr>
          <w:sz w:val="20"/>
          <w:szCs w:val="20"/>
        </w:rPr>
        <w:fldChar w:fldCharType="separate"/>
      </w:r>
      <w:r w:rsidR="00EF4218">
        <w:rPr>
          <w:noProof/>
          <w:sz w:val="20"/>
          <w:szCs w:val="20"/>
        </w:rPr>
        <w:t>[7]</w:t>
      </w:r>
      <w:r w:rsidRPr="00700ABE">
        <w:rPr>
          <w:sz w:val="20"/>
          <w:szCs w:val="20"/>
        </w:rPr>
        <w:fldChar w:fldCharType="end"/>
      </w:r>
      <w:r w:rsidRPr="00700ABE">
        <w:rPr>
          <w:sz w:val="20"/>
          <w:szCs w:val="20"/>
        </w:rPr>
        <w:t>.</w:t>
      </w:r>
    </w:p>
    <w:p w14:paraId="17B17E12" w14:textId="396A28C7" w:rsidR="00700ABE" w:rsidRPr="008E5AB8" w:rsidRDefault="00700ABE" w:rsidP="00700ABE">
      <w:pPr>
        <w:pStyle w:val="NormalWeb"/>
        <w:spacing w:line="276" w:lineRule="auto"/>
        <w:jc w:val="both"/>
        <w:rPr>
          <w:sz w:val="20"/>
          <w:szCs w:val="20"/>
        </w:rPr>
      </w:pPr>
      <w:r w:rsidRPr="008E5AB8">
        <w:rPr>
          <w:sz w:val="20"/>
          <w:szCs w:val="20"/>
        </w:rPr>
        <w:t>Syphilis transmission is influenced by a complex interplay of behavioural, biological, and social factors. High partner turnover</w:t>
      </w:r>
      <w:r w:rsidR="00BA001A">
        <w:rPr>
          <w:sz w:val="20"/>
          <w:szCs w:val="20"/>
        </w:rPr>
        <w:t xml:space="preserve"> rate</w:t>
      </w:r>
      <w:r w:rsidRPr="008E5AB8">
        <w:rPr>
          <w:sz w:val="20"/>
          <w:szCs w:val="20"/>
        </w:rPr>
        <w:t xml:space="preserve">, inconsistent condom use, anonymous sexual encounters, and the use of geospatial dating applications facilitate frequent partner change within dense sexual networks, increasing opportunities for exposure and reinfection. Anal intercourse, which has a higher transmission efficiency, further contributes to elevated risk. Social and structural barriers - including stigma, discrimination, and limited access to culturally competent healthcare - can delay diagnosis and treatment, especially in key populations. Men who have sex with men (MSM) are disproportionately affected by syphilis and other STIs. MSM are estimated to comprise between 0.03% and </w:t>
      </w:r>
      <w:r w:rsidRPr="008E5AB8">
        <w:rPr>
          <w:sz w:val="20"/>
          <w:szCs w:val="20"/>
        </w:rPr>
        <w:lastRenderedPageBreak/>
        <w:t xml:space="preserve">6.5% of the male population across various studies </w:t>
      </w:r>
      <w:r w:rsidRPr="008E5AB8">
        <w:rPr>
          <w:sz w:val="20"/>
          <w:szCs w:val="20"/>
        </w:rPr>
        <w:fldChar w:fldCharType="begin"/>
      </w:r>
      <w:r w:rsidR="00EF4218">
        <w:rPr>
          <w:sz w:val="20"/>
          <w:szCs w:val="20"/>
        </w:rPr>
        <w:instrText xml:space="preserve"> ADDIN ZOTERO_ITEM CSL_CITATION {"citationID":"9aEksZYy","properties":{"formattedCitation":"[8]","plainCitation":"[8]","noteIndex":0},"citationItems":[{"id":20,"uris":["http://zotero.org/users/9663344/items/EBXRMM57","http://zotero.org/users/9663344/items/LAG3UPB5"],"itemData":{"id":20,"type":"article-journal","abstract":"The objective of this systematic review was to summarize population-based methods (i.e., methods that used representative data from populations) for estimating the population size of men who have sex with men (MSM), a high-risk group for human immunodeficiency virus (HIV) and other sexually transmitted infections (STI). Studies using population-based methods to estimate the number or percent of MSM or gay men were included. Twenty-eight studies met inclusion criteria. Seven studies used surveillance data, eighteen studies used survey data, and six studies used census data. Sixteen studies were conducted in the United States, five in European countries, two in Canada, three in Australia, one in Israel, and one in Kenya. Men who have sex with men accounted for 0.03% to 6.5% of men among all studies and ranged from 3.8% to 6.4% in the US, 7,000 to 39,100 in Canada, 0.03% to 6.5% in European countries, and 127,947 to 182,624 in Australia. Studies using surveillance data obtained the highest estimates of the MSM population size while those using survey data obtained the lowest estimates. Studies also estimated the MSM population size by dimensions of sexual orientation. In studies examining these dimensions, fewer people identified as MSM than reported experience with or attraction to other men. Selection bias, differences in recall periods/sampling, or stigma could affect the estimate. It is important to have an estimate of the number of MSM to calculate disease rates, plan HIV/STI prevention efforts, and allocate resources for this group.","container-title":"Sexual health","DOI":"10.1071/SH18172","ISSN":"1448-5028","issue":"6","journalAbbreviation":"Sex Health","note":"PMID: 31658435\nPMCID: PMC7085112","page":"527-538","source":"PubMed Central","title":"Population-based methods for estimating the number of men who have sex with men: A systematic review","title-short":"Population-based methods for estimating the number of men who have sex with men","volume":"16","author":[{"family":"Mauck","given":"Daniel E."},{"family":"Gebrezgi","given":"Merhawi T."},{"family":"Sheehan","given":"Diana M."},{"family":"Fennie","given":"Kristopher P."},{"family":"Ibañez","given":"Gladys E."},{"family":"Fenkl","given":"Eric A."},{"family":"Trepka","given":"Mary Jo"}],"issued":{"date-parts":[["2019",11]]}}}],"schema":"https://github.com/citation-style-language/schema/raw/master/csl-citation.json"} </w:instrText>
      </w:r>
      <w:r w:rsidRPr="008E5AB8">
        <w:rPr>
          <w:sz w:val="20"/>
          <w:szCs w:val="20"/>
        </w:rPr>
        <w:fldChar w:fldCharType="separate"/>
      </w:r>
      <w:r w:rsidR="00EF4218">
        <w:rPr>
          <w:noProof/>
          <w:sz w:val="20"/>
          <w:szCs w:val="20"/>
        </w:rPr>
        <w:t>[8]</w:t>
      </w:r>
      <w:r w:rsidRPr="008E5AB8">
        <w:rPr>
          <w:sz w:val="20"/>
          <w:szCs w:val="20"/>
        </w:rPr>
        <w:fldChar w:fldCharType="end"/>
      </w:r>
      <w:r w:rsidRPr="008E5AB8">
        <w:rPr>
          <w:sz w:val="20"/>
          <w:szCs w:val="20"/>
        </w:rPr>
        <w:t xml:space="preserve">, yet account for a large proportion of syphilis cases in many high-income countries. Their elevated risk is driven by behavioural factors such as condomless sex and high partner turnover, as well as biological and network-level factors that facilitate rapid STI transmission. </w:t>
      </w:r>
    </w:p>
    <w:p w14:paraId="6BF2557A" w14:textId="57594058" w:rsidR="001B075D" w:rsidRPr="008E5AB8" w:rsidRDefault="00AF10DF" w:rsidP="001808EC">
      <w:pPr>
        <w:pStyle w:val="NormalWeb"/>
        <w:spacing w:line="276" w:lineRule="auto"/>
        <w:jc w:val="both"/>
        <w:rPr>
          <w:sz w:val="20"/>
          <w:szCs w:val="20"/>
        </w:rPr>
      </w:pPr>
      <w:r w:rsidRPr="008E5AB8">
        <w:rPr>
          <w:sz w:val="20"/>
          <w:szCs w:val="20"/>
        </w:rPr>
        <w:t xml:space="preserve">Despite the widespread incidence of </w:t>
      </w:r>
      <w:r w:rsidR="00CA7982">
        <w:rPr>
          <w:sz w:val="20"/>
          <w:szCs w:val="20"/>
        </w:rPr>
        <w:t>syphilis</w:t>
      </w:r>
      <w:r w:rsidRPr="008E5AB8">
        <w:rPr>
          <w:sz w:val="20"/>
          <w:szCs w:val="20"/>
        </w:rPr>
        <w:t xml:space="preserve">, </w:t>
      </w:r>
      <w:r w:rsidR="00C43365" w:rsidRPr="008E5AB8">
        <w:rPr>
          <w:sz w:val="20"/>
          <w:szCs w:val="20"/>
        </w:rPr>
        <w:t>t</w:t>
      </w:r>
      <w:r w:rsidR="001E6482" w:rsidRPr="008E5AB8">
        <w:rPr>
          <w:sz w:val="20"/>
          <w:szCs w:val="20"/>
        </w:rPr>
        <w:t xml:space="preserve">here are currently no vaccines and limited chemoprophylaxis options available for preventing </w:t>
      </w:r>
      <w:r w:rsidR="00A035D8" w:rsidRPr="008E5AB8">
        <w:rPr>
          <w:sz w:val="20"/>
          <w:szCs w:val="20"/>
        </w:rPr>
        <w:t xml:space="preserve">them </w:t>
      </w:r>
      <w:r w:rsidR="00F17942" w:rsidRPr="008E5AB8">
        <w:rPr>
          <w:sz w:val="20"/>
          <w:szCs w:val="20"/>
        </w:rPr>
        <w:fldChar w:fldCharType="begin"/>
      </w:r>
      <w:r w:rsidR="00EF4218">
        <w:rPr>
          <w:sz w:val="20"/>
          <w:szCs w:val="20"/>
        </w:rPr>
        <w:instrText xml:space="preserve"> ADDIN ZOTERO_ITEM CSL_CITATION {"citationID":"lrTTQRiq","properties":{"formattedCitation":"[9]","plainCitation":"[9]","noteIndex":0},"citationItems":[{"id":33,"uris":["http://zotero.org/users/9663344/items/TF22S9V5"],"itemData":{"id":33,"type":"article-journal","abstract":"This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F17942" w:rsidRPr="008E5AB8">
        <w:rPr>
          <w:sz w:val="20"/>
          <w:szCs w:val="20"/>
        </w:rPr>
        <w:fldChar w:fldCharType="separate"/>
      </w:r>
      <w:r w:rsidR="00EF4218">
        <w:rPr>
          <w:noProof/>
          <w:sz w:val="20"/>
          <w:szCs w:val="20"/>
        </w:rPr>
        <w:t>[9]</w:t>
      </w:r>
      <w:r w:rsidR="00F17942" w:rsidRPr="008E5AB8">
        <w:rPr>
          <w:sz w:val="20"/>
          <w:szCs w:val="20"/>
        </w:rPr>
        <w:fldChar w:fldCharType="end"/>
      </w:r>
      <w:r w:rsidR="001E6482" w:rsidRPr="008E5AB8">
        <w:rPr>
          <w:sz w:val="20"/>
          <w:szCs w:val="20"/>
        </w:rPr>
        <w:t>. These infections have been rising in the world, disproportionately impacting gay, bisexual, and other men who have sex with men as well as transgender women (TGW)</w:t>
      </w:r>
      <w:r w:rsidR="00F17942" w:rsidRPr="008E5AB8">
        <w:rPr>
          <w:sz w:val="20"/>
          <w:szCs w:val="20"/>
        </w:rPr>
        <w:t xml:space="preserve"> </w:t>
      </w:r>
      <w:r w:rsidR="00F17942" w:rsidRPr="008E5AB8">
        <w:rPr>
          <w:sz w:val="20"/>
          <w:szCs w:val="20"/>
        </w:rPr>
        <w:fldChar w:fldCharType="begin"/>
      </w:r>
      <w:r w:rsidR="00EF4218">
        <w:rPr>
          <w:sz w:val="20"/>
          <w:szCs w:val="20"/>
        </w:rPr>
        <w:instrText xml:space="preserve"> ADDIN ZOTERO_ITEM CSL_CITATION {"citationID":"rbGuTmdg","properties":{"formattedCitation":"[9]","plainCitation":"[9]","noteIndex":0},"citationItems":[{"id":33,"uris":["http://zotero.org/users/9663344/items/TF22S9V5"],"itemData":{"id":33,"type":"article-journal","abstract":"This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F17942" w:rsidRPr="008E5AB8">
        <w:rPr>
          <w:sz w:val="20"/>
          <w:szCs w:val="20"/>
        </w:rPr>
        <w:fldChar w:fldCharType="separate"/>
      </w:r>
      <w:r w:rsidR="00EF4218">
        <w:rPr>
          <w:noProof/>
          <w:sz w:val="20"/>
          <w:szCs w:val="20"/>
        </w:rPr>
        <w:t>[9]</w:t>
      </w:r>
      <w:r w:rsidR="00F17942" w:rsidRPr="008E5AB8">
        <w:rPr>
          <w:sz w:val="20"/>
          <w:szCs w:val="20"/>
        </w:rPr>
        <w:fldChar w:fldCharType="end"/>
      </w:r>
      <w:r w:rsidR="001E6482" w:rsidRPr="008E5AB8">
        <w:rPr>
          <w:sz w:val="20"/>
          <w:szCs w:val="20"/>
        </w:rPr>
        <w:t>.</w:t>
      </w:r>
      <w:r w:rsidR="00F17942" w:rsidRPr="008E5AB8">
        <w:rPr>
          <w:sz w:val="20"/>
          <w:szCs w:val="20"/>
        </w:rPr>
        <w:t xml:space="preserve"> </w:t>
      </w:r>
      <w:r w:rsidR="00070873" w:rsidRPr="008E5AB8">
        <w:rPr>
          <w:sz w:val="20"/>
          <w:szCs w:val="20"/>
        </w:rPr>
        <w:t xml:space="preserve">To address this growing concern, doxycycline post-exposure prophylaxis (doxy-PEP) has recently gained attention as a promising biomedical strategy for STI prevention. While still in the early stages of clinical adoption, it is being integrated into healthcare practices in countries like the US </w:t>
      </w:r>
      <w:r w:rsidR="00070873" w:rsidRPr="008E5AB8">
        <w:rPr>
          <w:sz w:val="20"/>
          <w:szCs w:val="20"/>
        </w:rPr>
        <w:fldChar w:fldCharType="begin"/>
      </w:r>
      <w:r w:rsidR="00EF4218">
        <w:rPr>
          <w:sz w:val="20"/>
          <w:szCs w:val="20"/>
        </w:rPr>
        <w:instrText xml:space="preserve"> ADDIN ZOTERO_ITEM CSL_CITATION {"citationID":"GGG1MOLT","properties":{"formattedCitation":"[10]","plainCitation":"[10]","noteIndex":0},"citationItems":[{"id":17,"uris":["http://zotero.org/users/9663344/items/Q647L6GB"],"itemData":{"id":17,"type":"article-journal","abstract":"Doxycycline postexposure prophylaxis (doxy-PEP) reduces the risk of bacterial sexually transmitted infections among men who have sex with men and transgender women. In the United States, doxy-PEP is in an early stage of integration into clinical practice, and national guidelines for its use were recently released. The goal of this manuscript is to provide practical guidance for clinicians who are considering or currently prescribing doxy-PEP. We address 5 clinical questions using post hoc analyses of data from the DoxyPEP randomized controlled trial and discuss the potential implications and limitations of each question with the goal of informing clinical practice and implementation of doxy-PEP programs. The questions address patient eligibility criteria for doxy-PEP, the expected benefit and associated doxy-PEP doses for the average patient, the initial number of doses prescribed, and laboratory monitoring of persons taking doxy-PEP.","container-title":"Clinical Infectious Diseases","DOI":"10.1093/cid/ciae527","ISSN":"1058-4838","journalAbbreviation":"Clinical Infectious Diseases","page":"ciae527","source":"Silverchair","title":"Evidence-Informed Provision of Doxycycline Postexposure Prophylaxis for Prevention of Bacterial Sexually Transmitted Infections","author":[{"family":"Dombrowski","given":"Julia C"},{"family":"Donnell","given":"Deborah"},{"family":"Grabow","given":"Cole"},{"family":"Cohen","given":"Stephanie E"},{"family":"Cannon","given":"Chase A"},{"family":"Brown","given":"Clare E"},{"family":"Buchbinder","given":"Susan P"},{"family":"Celum","given":"Connie"},{"family":"Luetkemeyer","given":"Anne F"}],"issued":{"date-parts":[["2024",10,30]]}}}],"schema":"https://github.com/citation-style-language/schema/raw/master/csl-citation.json"} </w:instrText>
      </w:r>
      <w:r w:rsidR="00070873" w:rsidRPr="008E5AB8">
        <w:rPr>
          <w:sz w:val="20"/>
          <w:szCs w:val="20"/>
        </w:rPr>
        <w:fldChar w:fldCharType="separate"/>
      </w:r>
      <w:r w:rsidR="00EF4218">
        <w:rPr>
          <w:noProof/>
          <w:sz w:val="20"/>
          <w:szCs w:val="20"/>
        </w:rPr>
        <w:t>[10]</w:t>
      </w:r>
      <w:r w:rsidR="00070873" w:rsidRPr="008E5AB8">
        <w:rPr>
          <w:sz w:val="20"/>
          <w:szCs w:val="20"/>
        </w:rPr>
        <w:fldChar w:fldCharType="end"/>
      </w:r>
      <w:r w:rsidR="00070873" w:rsidRPr="008E5AB8">
        <w:rPr>
          <w:sz w:val="20"/>
          <w:szCs w:val="20"/>
        </w:rPr>
        <w:t>.</w:t>
      </w:r>
      <w:r w:rsidR="00E76342" w:rsidRPr="008E5AB8">
        <w:rPr>
          <w:sz w:val="20"/>
          <w:szCs w:val="20"/>
        </w:rPr>
        <w:t xml:space="preserve"> This approach involves taking a 200 mg dose of immediate-release doxycycline within 72 hours after condomless sex to reduce the risk of bacterial STIs, including </w:t>
      </w:r>
      <w:r w:rsidR="00941A53" w:rsidRPr="008E5AB8">
        <w:rPr>
          <w:sz w:val="20"/>
          <w:szCs w:val="20"/>
        </w:rPr>
        <w:t>syphilis</w:t>
      </w:r>
      <w:r w:rsidR="00420AFA" w:rsidRPr="008E5AB8">
        <w:rPr>
          <w:sz w:val="20"/>
          <w:szCs w:val="20"/>
        </w:rPr>
        <w:t xml:space="preserve">, as recommended by British Association for Sexual Health and HIV (BASHH) </w:t>
      </w:r>
      <w:r w:rsidR="00420AFA" w:rsidRPr="008E5AB8">
        <w:rPr>
          <w:sz w:val="20"/>
          <w:szCs w:val="20"/>
        </w:rPr>
        <w:fldChar w:fldCharType="begin"/>
      </w:r>
      <w:r w:rsidR="00EF4218">
        <w:rPr>
          <w:sz w:val="20"/>
          <w:szCs w:val="20"/>
        </w:rPr>
        <w:instrText xml:space="preserve"> ADDIN ZOTERO_ITEM CSL_CITATION {"citationID":"KgrYnIj2","properties":{"formattedCitation":"[11]","plainCitation":"[11]","noteIndex":0},"citationItems":[{"id":164,"uris":["http://zotero.org/users/9663344/items/QS5XKHBB"],"itemData":{"id":164,"type":"article-journal","abstract":"This guideline provides evidence-based recommendations for the use of doxycycline post exposure prophylaxis (doxyPEP) for the prevention of syphilis. DoxyPEP should be part of a comprehensive approach to the prevention of STIs, along with condom use, appropriate HIV prevention interventions, vaccination, STI testing, treatment and management, and appropriate risk reduction advice and psychological interventions if indicated.","language":"en","source":"Zotero","title":"UK National Guideline for the Use of Doxycycline Post-Exposure Prophylaxis (DoxyPEP) for the Prevention of Syphilis","author":[{"family":"Saunders","given":"John"},{"family":"Deering","given":"Joseph"},{"family":"Dewsnap","given":"Claire"},{"family":"Drayton","given":"Rachel"},{"family":"Gilmore","given":"John"}]}}],"schema":"https://github.com/citation-style-language/schema/raw/master/csl-citation.json"} </w:instrText>
      </w:r>
      <w:r w:rsidR="00420AFA" w:rsidRPr="008E5AB8">
        <w:rPr>
          <w:sz w:val="20"/>
          <w:szCs w:val="20"/>
        </w:rPr>
        <w:fldChar w:fldCharType="separate"/>
      </w:r>
      <w:r w:rsidR="00EF4218">
        <w:rPr>
          <w:noProof/>
          <w:sz w:val="20"/>
          <w:szCs w:val="20"/>
        </w:rPr>
        <w:t>[11]</w:t>
      </w:r>
      <w:r w:rsidR="00420AFA" w:rsidRPr="008E5AB8">
        <w:rPr>
          <w:sz w:val="20"/>
          <w:szCs w:val="20"/>
        </w:rPr>
        <w:fldChar w:fldCharType="end"/>
      </w:r>
      <w:r w:rsidR="00420AFA" w:rsidRPr="008E5AB8">
        <w:rPr>
          <w:sz w:val="20"/>
          <w:szCs w:val="20"/>
        </w:rPr>
        <w:t xml:space="preserve"> and Centre for Disease Control and Prevention (CDC)</w:t>
      </w:r>
      <w:r w:rsidR="00CA553C" w:rsidRPr="008E5AB8">
        <w:rPr>
          <w:sz w:val="20"/>
          <w:szCs w:val="20"/>
        </w:rPr>
        <w:t>.</w:t>
      </w:r>
      <w:r w:rsidR="00F93101">
        <w:rPr>
          <w:sz w:val="20"/>
          <w:szCs w:val="20"/>
        </w:rPr>
        <w:t xml:space="preserve"> </w:t>
      </w:r>
      <w:commentRangeStart w:id="2"/>
      <w:commentRangeEnd w:id="2"/>
      <w:r w:rsidR="00BA001A">
        <w:rPr>
          <w:rStyle w:val="CommentReference"/>
          <w:rFonts w:asciiTheme="minorHAnsi" w:eastAsiaTheme="minorEastAsia" w:hAnsiTheme="minorHAnsi" w:cstheme="minorBidi"/>
          <w:kern w:val="2"/>
          <w14:ligatures w14:val="standardContextual"/>
        </w:rPr>
        <w:commentReference w:id="2"/>
      </w:r>
    </w:p>
    <w:p w14:paraId="5A2B3507" w14:textId="3A9887E2" w:rsidR="00986523" w:rsidRPr="003F7244" w:rsidRDefault="003B37A4" w:rsidP="001808EC">
      <w:pPr>
        <w:pStyle w:val="NormalWeb"/>
        <w:spacing w:line="276" w:lineRule="auto"/>
        <w:jc w:val="both"/>
        <w:rPr>
          <w:sz w:val="20"/>
          <w:szCs w:val="20"/>
        </w:rPr>
      </w:pPr>
      <w:r w:rsidRPr="008E5AB8">
        <w:rPr>
          <w:sz w:val="20"/>
          <w:szCs w:val="20"/>
        </w:rPr>
        <w:t xml:space="preserve">Clinical evidence from </w:t>
      </w:r>
      <w:r w:rsidR="00A82B3B" w:rsidRPr="008E5AB8">
        <w:rPr>
          <w:sz w:val="20"/>
          <w:szCs w:val="20"/>
        </w:rPr>
        <w:t>five</w:t>
      </w:r>
      <w:r w:rsidRPr="008E5AB8">
        <w:rPr>
          <w:sz w:val="20"/>
          <w:szCs w:val="20"/>
        </w:rPr>
        <w:t xml:space="preserve"> open-label randomized trials in France </w:t>
      </w:r>
      <w:r w:rsidR="008D4AC9" w:rsidRPr="008E5AB8">
        <w:rPr>
          <w:sz w:val="20"/>
          <w:szCs w:val="20"/>
        </w:rPr>
        <w:fldChar w:fldCharType="begin"/>
      </w:r>
      <w:r w:rsidR="00EF4218">
        <w:rPr>
          <w:sz w:val="20"/>
          <w:szCs w:val="20"/>
        </w:rPr>
        <w:instrText xml:space="preserve"> ADDIN ZOTERO_ITEM CSL_CITATION {"citationID":"pXBJFpEx","properties":{"formattedCitation":"[12], [13]","plainCitation":"[12], [13]","noteIndex":0},"citationItems":[{"id":46,"uris":["http://zotero.org/users/9663344/items/GVWCRKFA"],"itemData":{"id":46,"type":"article-journal","abstract":"BACKGROUND: Increased rates of sexually transmitted infections (STIs) have been reported among men who have sex with men. We aimed to assess whether post-exposure prophylaxis (PEP) with doxycycline could reduce the incidence of STIs.\nMETHODS: All participants attending their scheduled visit in the open-label extension of the ANRS IPERGAY trial in France (men aged 18 years or older having condomless sex with men and using pre-exposure prophylaxis for HIV with tenofovir disoproxil fumarate plus emtricitabine) were eligible for inclusion in this open-label randomised study. Participants were randomly assigned (1:1) at a central site to take a single oral dose of 200 mg doxycycline PEP within 24 h after sex or no prophylaxis. The primary endpoint was the occurrence of a first STI (gonorrhoea, chlamydia, or syphilis) during the 10-month follow-up. The cumulative probability of occurrence of the primary endpoint was estimated in each group with the Kaplan-Meier method and compared with the log-rank test. The primary efficacy analysis was done on the intention-to-treat population, comprising all randomised participants. All participants received risk-reduction counselling and condoms, and were tested regularly for HIV. This trial is registered with ClinicalTrials.gov number, NCT01473472.\nFINDINGS: Between July 20, 2015, and Jan 21, 2016, we randomly assigned 232 participants (n=116 in the doxycycline PEP group and n=116 in the no-PEP group) who were followed up for a median of 8·7 months (IQR 7·8-9·7). Participants in the PEP group used a median of 680 mg doxycycline per month (IQR 280-1450). 73 participants presented with a new STI during follow-up, 28 in the PEP group (9-month probability 22%, 95% CI 15-32) and 45 in the no-PEP group (42%, 33-53; log-rank test p=0·007). The occurrence of a first STI in participants taking PEP was lower than in those not taking PEP (hazard ratio [HR] 0·53; 95% CI 0·33-0·85; p=0·008). Similar results were observed for the occurrence of a first episode of chlamydia (HR 0·30; 95% CI 0·13-0·70; p=0·006) and of syphilis (0·27; 0·07-0·98; p=0·047); for a first episode of gonorrhoea the results did not differ significantly (HR 0·83; 0·47-1·47; p=0·52). No HIV seroconversion was observed, and 72 (71%) of all 102 STIs were asymptomatic. Rates of serious adverse events were similar in the two study groups. Gastrointestinal adverse events were reported in 62 (53%) participants in the PEP group and 47 (41%) in the no-PEP group (p=0·05).\nINTERPRETATION: Doxycycline PEP reduced the occurrence of a first episode of bacterial STI in high-risk men who have sex with men.\nFUNDING: France Recherche Nord &amp; Sud Sida-HIV Hépatites (ANRS) and Bill &amp; Melinda Gates Foundation.","container-title":"The Lancet. Infectious Diseases","DOI":"10.1016/S1473-3099(17)30725-9","ISSN":"1474-4457","issue":"3","journalAbbreviation":"Lancet Infect Dis","language":"eng","note":"PMID: 29229440","page":"308-317","source":"PubMed","title":"Post-exposure prophylaxis with doxycycline to prevent sexually transmitted infections in men who have sex with men: an open-label randomised substudy of the ANRS IPERGAY trial","title-short":"Post-exposure prophylaxis with doxycycline to prevent sexually transmitted infections in men who have sex with men","volume":"18","author":[{"family":"Molina","given":"Jean-Michel"},{"family":"Charreau","given":"Isabelle"},{"family":"Chidiac","given":"Christian"},{"family":"Pialoux","given":"Gilles"},{"family":"Cua","given":"Eric"},{"family":"Delaugerre","given":"Constance"},{"family":"Capitant","given":"Catherine"},{"family":"Rojas-Castro","given":"Daniela"},{"family":"Fonsart","given":"Julien"},{"family":"Bercot","given":"Béatrice"},{"family":"Bébéar","given":"Cécile"},{"family":"Cotte","given":"Laurent"},{"family":"Robineau","given":"Olivier"},{"family":"Raffi","given":"François"},{"family":"Charbonneau","given":"Pierre"},{"family":"Aslan","given":"Alexandre"},{"family":"Chas","given":"Julie"},{"family":"Niedbalski","given":"Laurence"},{"family":"Spire","given":"Bruno"},{"family":"Sagaon-Teyssier","given":"Luis"},{"family":"Carette","given":"Diane"},{"family":"Mestre","given":"Soizic Le"},{"family":"Doré","given":"Veronique"},{"family":"Meyer","given":"Laurence"},{"literal":"ANRS IPERGAY Study Group"}],"issued":{"date-parts":[["2018",3]]}}},{"id":57,"uris":["http://zotero.org/users/9663344/items/ZTD6HKJR"],"itemData":{"id":57,"type":"article-journal","abstract":"Background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sidR="008D4AC9" w:rsidRPr="008E5AB8">
        <w:rPr>
          <w:sz w:val="20"/>
          <w:szCs w:val="20"/>
        </w:rPr>
        <w:fldChar w:fldCharType="separate"/>
      </w:r>
      <w:r w:rsidR="00EF4218">
        <w:rPr>
          <w:noProof/>
          <w:sz w:val="20"/>
          <w:szCs w:val="20"/>
        </w:rPr>
        <w:t>[12], [13]</w:t>
      </w:r>
      <w:r w:rsidR="008D4AC9" w:rsidRPr="008E5AB8">
        <w:rPr>
          <w:sz w:val="20"/>
          <w:szCs w:val="20"/>
        </w:rPr>
        <w:fldChar w:fldCharType="end"/>
      </w:r>
      <w:r w:rsidR="00A82B3B" w:rsidRPr="008E5AB8">
        <w:rPr>
          <w:sz w:val="20"/>
          <w:szCs w:val="20"/>
        </w:rPr>
        <w:t xml:space="preserve">, </w:t>
      </w:r>
      <w:r w:rsidRPr="008E5AB8">
        <w:rPr>
          <w:sz w:val="20"/>
          <w:szCs w:val="20"/>
        </w:rPr>
        <w:t xml:space="preserve">the US </w:t>
      </w:r>
      <w:r w:rsidR="00B47608" w:rsidRPr="008E5AB8">
        <w:rPr>
          <w:sz w:val="20"/>
          <w:szCs w:val="20"/>
        </w:rPr>
        <w:fldChar w:fldCharType="begin"/>
      </w:r>
      <w:r w:rsidR="00EF4218">
        <w:rPr>
          <w:sz w:val="20"/>
          <w:szCs w:val="20"/>
        </w:rPr>
        <w:instrText xml:space="preserve"> ADDIN ZOTERO_ITEM CSL_CITATION {"citationID":"FjdiGRyi","properties":{"formattedCitation":"[14], [15]","plainCitation":"[14], [15]","noteIndex":0},"citationItems":[{"id":37,"uris":["http://zotero.org/users/9663344/items/2AKNH2ZJ"],"itemData":{"id":37,"type":"article-journal","abstract":"BACKGROUND: Incident syphilis infections continue to be especially prevalent among a core group of HIV-infected men who have sex with men (MSM). Because of synergy between syphilis and HIV infections, innovative means for controlling incident syphilis infections are needed.\nMETHODS: Thirty MSM who had syphilis twice or more since their HIV diagnosis were randomized to receive either daily doxycycline prophylaxis or contingency management (CM) with incentive payments for remaining free of sexually transmitted diseases (STDs). Participants were tested for the bacterial STDs gonorrhea (Neisseria gonorrhoeae), chlamydia (Chlamydia trachomatis) and syphilis at weeks 12, 24, 36, and 48 and completed a behavioral risk questionnaire during each visit to assess number of partners, condom use, and drug use since the last visit. Generalized linear mixed models were used to analyze differences between arms in STD incidence and risk behaviors at follow-up.\nRESULTS: Doxycycline arm participants were significantly less likely to test positive for any selected bacterial STD during 48 weeks of follow-up (odds ratio, 0.27; confidence interval, 0.09-0.83) compared with CM arm participants (P = 0.02).There were no significant self-reported risk behavior differences between the doxycycline and CM arms at follow-up.\nCONCLUSIONS: Daily doxycycline taken prophylactically was associated with a decreased incidence of N. gonorrhoeae, C. trachomatis, or syphilis incident infections among a core group of HIV-infected MSM at high risk for these infections. Safe and effective biomedical tools should be included in the efforts to control transmission of syphilis, especially in this population. A randomized clinical trial should be conducted to confirm and extend these findings.","container-title":"Sexually Transmitted Diseases","DOI":"10.1097/OLQ.0000000000000216","ISSN":"1537-4521","issue":"2","journalAbbreviation":"Sex Transm Dis","language":"eng","note":"PMID: 25585069\nPMCID: PMC4295649","page":"98-103","source":"PubMed","title":"Doxycycline prophylaxis to reduce incident syphilis among HIV-infected men who have sex with men who continue to engage in high-risk sex: a randomized, controlled pilot study","title-short":"Doxycycline prophylaxis to reduce incident syphilis among HIV-infected men who have sex with men who continue to engage in high-risk sex","volume":"42","author":[{"family":"Bolan","given":"Robert K."},{"family":"Beymer","given":"Matthew R."},{"family":"Weiss","given":"Robert E."},{"family":"Flynn","given":"Risa P."},{"family":"Leibowitz","given":"Arleen A."},{"family":"Klausner","given":"Jeffrey D."}],"issued":{"date-parts":[["2015",2]]}}},{"id":40,"uris":["http://zotero.org/users/9663344/items/HANL8X6F"],"itemData":{"id":40,"type":"article-journal","abstract":"BACKGROUND: Interventions to reduce sexually transmitted infections (STIs) among men who have sex with men (MSM) are needed.\nMETHODS: We conducted an open-label, randomized study involving MSM and transgender women who were taking preexposure prophylaxis (PrEP) against human immunodeficiency virus (HIV) infection (PrEP cohort) or living with HIV infection (persons living with HIV infection [PLWH] cohort) and who had had Neisseria gonorrhoeae (gonorrhea), Chlamydia trachomatis (chlamydia), or syphilis in the past year. Participants were randomly assigned in a 2:1 ratio to take 200 mg of doxycycline within 72 hours after condomless sex (doxycycline postexposure prophylaxis) or receive standard care without doxycycline. STI testing was performed quarterly. The primary end point was the incidence of at least one STI per follow-up quarter.\nRESULTS: Of 501 participants (327 in the PrEP cohort and 174 in the PLWH cohort), 67% were White, 7% Black, 11% Asian or Pacific Islander, and 30% Hispanic or Latino. In the PrEP cohort, an STI was diagnosed in 61 of 570 quarterly visits (10.7%) in the doxycycline group and 82 of 257 quarterly visits (31.9%) in the standard-care group, for an absolute difference of -21.2 percentage points and a relative risk of 0.34 (95% confidence interval [CI], 0.24 to 0.46; P&lt;0.001). In the PLWH cohort, an STI was diagnosed in 36 of 305 quarterly visits (11.8%) in the doxycycline group and 39 of 128 quarterly visits (30.5%) in the standard-care group, for an absolute difference of -18.7 percentage points and a relative risk of 0.38 (95% CI, 0.24 to 0.60; P&lt;0.001). The incidences of the three evaluated STIs were lower with doxycycline than with standard care; in the PrEP cohort, the relative risks were 0.45 (95% CI, 0.32 to 0.65) for gonorrhea, 0.12 (95% CI, 0.05 to 0.25) for chlamydia, and 0.13 (95% CI, 0.03 to 0.59) for syphilis, and in the PLWH cohort, the relative risks were 0.43 (95% CI, 0.26 to 0.71), 0.26 (95% CI, 0.12 to 0.57), and 0.23 (95% CI, 0.04 to 1.29), respectively. Five grade 3 adverse events and no serious adverse events were attributed to doxycycline. Of the participants with gonorrhea culture available, tetracycline-resistant gonorrhea occurred in 5 of 13 in the doxycycline groups and 2 of 16 in the standard-care groups.\nCONCLUSIONS: The combined incidence of gonorrhea, chlamydia, and syphilis was lower by two thirds with doxycycline postexposure prophylaxis than with standard care, a finding that supports its use among MSM with recent bacterial STIs. (Funded by the National Institutes of Health; DoxyPEP ClinicalTrials.gov number, NCT03980223.).","container-title":"The New England Journal of Medicine","DOI":"10.1056/NEJMoa2211934","ISSN":"1533-4406","issue":"14","journalAbbreviation":"N Engl J Med","language":"eng","note":"PMID: 37018493\nPMCID: PMC10140182","page":"1296-1306","source":"PubMed","title":"Postexposure Doxycycline to Prevent Bacterial Sexually Transmitted Infections","volume":"388","author":[{"family":"Luetkemeyer","given":"Anne F."},{"family":"Donnell","given":"Deborah"},{"family":"Dombrowski","given":"Julia C."},{"family":"Cohen","given":"Stephanie"},{"family":"Grabow","given":"Cole"},{"family":"Brown","given":"Clare E."},{"family":"Malinski","given":"Cheryl"},{"family":"Perkins","given":"Rodney"},{"family":"Nasser","given":"Melody"},{"family":"Lopez","given":"Carolina"},{"family":"Vittinghoff","given":"Eric"},{"family":"Buchbinder","given":"Susan P."},{"family":"Scott","given":"Hyman"},{"family":"Charlebois","given":"Edwin D."},{"family":"Havlir","given":"Diane V."},{"family":"Soge","given":"Olusegun O."},{"family":"Celum","given":"Connie"},{"literal":"DoxyPEP Study Team"}],"issued":{"date-parts":[["2023",4,6]]}}}],"schema":"https://github.com/citation-style-language/schema/raw/master/csl-citation.json"} </w:instrText>
      </w:r>
      <w:r w:rsidR="00B47608" w:rsidRPr="008E5AB8">
        <w:rPr>
          <w:sz w:val="20"/>
          <w:szCs w:val="20"/>
        </w:rPr>
        <w:fldChar w:fldCharType="separate"/>
      </w:r>
      <w:r w:rsidR="00EF4218">
        <w:rPr>
          <w:noProof/>
          <w:sz w:val="20"/>
          <w:szCs w:val="20"/>
        </w:rPr>
        <w:t>[14], [15]</w:t>
      </w:r>
      <w:r w:rsidR="00B47608" w:rsidRPr="008E5AB8">
        <w:rPr>
          <w:sz w:val="20"/>
          <w:szCs w:val="20"/>
        </w:rPr>
        <w:fldChar w:fldCharType="end"/>
      </w:r>
      <w:r w:rsidR="00A82B3B" w:rsidRPr="008E5AB8">
        <w:rPr>
          <w:sz w:val="20"/>
          <w:szCs w:val="20"/>
        </w:rPr>
        <w:t xml:space="preserve">, and Kenya </w:t>
      </w:r>
      <w:r w:rsidR="00A82B3B" w:rsidRPr="008E5AB8">
        <w:rPr>
          <w:sz w:val="20"/>
          <w:szCs w:val="20"/>
        </w:rPr>
        <w:fldChar w:fldCharType="begin"/>
      </w:r>
      <w:r w:rsidR="00EF4218">
        <w:rPr>
          <w:sz w:val="20"/>
          <w:szCs w:val="20"/>
        </w:rPr>
        <w:instrText xml:space="preserve"> ADDIN ZOTERO_ITEM CSL_CITATION {"citationID":"QBZYzjZ7","properties":{"formattedCitation":"[16]","plainCitation":"[16]","noteIndex":0},"citationItems":[{"id":25,"uris":["http://zotero.org/users/9663344/items/UMWAMKDS"],"itemData":{"id":25,"type":"article-journal","abstract":"BACKGROUND: Doxycycline postexposure prophylaxis (PEP) has been shown to prevent sexually transmitted infections (STIs) among cisgender men and transgender women, but data from trials involving cisgender women are lacking.\nMETHODS: We conducted a randomized, open-label trial comparing doxycycline PEP (doxycycline hyclate, 200 mg taken within 72 hours after condomless sex) with standard care among Kenyan women 18 to 30 years of age who were receiving preexposure prophylaxis against human immunodeficiency virus (HIV). The primary end point was any incident infection with Chlamydia trachomatis, Neisseria gonorrhoeae, or Treponema pallidum. Hair samples were collected quarterly for objective assessment of doxycycline use.\nRESULTS: A total of 449 participants underwent randomization; 224 were assigned to the doxycycline-PEP group and 225 to the standard-care group. Participants were followed quarterly over 12 months. A total of 109 incident STIs occurred (50 in the doxycycline-PEP group [25.1 per 100 person-years] and 59 in the standard-care group [29.0 per 100 person-years]), with no significant between-group difference in incidence (relative risk, 0.88; 95% confidence interval [CI], 0.60 to 1.29; P = 0.51). Among the 109 incident STIs, chlamydia accounted for 85 (78.0%) (35 in the doxycycline-PEP group and 50 in the standard-care group; relative risk, 0.73; 95% CI, 0.47 to 1.13). No serious adverse events were considered by the trial investigators to be related to doxycycline, and there were no incident HIV infections. Among 50 randomly selected participants in the doxycycline-PEP group, doxycycline was detected in 58 of 200 hair samples (29.0%). All N. gonorrhoeae-positive isolates were resistant to doxycycline.\nCONCLUSIONS: Among cisgender women, the incidence of STIs was not significantly lower with doxycycline PEP than with standard care. According to hair-sample analysis, the use of doxycycline PEP among those assigned to receive it was low. (Funded by the National Institutes of Health; dPEP ClinicalTrials.gov number, NCT04050540.).","container-title":"The New England Journal of Medicine","DOI":"10.1056/NEJMoa2304007","ISSN":"1533-4406","issue":"25","journalAbbreviation":"N Engl J Med","language":"eng","note":"PMID: 38118022\nPMCID: PMC10805625","page":"2331-2340","source":"PubMed","title":"Doxycycline Prophylaxis to Prevent Sexually Transmitted Infections in Women","volume":"389","author":[{"family":"Stewart","given":"Jenell"},{"family":"Oware","given":"Kevin"},{"family":"Donnell","given":"Deborah"},{"family":"Violette","given":"Lauren R."},{"family":"Odoyo","given":"Josephine"},{"family":"Soge","given":"Olusegun O."},{"family":"Scoville","given":"Caitlin W."},{"family":"Omollo","given":"Victor"},{"family":"Mogaka","given":"Felix O."},{"family":"Sesay","given":"Fredericka A."},{"family":"McClelland","given":"R. Scott"},{"family":"Spinelli","given":"Matthew"},{"family":"Gandhi","given":"Monica"},{"family":"Bukusi","given":"Elizabeth A."},{"family":"Baeten","given":"Jared M."},{"literal":"dPEP Kenya Study Team"}],"issued":{"date-parts":[["2023",12,21]]}}}],"schema":"https://github.com/citation-style-language/schema/raw/master/csl-citation.json"} </w:instrText>
      </w:r>
      <w:r w:rsidR="00A82B3B" w:rsidRPr="008E5AB8">
        <w:rPr>
          <w:sz w:val="20"/>
          <w:szCs w:val="20"/>
        </w:rPr>
        <w:fldChar w:fldCharType="separate"/>
      </w:r>
      <w:r w:rsidR="00EF4218">
        <w:rPr>
          <w:noProof/>
          <w:sz w:val="20"/>
          <w:szCs w:val="20"/>
        </w:rPr>
        <w:t>[16]</w:t>
      </w:r>
      <w:r w:rsidR="00A82B3B" w:rsidRPr="008E5AB8">
        <w:rPr>
          <w:sz w:val="20"/>
          <w:szCs w:val="20"/>
        </w:rPr>
        <w:fldChar w:fldCharType="end"/>
      </w:r>
      <w:r w:rsidR="00A82B3B" w:rsidRPr="008E5AB8">
        <w:rPr>
          <w:sz w:val="20"/>
          <w:szCs w:val="20"/>
        </w:rPr>
        <w:t xml:space="preserve"> </w:t>
      </w:r>
      <w:r w:rsidRPr="008E5AB8">
        <w:rPr>
          <w:sz w:val="20"/>
          <w:szCs w:val="20"/>
        </w:rPr>
        <w:t>ha</w:t>
      </w:r>
      <w:r w:rsidR="00211291" w:rsidRPr="008E5AB8">
        <w:rPr>
          <w:sz w:val="20"/>
          <w:szCs w:val="20"/>
        </w:rPr>
        <w:t>s</w:t>
      </w:r>
      <w:r w:rsidRPr="008E5AB8">
        <w:rPr>
          <w:sz w:val="20"/>
          <w:szCs w:val="20"/>
        </w:rPr>
        <w:t xml:space="preserve"> demonstrated high efficacy </w:t>
      </w:r>
      <w:r w:rsidR="00944C7A">
        <w:rPr>
          <w:sz w:val="20"/>
          <w:szCs w:val="20"/>
        </w:rPr>
        <w:t xml:space="preserve">of doxy-PEP </w:t>
      </w:r>
      <w:r w:rsidRPr="008E5AB8">
        <w:rPr>
          <w:sz w:val="20"/>
          <w:szCs w:val="20"/>
        </w:rPr>
        <w:t>in lowering the incidence of syphilis among MSM</w:t>
      </w:r>
      <w:r w:rsidR="00A82B3B" w:rsidRPr="008E5AB8">
        <w:rPr>
          <w:sz w:val="20"/>
          <w:szCs w:val="20"/>
        </w:rPr>
        <w:t xml:space="preserve"> and cisgender women</w:t>
      </w:r>
      <w:r w:rsidR="005D77AD" w:rsidRPr="008E5AB8">
        <w:rPr>
          <w:sz w:val="20"/>
          <w:szCs w:val="20"/>
        </w:rPr>
        <w:t xml:space="preserve">. </w:t>
      </w:r>
      <w:r w:rsidR="00370844" w:rsidRPr="008E5AB8">
        <w:rPr>
          <w:sz w:val="20"/>
          <w:szCs w:val="20"/>
        </w:rPr>
        <w:t>Additionally</w:t>
      </w:r>
      <w:r w:rsidR="001B46FD" w:rsidRPr="008E5AB8">
        <w:rPr>
          <w:sz w:val="20"/>
          <w:szCs w:val="20"/>
        </w:rPr>
        <w:t xml:space="preserve">, the implementation of doxy-PEP guidelines </w:t>
      </w:r>
      <w:r w:rsidR="003867E3" w:rsidRPr="008E5AB8">
        <w:rPr>
          <w:sz w:val="20"/>
          <w:szCs w:val="20"/>
        </w:rPr>
        <w:t xml:space="preserve">in San Francisco, California, </w:t>
      </w:r>
      <w:r w:rsidR="001B46FD" w:rsidRPr="008E5AB8">
        <w:rPr>
          <w:sz w:val="20"/>
          <w:szCs w:val="20"/>
        </w:rPr>
        <w:t xml:space="preserve">was linked to a decline in reported cases of early syphilis </w:t>
      </w:r>
      <w:r w:rsidR="005520F2" w:rsidRPr="008E5AB8">
        <w:rPr>
          <w:sz w:val="20"/>
          <w:szCs w:val="20"/>
        </w:rPr>
        <w:t xml:space="preserve">among MSM and </w:t>
      </w:r>
      <w:r w:rsidR="00A95C03" w:rsidRPr="008E5AB8">
        <w:rPr>
          <w:sz w:val="20"/>
          <w:szCs w:val="20"/>
        </w:rPr>
        <w:t xml:space="preserve">transgender women </w:t>
      </w:r>
      <w:r w:rsidR="001B46FD" w:rsidRPr="008E5AB8">
        <w:rPr>
          <w:sz w:val="20"/>
          <w:szCs w:val="20"/>
        </w:rPr>
        <w:fldChar w:fldCharType="begin"/>
      </w:r>
      <w:r w:rsidR="00EF4218">
        <w:rPr>
          <w:sz w:val="20"/>
          <w:szCs w:val="20"/>
        </w:rPr>
        <w:instrText xml:space="preserve"> ADDIN ZOTERO_ITEM CSL_CITATION {"citationID":"uWCOrylf","properties":{"formattedCitation":"[17]","plainCitation":"[17]","noteIndex":0},"citationItems":[{"id":35,"uris":["http://zotero.org/users/9663344/items/PFNR5NPJ"],"itemData":{"id":35,"type":"article-journal","abstract":"Increasing rates of sexually transmitted infections (STIs) have been associated with rises in serious morbidity. While doxycycline postexposure prophylaxis (doxyPEP), a strategy in which individuals take doxycycline, 200 mg, after condomless sex to prevent bacterial STIs, has been shown to be efficacious in randomized clinical trials, doxyPEP’s potential effect on population-level STI incidence is unknown.To assess the association of citywide doxyPEP guideline release with reported chlamydia, gonorrhea, and early syphilis cases in men who have sex with men (MSM) and in transgender women in San Francisco, California.This population-level interrupted time series analysis of reported San Francisco STI cases measured monthly cases of chlamydia, gonorrhea, and early syphilis prior to (July 2021-October 2022) and after (November 2022-November 2023) release of citywide doxyPEP guidelines in October 2022. All reported chlamydia, gonorrhea, and early syphilis cases among MSM and transgender women in San Francisco during the period of analysis were included. Data were analyzed November 2023 to July 2024.Release of doxyPEP citywide guidelines.The primary outcome was the percentage change between projected and observed chlamydia, gonorrhea, and early syphilis cases in the 13-month postexposure period.Citywide, there were 6694 cases of chlamydia, 9603 cases of gonorrhea, and 2121 cases of early syphilis among MSM and transgender women during the analytic period. STI cases among MSM and transgender women decreased significantly compared with model projections for chlamydia (−6.58% per month; 95% CI, −7.99% to −5.16%) and early syphilis (−2.68% per month; 95% CI, −3.75% to −1.60%) after doxyPEP implementation. By the end of the 13-month postperiod in November 2023, chlamydia and early syphilis cases decreased −49.64% (95% CI, −59.05% to −38.06%) and −51.39% (95% CI, −58.21% to −43.46%), respectively, compared with projected cases. There was a significant increase in monthly gonorrhea cases compared with projections (1.77% per month; 95% CI, 0.87% to 2.67%).This study suggests that San Francisco’s doxyPEP guideline release was associated with decreases in reported cases of chlamydia and early syphilis, but not gonorrhea, among MSM and transgender women in San Francisco. Further analyses are needed to assess whether declines are sustained and monitor for adverse consequences, including antimicrobial resistance. Supporting doxyPEP implementation for MSM and transgender women at risk for STIs could have a significant impact on the nationwide STI epidemic.","container-title":"JAMA Internal Medicine","DOI":"10.1001/jamainternmed.2024.7178","ISSN":"2168-6106","journalAbbreviation":"JAMA Internal Medicine","source":"Silverchair","title":"Doxycycline Postexposure Prophylaxis and Sexually Transmitted Infection Trends","URL":"https://doi.org/10.1001/jamainternmed.2024.7178","author":[{"family":"Sankaran","given":"Madeline"},{"family":"Glidden","given":"David V."},{"family":"Kohn","given":"Robert P."},{"family":"Nguyen","given":"Trang Q."},{"family":"Bacon","given":"Oliver"},{"family":"Buchbinder","given":"Susan P."},{"family":"Gandhi","given":"Monica"},{"family":"Havlir","given":"Diane V."},{"family":"Liebi","given":"Courtney"},{"family":"Luetkemeyer","given":"Anne F."},{"family":"Nguyen","given":"Janet Q."},{"family":"Roman","given":"Jorge"},{"family":"Scott","given":"Hyman"},{"family":"Torres","given":"Thiago S."},{"family":"Cohen","given":"Stephanie E."}],"accessed":{"date-parts":[["2025",2,9]]},"issued":{"date-parts":[["2025",1,6]]}}}],"schema":"https://github.com/citation-style-language/schema/raw/master/csl-citation.json"} </w:instrText>
      </w:r>
      <w:r w:rsidR="001B46FD" w:rsidRPr="008E5AB8">
        <w:rPr>
          <w:sz w:val="20"/>
          <w:szCs w:val="20"/>
        </w:rPr>
        <w:fldChar w:fldCharType="separate"/>
      </w:r>
      <w:r w:rsidR="00EF4218">
        <w:rPr>
          <w:noProof/>
          <w:sz w:val="20"/>
          <w:szCs w:val="20"/>
        </w:rPr>
        <w:t>[17]</w:t>
      </w:r>
      <w:r w:rsidR="001B46FD" w:rsidRPr="008E5AB8">
        <w:rPr>
          <w:sz w:val="20"/>
          <w:szCs w:val="20"/>
        </w:rPr>
        <w:fldChar w:fldCharType="end"/>
      </w:r>
      <w:r w:rsidR="002861C7" w:rsidRPr="008E5AB8">
        <w:rPr>
          <w:sz w:val="20"/>
          <w:szCs w:val="20"/>
        </w:rPr>
        <w:t xml:space="preserve">. </w:t>
      </w:r>
      <w:r w:rsidR="00E37098" w:rsidRPr="008E5AB8">
        <w:rPr>
          <w:sz w:val="20"/>
          <w:szCs w:val="20"/>
        </w:rPr>
        <w:t>A retrospective cohort study at Kaiser Permanente Northern California</w:t>
      </w:r>
      <w:r w:rsidR="009C5758" w:rsidRPr="008E5AB8">
        <w:rPr>
          <w:sz w:val="20"/>
          <w:szCs w:val="20"/>
        </w:rPr>
        <w:t xml:space="preserve"> </w:t>
      </w:r>
      <w:r w:rsidR="00E37098" w:rsidRPr="008E5AB8">
        <w:rPr>
          <w:sz w:val="20"/>
          <w:szCs w:val="20"/>
        </w:rPr>
        <w:t xml:space="preserve">further found that doxy-PEP use was linked to significant reductions in syphilis incidence among </w:t>
      </w:r>
      <w:r w:rsidR="005412D7" w:rsidRPr="008E5AB8">
        <w:rPr>
          <w:sz w:val="20"/>
          <w:szCs w:val="20"/>
        </w:rPr>
        <w:t xml:space="preserve">HIV </w:t>
      </w:r>
      <w:r w:rsidR="00ED6FFD" w:rsidRPr="008E5AB8">
        <w:rPr>
          <w:sz w:val="20"/>
          <w:szCs w:val="20"/>
        </w:rPr>
        <w:t>pre-exposure prophylaxis (PrEP)</w:t>
      </w:r>
      <w:r w:rsidR="00E37098" w:rsidRPr="008E5AB8">
        <w:rPr>
          <w:sz w:val="20"/>
          <w:szCs w:val="20"/>
        </w:rPr>
        <w:t xml:space="preserve"> users</w:t>
      </w:r>
      <w:r w:rsidR="005412D7" w:rsidRPr="008E5AB8">
        <w:rPr>
          <w:sz w:val="20"/>
          <w:szCs w:val="20"/>
        </w:rPr>
        <w:t xml:space="preserve"> </w:t>
      </w:r>
      <w:r w:rsidR="005412D7" w:rsidRPr="008E5AB8">
        <w:rPr>
          <w:sz w:val="20"/>
          <w:szCs w:val="20"/>
        </w:rPr>
        <w:fldChar w:fldCharType="begin"/>
      </w:r>
      <w:r w:rsidR="00EF4218">
        <w:rPr>
          <w:sz w:val="20"/>
          <w:szCs w:val="20"/>
        </w:rPr>
        <w:instrText xml:space="preserve"> ADDIN ZOTERO_ITEM CSL_CITATION {"citationID":"WwVqnZUS","properties":{"formattedCitation":"[18]","plainCitation":"[18]","noteIndex":0},"citationItems":[{"id":34,"uris":["http://zotero.org/users/9663344/items/MTJW2Y3G"],"itemData":{"id":34,"type":"article-journal","abstract":"Doxycycline postexposure prophylaxis (doxyPEP) has been shown to decrease the incidence of bacterial sexually transmitted infections (STIs) among people assigned male sex at birth in clinical trials, but data from clinical practice are limited.To describe early uptake of doxyPEP and evaluate changes in STI incidence following doxyPEP initiation.This retrospective cohort study of adults (aged ≥18 years) dispensed HIV preexposure prophylaxis (PrEP) at Kaiser Permanente Northern California during November 1, 2022, to December 31, 2023, examined electronic health record data to compare HIV PrEP users dispensed and not dispensed doxyPEP and rates of bacterial STIs before and after starting doxyPEP. Individuals were followed up from their first recorded STI test on or after November 1, 2020, until December 31, 2023, or discontinuation of health plan membership.Pharmacy dispensing data were used to define doxyPEP recipients.Demographic and clinical characteristics were compared between individuals dispensed and not dispensed doxyPEP. Primary outcomes were incident chlamydia, gonorrhea, or infectious syphilis measured as quarterly STI positivity (proportion of individuals testing positive at least once per quarter). Among doxyPEP recipients, rate ratios (RRs) compared mean quarterly STI positivity from 24 months before to 12 months after starting doxyPEP. In an exploratory analysis, STI trends were evaluated for the full cohort, stratified by receipt of doxyPEP.Among 11 551 HIV PrEP users (mean [SD] age, 39.9 [12.1] years; 95.1% male), 2253 (19.5%) were dispensed doxyPEP, of whom 2228 (98.9%) were male and 1096 (48.6%) had an STI in the year before starting doxyPEP. Compared with individuals not dispensed doxyPEP, doxyPEP recipients were older (mean [SD] age, 40.4 [10.8] vs 39.8 [12.4] years; P = .04) and had used HIV PrEP longer (mean [SD], 4.2 [2.8] vs 3.4 [2.6] years; P &amp;lt; .001), and a higher proportion were commercially insured (2091 [92.8%] vs 8270 [88.9%]; P &amp;lt; .001). Among doxyPEP recipients, quarterly chlamydia positivity decreased from 9.6% (95% CI, 9.0%-10.3%) before starting doxyPEP to 2.0% (95% CI, 1.5%-2.6%) after starting doxyPEP (RR, 0.21; 95% CI, 0.16-0.27; P &amp;lt; .001), with significant declines for each anatomic site of infection. Quarterly gonorrhea positivity decreased from 10.2% (95% CI, 9.6%-10.9%) before starting doxyPEP to 9.0% (95% CI, 8.0%-10.1%) after starting doxyPEP (RR, 0.88; 95% CI, 0.77-1.00; P = .048); site-specific declines were significant for rectal (RR, 0.81; 95% CI, 0.67-0.97; P = .02) and urethral (RR, 0.56; 95% CI, 0.40-0.79; P = .001) gonorrhea, but not pharyngeal gonorrhea. Quarterly syphilis positivity decreased from 1.7% (95% CI, 1.4%-1.9%) before starting doxyPEP to 0.3% (95% CI, 0.2%-0.6%) after starting doxyPEP (RR, 0.20; 95% CI, 0.11-0.37; P &amp;lt; .001). Positivity for STIs remained stable in individuals not dispensed doxyPEP.This study found that receipt of doxyPEP was associated with substantial declines in chlamydia and syphilis incidence and modest declines in urethral and rectal gonorrhea incidence among individuals using HIV PrEP. These findings suggest that doxyPEP may offer substantial benefits for reducing population-level STI transmission with broader implementation.","container-title":"JAMA Internal Medicine","DOI":"10.1001/jamainternmed.2024.7186","ISSN":"2168-6106","journalAbbreviation":"JAMA Internal Medicine","source":"Silverchair","title":"Doxycycline Postexposure Prophylaxis and Bacterial Sexually Transmitted Infections Among Individuals Using HIV Preexposure Prophylaxis","URL":"https://doi.org/10.1001/jamainternmed.2024.7186","author":[{"family":"Traeger","given":"Michael W."},{"family":"Leyden","given":"Wendy A."},{"family":"Volk","given":"Jonathan E."},{"family":"Silverberg","given":"Michael J."},{"family":"Horberg","given":"Michael A."},{"family":"Davis","given":"Teaniese L."},{"family":"Mayer","given":"Kenneth H."},{"family":"Krakower","given":"Douglas S."},{"family":"Young","given":"Jessica G."},{"family":"Jenness","given":"Samuel M."},{"family":"Marcus","given":"Julia L."}],"accessed":{"date-parts":[["2025",2,9]]},"issued":{"date-parts":[["2025",1,6]]}}}],"schema":"https://github.com/citation-style-language/schema/raw/master/csl-citation.json"} </w:instrText>
      </w:r>
      <w:r w:rsidR="005412D7" w:rsidRPr="008E5AB8">
        <w:rPr>
          <w:sz w:val="20"/>
          <w:szCs w:val="20"/>
        </w:rPr>
        <w:fldChar w:fldCharType="separate"/>
      </w:r>
      <w:r w:rsidR="00EF4218">
        <w:rPr>
          <w:noProof/>
          <w:sz w:val="20"/>
          <w:szCs w:val="20"/>
        </w:rPr>
        <w:t>[18]</w:t>
      </w:r>
      <w:r w:rsidR="005412D7" w:rsidRPr="008E5AB8">
        <w:rPr>
          <w:sz w:val="20"/>
          <w:szCs w:val="20"/>
        </w:rPr>
        <w:fldChar w:fldCharType="end"/>
      </w:r>
      <w:r w:rsidR="00E37098" w:rsidRPr="008E5AB8">
        <w:rPr>
          <w:sz w:val="20"/>
          <w:szCs w:val="20"/>
        </w:rPr>
        <w:t xml:space="preserve">. </w:t>
      </w:r>
      <w:r w:rsidR="005D77AD" w:rsidRPr="008E5AB8">
        <w:rPr>
          <w:sz w:val="20"/>
          <w:szCs w:val="20"/>
        </w:rPr>
        <w:t>Ongoing studies in Canada and Australia aim to further evaluate its effectiveness and broader implications</w:t>
      </w:r>
      <w:r w:rsidR="00096D4A" w:rsidRPr="008E5AB8">
        <w:rPr>
          <w:sz w:val="20"/>
          <w:szCs w:val="20"/>
        </w:rPr>
        <w:t xml:space="preserve"> </w:t>
      </w:r>
      <w:r w:rsidR="00096D4A" w:rsidRPr="008E5AB8">
        <w:rPr>
          <w:sz w:val="20"/>
          <w:szCs w:val="20"/>
        </w:rPr>
        <w:fldChar w:fldCharType="begin"/>
      </w:r>
      <w:r w:rsidR="00EF4218">
        <w:rPr>
          <w:sz w:val="20"/>
          <w:szCs w:val="20"/>
        </w:rPr>
        <w:instrText xml:space="preserve"> ADDIN ZOTERO_ITEM CSL_CITATION {"citationID":"3BRTuGqV","properties":{"formattedCitation":"[19], [20]","plainCitation":"[19], [20]","noteIndex":0},"citationItems":[{"id":39,"uris":["http://zotero.org/users/9663344/items/VLL9BCGH"],"itemData":{"id":39,"type":"article-journal","abstract":"Bacterial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D"}],"issued":{"date-parts":[["2020",3,3]]}}},{"id":36,"uris":["http://zotero.org/users/9663344/items/8PMTAJBP"],"itemData":{"id":36,"type":"article-journal","abstract":"Over the past 2 decades, cases of sexually transmitted infections (STIs) from syphilis, gonorrhea, and chlamydia have been rising in the United States, disproportionately among gay, bisexual, and other men who have sex with men, as well as racial and ethnic minorities of all genders. In this review, we address updates about the evidence on doxycycline postexposure prophylaxis for prevention of bacterial STIs, including efficacy, safety, antimicrobial resistance, acceptability, modeling population impact, and evolving guidelines for use. Equitable implementation of doxycycline postexposure prophylaxis will require evaluation of who is offered and initiates it, understanding patterns of use and longer term STI incidence and antimicrobial resistance, provider training, and tailored community education.","container-title":"Clinical Infectious Diseases","DOI":"10.1093/cid/ciae062","ISSN":"1058-4838","journalAbbreviation":"Clinical Infectious Diseases","page":"ciae062","source":"Silverchair","title":"Filling in the Gaps: Updates on Doxycycline Prophylaxis for Bacterial Sexually Transmitted Infections","title-short":"Filling in the Gaps","author":[{"family":"Hazra","given":"Aniruddha"},{"family":"McNulty","given":"Moira C"},{"family":"Pyra","given":"Maria"},{"family":"Pagkas-Bather","given":"Jade"},{"family":"Gutierrez","given":"Jose I"},{"family":"Pickett","given":"Jim"},{"family":"Stewart","given":"Jenell"},{"family":"Bolan","given":"Robert K"},{"family":"Molina","given":"Jean-Michel"},{"family":"Celum","given":"Connie"},{"family":"Luetkemeyer","given":"Anne F"},{"family":"Klausner","given":"Jeffrey D"}],"issued":{"date-parts":[["2024",2,9]]}}}],"schema":"https://github.com/citation-style-language/schema/raw/master/csl-citation.json"} </w:instrText>
      </w:r>
      <w:r w:rsidR="00096D4A" w:rsidRPr="008E5AB8">
        <w:rPr>
          <w:sz w:val="20"/>
          <w:szCs w:val="20"/>
        </w:rPr>
        <w:fldChar w:fldCharType="separate"/>
      </w:r>
      <w:r w:rsidR="00EF4218">
        <w:rPr>
          <w:noProof/>
          <w:sz w:val="20"/>
          <w:szCs w:val="20"/>
        </w:rPr>
        <w:t>[19], [20]</w:t>
      </w:r>
      <w:r w:rsidR="00096D4A" w:rsidRPr="008E5AB8">
        <w:rPr>
          <w:sz w:val="20"/>
          <w:szCs w:val="20"/>
        </w:rPr>
        <w:fldChar w:fldCharType="end"/>
      </w:r>
      <w:r w:rsidRPr="008E5AB8">
        <w:rPr>
          <w:sz w:val="20"/>
          <w:szCs w:val="20"/>
        </w:rPr>
        <w:t>.</w:t>
      </w:r>
      <w:r w:rsidR="00BF5C85" w:rsidRPr="008E5AB8">
        <w:rPr>
          <w:sz w:val="20"/>
          <w:szCs w:val="20"/>
        </w:rPr>
        <w:t xml:space="preserve"> </w:t>
      </w:r>
      <w:r w:rsidR="00435011">
        <w:rPr>
          <w:sz w:val="20"/>
          <w:szCs w:val="20"/>
        </w:rPr>
        <w:t>Furthermore, a</w:t>
      </w:r>
      <w:r w:rsidR="0004249C" w:rsidRPr="008E5AB8">
        <w:rPr>
          <w:sz w:val="20"/>
          <w:szCs w:val="20"/>
        </w:rPr>
        <w:t xml:space="preserve">n analysis of electronic health records estimated that implementing doxy-PEP for individuals with bacterial STIs, particularly those with concurrent or recurrent infections, could substantially lower overall STI rates among gay, bisexual, and other men who have sex with men (GBM), transgender women, and nonbinary individuals assigned male at birth who accessed STI testing at a community health centre </w:t>
      </w:r>
      <w:r w:rsidR="00597BA4" w:rsidRPr="008E5AB8">
        <w:rPr>
          <w:sz w:val="20"/>
          <w:szCs w:val="20"/>
        </w:rPr>
        <w:t>in Boston, Ma</w:t>
      </w:r>
      <w:r w:rsidR="007F4E48" w:rsidRPr="008E5AB8">
        <w:rPr>
          <w:sz w:val="20"/>
          <w:szCs w:val="20"/>
        </w:rPr>
        <w:t xml:space="preserve">ssachusetts </w:t>
      </w:r>
      <w:r w:rsidR="00044A68" w:rsidRPr="008E5AB8">
        <w:rPr>
          <w:sz w:val="20"/>
          <w:szCs w:val="20"/>
        </w:rPr>
        <w:fldChar w:fldCharType="begin"/>
      </w:r>
      <w:r w:rsidR="00EF4218">
        <w:rPr>
          <w:sz w:val="20"/>
          <w:szCs w:val="20"/>
        </w:rPr>
        <w:instrText xml:space="preserve"> ADDIN ZOTERO_ITEM CSL_CITATION {"citationID":"Qh5bNSMC","properties":{"formattedCitation":"[21]","plainCitation":"[21]","noteIndex":0},"citationItems":[{"id":41,"uris":["http://zotero.org/users/9663344/items/GVDWMHDY"],"itemData":{"id":41,"type":"article-journal","abstract":"Doxycycline post-exposure prophylaxis (doxyPEP) reduces bacterial sexually transmitted infection (STI) incidence in people with HIV (PWH) or using HIV pre-exposure prophylaxis (PrEP). Given concerns about widespread antibiotic use, we identified doxyPEP prescribing strategies to minimize use while maximizing impact on STIs.We used electronic health records of gay and bisexual men (GBM), transgender women, and nonbinary people assigned male sex at birth with ≥2 STI tests (chlamydia, gonorrhea, syphilis) at an LGBTQ-focused health center during 2015–2020. We defined 10 hypothetical doxyPEP prescribing strategies based on PrEP use, HIV status, or STI history. We estimated doxyPEP use and STI diagnoses averted in counterfactual scenarios in which people meeting prescribing criteria received doxyPEP, assuming STI rates during use would have been reduced by clinical trial efficacy estimates.Among 10 546 individuals (94% GBM), rate of any STI was 35.9/100 person-years. Prescribing doxyPEP to all individuals would have averted 71% of STI diagnoses (number needed to treat for one year to avert one STI diagnosis [NNT] = 3.9); prescribing to PrEP users/PWH (52%/12% of individuals) would have averted 60% of STI diagnoses (NNT = 2.9). Prescribing doxyPEP for 12 months after STI diagnosis would have reduced the proportion using doxyPEP to 38% and averted 39% of STI diagnoses (NNT = 2.4). Prescribing after concurrent or repeated STIs maximized efficiency (lowest NNTs) but prevented fewer STIs.Prescribing doxyPEP to individuals with STIs, particularly concurrent or repeated STIs, could avert a substantial proportion of all STI diagnoses. The most efficient prescribing strategies are based on STI history rather than HIV status or PrEP use.","container-title":"Clinical Infectious Diseases","DOI":"10.1093/cid/ciad488","ISSN":"1058-4838","journalAbbreviation":"Clinical Infectious Diseases","page":"ciad488","source":"Silverchair","title":"Potential Impact of Doxycycline Post-exposure Prophylaxis Prescribing Strategies on Incidence of Bacterial Sexually Transmitted Infections","author":[{"family":"Traeger","given":"Michael W"},{"family":"Mayer","given":"Kenneth H"},{"family":"Krakower","given":"Douglas S"},{"family":"Gitin","given":"Sy"},{"family":"Jenness","given":"Samuel M"},{"family":"Marcus","given":"Julia L"}],"issued":{"date-parts":[["2023",8,18]]}}}],"schema":"https://github.com/citation-style-language/schema/raw/master/csl-citation.json"} </w:instrText>
      </w:r>
      <w:r w:rsidR="00044A68" w:rsidRPr="008E5AB8">
        <w:rPr>
          <w:sz w:val="20"/>
          <w:szCs w:val="20"/>
        </w:rPr>
        <w:fldChar w:fldCharType="separate"/>
      </w:r>
      <w:r w:rsidR="00EF4218">
        <w:rPr>
          <w:noProof/>
          <w:sz w:val="20"/>
          <w:szCs w:val="20"/>
        </w:rPr>
        <w:t>[21]</w:t>
      </w:r>
      <w:r w:rsidR="00044A68" w:rsidRPr="008E5AB8">
        <w:rPr>
          <w:sz w:val="20"/>
          <w:szCs w:val="20"/>
        </w:rPr>
        <w:fldChar w:fldCharType="end"/>
      </w:r>
      <w:r w:rsidR="00C931E4" w:rsidRPr="008E5AB8">
        <w:rPr>
          <w:sz w:val="20"/>
          <w:szCs w:val="20"/>
        </w:rPr>
        <w:t>.</w:t>
      </w:r>
      <w:r w:rsidR="008E5AB8">
        <w:rPr>
          <w:sz w:val="20"/>
          <w:szCs w:val="20"/>
        </w:rPr>
        <w:t xml:space="preserve"> </w:t>
      </w:r>
      <w:r w:rsidR="00435011">
        <w:rPr>
          <w:sz w:val="20"/>
          <w:szCs w:val="20"/>
        </w:rPr>
        <w:t>Additionally</w:t>
      </w:r>
      <w:r w:rsidR="008E5AB8" w:rsidRPr="008E5AB8">
        <w:rPr>
          <w:sz w:val="20"/>
          <w:szCs w:val="20"/>
        </w:rPr>
        <w:t xml:space="preserve">, </w:t>
      </w:r>
      <w:r w:rsidR="008E5AB8">
        <w:rPr>
          <w:sz w:val="20"/>
          <w:szCs w:val="20"/>
        </w:rPr>
        <w:t xml:space="preserve">preliminary </w:t>
      </w:r>
      <w:r w:rsidR="008E5AB8" w:rsidRPr="008E5AB8">
        <w:rPr>
          <w:sz w:val="20"/>
          <w:szCs w:val="20"/>
        </w:rPr>
        <w:t xml:space="preserve">modelling studies indicate that for doxy-PEP or STI PrEP to have a meaningful population-level impact, a substantial proportion of </w:t>
      </w:r>
      <w:r w:rsidR="00AC1B34">
        <w:rPr>
          <w:sz w:val="20"/>
          <w:szCs w:val="20"/>
        </w:rPr>
        <w:t>MSM</w:t>
      </w:r>
      <w:r w:rsidR="008E5AB8" w:rsidRPr="008E5AB8">
        <w:rPr>
          <w:sz w:val="20"/>
          <w:szCs w:val="20"/>
        </w:rPr>
        <w:t xml:space="preserve"> would need to use it. The greatest effect would be achieved by targeting subpopulations at higher risk of </w:t>
      </w:r>
      <w:r w:rsidR="00802A2E">
        <w:rPr>
          <w:sz w:val="20"/>
          <w:szCs w:val="20"/>
        </w:rPr>
        <w:t>STIs</w:t>
      </w:r>
      <w:r w:rsidR="008E5AB8" w:rsidRPr="008E5AB8">
        <w:rPr>
          <w:sz w:val="20"/>
          <w:szCs w:val="20"/>
        </w:rPr>
        <w:t xml:space="preserve"> </w:t>
      </w:r>
      <w:r w:rsidR="008E5AB8" w:rsidRPr="008E5AB8">
        <w:rPr>
          <w:sz w:val="20"/>
          <w:szCs w:val="20"/>
        </w:rPr>
        <w:fldChar w:fldCharType="begin"/>
      </w:r>
      <w:r w:rsidR="00EF4218">
        <w:rPr>
          <w:sz w:val="20"/>
          <w:szCs w:val="20"/>
        </w:rPr>
        <w:instrText xml:space="preserve"> ADDIN ZOTERO_ITEM CSL_CITATION {"citationID":"XXpuO3Nd","properties":{"formattedCitation":"[19], [22], [23]","plainCitation":"[19], [22], [23]","noteIndex":0},"citationItems":[{"id":39,"uris":["http://zotero.org/users/9663344/items/VLL9BCGH"],"itemData":{"id":39,"type":"article-journal","abstract":"Bacterial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D"}],"issued":{"date-parts":[["2020",3,3]]}}},{"id":31,"uris":["http://zotero.org/users/9663344/items/4XJG4MB8"],"itemData":{"id":31,"type":"article-journal","abstract":"BACKGROUND: Over the last decade, syphilis epidemics have resurged around the world, particularly among gay men. An innovative public health response could be the use of chemoprophylaxis. We sought out to determine the acceptability of syphilis chemoprophylaxis and its likely population effectiveness if it were adopted.\nMETHODS: We conducted a mixed-methods study. An online survey (n = 2095 participants) and focus groups (n = 23 participants) were conducted to determine whether syphilis chemoprophylaxis is likely to be acceptable to gay men in Australia. We also developed an individual-based mathematical model that simulated a population of gay men, to explore the potential impact of introducing chemoprophylaxis.\nRESULTS: Of the 2095 gay men surveyed, 52.7% (95% confidence interval, 50.6%-54.8%) indicated that they would be very likely or slightly likely to use chemoprophylaxis to reduce their chance of acquiring syphilis, increasing to 75.8% (95% confidence interval, 74.0%-77.6%) if chemoprophylaxis would help reduce infections in the gay community. In this model, 70% use-effectiveness of chemoprophylaxis used by 50% of gay men is expected to reduce the number of syphilis cases by </w:instrText>
      </w:r>
      <w:r w:rsidR="00EF4218">
        <w:rPr>
          <w:rFonts w:ascii="Cambria Math" w:hAnsi="Cambria Math" w:cs="Cambria Math"/>
          <w:sz w:val="20"/>
          <w:szCs w:val="20"/>
        </w:rPr>
        <w:instrText>∼</w:instrText>
      </w:r>
      <w:r w:rsidR="00EF4218">
        <w:rPr>
          <w:sz w:val="20"/>
          <w:szCs w:val="20"/>
        </w:rPr>
        <w:instrText xml:space="preserve">50% after 12 months and 85% after 10 years. The majority of the prevention efforts can be gained by targeting subpopulations of men with higher sexual activity.\nCONCLUSIONS: Chemoprophylaxis offers promise as an acceptable and effective intervention for mitigating syphilis epidemics. The outcomes of a planned placebo-controlled syphilis chemoprophylaxis trial are eagerly anticipated.","container-title":"Sexually Transmitted Diseases","DOI":"10.1097/OLQ.0b013e31820e64fd","ISSN":"1537-4521","issue":"7","journalAbbreviation":"Sex Transm Dis","language":"eng","note":"PMID: 21343845","page":"573-579","source":"PubMed","title":"Chemoprophylaxis is likely to be acceptable and could mitigate syphilis epidemics among populations of gay men","volume":"38","author":[{"family":"Wilson","given":"David P."},{"family":"Prestage","given":"Garrett P."},{"family":"Gray","given":"Richard T."},{"family":"Hoare","given":"Alexander"},{"family":"McCann","given":"Pol"},{"family":"Down","given":"Ian"},{"family":"Guy","given":"Rebecca J."},{"family":"Drummond","given":"Fraser"},{"family":"Klausner","given":"Jeffrey D."},{"family":"Donovan","given":"Basil"},{"family":"Kaldor","given":"John M."}],"issued":{"date-parts":[["2011",7]]}}},{"id":30,"uris":["http://zotero.org/users/9663344/items/7QY6WWBX"],"itemData":{"id":30,"type":"article-journal","abstract":"OBJECTIVE: High rates of sexually transmitted infections (STIs) have been reported among pre-exposure prophylaxis (PrEP) users. We wished to assess the incidence and risk factors for recurrent STIs.\nDESIGN: The ANRS IPERGAY trial was a prospective study investigating PrEP among MSM and transgender women in outpatient clinics in France and Canada. In all, 429 participants were enrolled, offered up to 4 years of PrEP and screened for bacterial STIs (syphilis, chlamydia and gonorrhea) at baseline and every 6 months.\nMETHODS: STIs incidence was calculated yearly. Cox proportional hazards model regression was used to explore associations between participants characteristics at baseline and recurrent STI during follow-up.\nRESULTS: Over a median follow-up of 23 months, bacterial STI incidence was 75, 33, 13, 32 and 30 per 100 person-years for all STIs, rectal STIs, syphilis, gonorrhea and chlamydia, respectively. STI incidence significantly increased from the first year to the fourth year of the study (55 vs. 90 per 100 person-years, P  &lt; 0.001). During the study period, 167 participants (39%) presented with more than one bacterial STIs which accounted for 86% of all STIs. Baseline risk factors associated with recurrent STIs in a multivariate analysis were an STI at baseline [hazards ratio: 1.48 (95% confidence interval (CI): 1.06-2.07), P  = 0.02], more than eight sexual partners in prior 2 months [hazards ratio: 1.72 (95% CI: 1.21-2.43), P  = 0.002] and the use of gamma-hydroxybutyrate [hazards ratio: 1.66 (95% CI: 1.16-2.38), P  = 0.005].\nCONCLUSION: STI incidence was high and increased over time. Most STIs were concentrated in a high-risk group that should be targeted for future interventions.","container-title":"AIDS (London, England)","DOI":"10.1097/QAD.0000000000003187","ISSN":"1473-5571","issue":"8","journalAbbreviation":"AIDS","language":"eng","note":"PMID: 35142708","page":"1129-1134","source":"PubMed","title":"Incidence and risk factors for recurrent sexually transmitted infections among MSM on HIV pre-exposure prophylaxis","volume":"36","author":[{"family":"Zeggagh","given":"Jérémy"},{"family":"Bauer","given":"Rebecca"},{"family":"Delaugerre","given":"Constance"},{"family":"Carette","given":"Diane"},{"family":"Fressard","given":"Lisa"},{"family":"Charreau","given":"Isabelle"},{"family":"Chidiac","given":"Christian"},{"family":"Pialoux","given":"Gilles"},{"family":"Tremblay","given":"Cécile"},{"family":"Cua","given":"Eric"},{"family":"Robineau","given":"Olivier"},{"family":"Raffi","given":"François"},{"family":"Capitant","given":"Catherine"},{"family":"Spire","given":"Bruno"},{"family":"Meyer","given":"Laurence"},{"family":"Molina","given":"Jean Michel"},{"literal":"Ipergay Study Group"}],"issued":{"date-parts":[["2022",7,1]]}}}],"schema":"https://github.com/citation-style-language/schema/raw/master/csl-citation.json"} </w:instrText>
      </w:r>
      <w:r w:rsidR="008E5AB8" w:rsidRPr="008E5AB8">
        <w:rPr>
          <w:sz w:val="20"/>
          <w:szCs w:val="20"/>
        </w:rPr>
        <w:fldChar w:fldCharType="separate"/>
      </w:r>
      <w:r w:rsidR="00EF4218">
        <w:rPr>
          <w:noProof/>
          <w:sz w:val="20"/>
          <w:szCs w:val="20"/>
        </w:rPr>
        <w:t>[19], [22], [23]</w:t>
      </w:r>
      <w:r w:rsidR="008E5AB8" w:rsidRPr="008E5AB8">
        <w:rPr>
          <w:sz w:val="20"/>
          <w:szCs w:val="20"/>
        </w:rPr>
        <w:fldChar w:fldCharType="end"/>
      </w:r>
      <w:r w:rsidR="008E5AB8" w:rsidRPr="008E5AB8">
        <w:rPr>
          <w:sz w:val="20"/>
          <w:szCs w:val="20"/>
        </w:rPr>
        <w:t xml:space="preserve">. For instance, one study </w:t>
      </w:r>
      <w:r w:rsidR="008E5AB8" w:rsidRPr="008E5AB8">
        <w:rPr>
          <w:sz w:val="20"/>
          <w:szCs w:val="20"/>
        </w:rPr>
        <w:fldChar w:fldCharType="begin"/>
      </w:r>
      <w:r w:rsidR="00EF4218">
        <w:rPr>
          <w:sz w:val="20"/>
          <w:szCs w:val="20"/>
        </w:rPr>
        <w:instrText xml:space="preserve"> ADDIN ZOTERO_ITEM CSL_CITATION {"citationID":"uCDTHCX7","properties":{"formattedCitation":"[24]","plainCitation":"[24]","noteIndex":0},"citationItems":[{"id":166,"uris":["http://zotero.org/users/9663344/items/2Y9D8KIQ"],"itemData":{"id":166,"type":"article-journal","abstract":"Background Men who have sex with men (MSM) in British Columbia (BC) are disproportionately affected by infectious syphilis and HIV. In this study, we developed a co-interaction model and evaluated the impact and effectiveness of possible interventions among different MSM subgroups on the syphilis epidemic.","container-title":"The Lancet Regional Health - Americas","DOI":"10.1016/j.lana.2024.100725","ISSN":"2667193X","journalAbbreviation":"The Lancet Regional Health - Americas","language":"en","page":"100725","source":"DOI.org (Crossref)","title":"Impact of screening and doxycycline prevention on the syphilis epidemic among men who have sex with men in British Columbia: a mathematical modelling study","title-short":"Impact of screening and doxycycline prevention on the syphilis epidemic among men who have sex with men in British Columbia","volume":"33","author":[{"family":"Zhu","given":"Jielin"},{"family":"Takeh","given":"Bronhilda T."},{"family":"David","given":"Jummy"},{"family":"Sang","given":"Jordan"},{"family":"Moore","given":"David M."},{"family":"Hull","given":"Mark"},{"family":"Grennan","given":"Troy"},{"family":"Wong","given":"Jason"},{"family":"Montaner","given":"Julio S.G."},{"family":"Lima","given":"Viviane D."}],"issued":{"date-parts":[["2024",5]]}}}],"schema":"https://github.com/citation-style-language/schema/raw/master/csl-citation.json"} </w:instrText>
      </w:r>
      <w:r w:rsidR="008E5AB8" w:rsidRPr="008E5AB8">
        <w:rPr>
          <w:sz w:val="20"/>
          <w:szCs w:val="20"/>
        </w:rPr>
        <w:fldChar w:fldCharType="separate"/>
      </w:r>
      <w:r w:rsidR="00EF4218">
        <w:rPr>
          <w:noProof/>
          <w:sz w:val="20"/>
          <w:szCs w:val="20"/>
        </w:rPr>
        <w:t>[24]</w:t>
      </w:r>
      <w:r w:rsidR="008E5AB8" w:rsidRPr="008E5AB8">
        <w:rPr>
          <w:sz w:val="20"/>
          <w:szCs w:val="20"/>
        </w:rPr>
        <w:fldChar w:fldCharType="end"/>
      </w:r>
      <w:r w:rsidR="008E5AB8" w:rsidRPr="008E5AB8">
        <w:rPr>
          <w:sz w:val="20"/>
          <w:szCs w:val="20"/>
        </w:rPr>
        <w:t xml:space="preserve"> demonstrated that doxy-PEP was particularly effective in reducing syphilis incidence among HIV PrEP users. Another analysis </w:t>
      </w:r>
      <w:r w:rsidR="008E5AB8" w:rsidRPr="008E5AB8">
        <w:rPr>
          <w:sz w:val="20"/>
          <w:szCs w:val="20"/>
        </w:rPr>
        <w:fldChar w:fldCharType="begin"/>
      </w:r>
      <w:r w:rsidR="00EF4218">
        <w:rPr>
          <w:sz w:val="20"/>
          <w:szCs w:val="20"/>
        </w:rPr>
        <w:instrText xml:space="preserve"> ADDIN ZOTERO_ITEM CSL_CITATION {"citationID":"zgjC6MW8","properties":{"formattedCitation":"[21]","plainCitation":"[21]","noteIndex":0},"citationItems":[{"id":41,"uris":["http://zotero.org/users/9663344/items/GVDWMHDY"],"itemData":{"id":41,"type":"article-journal","abstract":"Doxycycline post-exposure prophylaxis (doxyPEP) reduces bacterial sexually transmitted infection (STI) incidence in people with HIV (PWH) or using HIV pre-exposure prophylaxis (PrEP). Given concerns about widespread antibiotic use, we identified doxyPEP prescribing strategies to minimize use while maximizing impact on STIs.We used electronic health records of gay and bisexual men (GBM), transgender women, and nonbinary people assigned male sex at birth with ≥2 STI tests (chlamydia, gonorrhea, syphilis) at an LGBTQ-focused health center during 2015–2020. We defined 10 hypothetical doxyPEP prescribing strategies based on PrEP use, HIV status, or STI history. We estimated doxyPEP use and STI diagnoses averted in counterfactual scenarios in which people meeting prescribing criteria received doxyPEP, assuming STI rates during use would have been reduced by clinical trial efficacy estimates.Among 10 546 individuals (94% GBM), rate of any STI was 35.9/100 person-years. Prescribing doxyPEP to all individuals would have averted 71% of STI diagnoses (number needed to treat for one year to avert one STI diagnosis [NNT] = 3.9); prescribing to PrEP users/PWH (52%/12% of individuals) would have averted 60% of STI diagnoses (NNT = 2.9). Prescribing doxyPEP for 12 months after STI diagnosis would have reduced the proportion using doxyPEP to 38% and averted 39% of STI diagnoses (NNT = 2.4). Prescribing after concurrent or repeated STIs maximized efficiency (lowest NNTs) but prevented fewer STIs.Prescribing doxyPEP to individuals with STIs, particularly concurrent or repeated STIs, could avert a substantial proportion of all STI diagnoses. The most efficient prescribing strategies are based on STI history rather than HIV status or PrEP use.","container-title":"Clinical Infectious Diseases","DOI":"10.1093/cid/ciad488","ISSN":"1058-4838","journalAbbreviation":"Clinical Infectious Diseases","page":"ciad488","source":"Silverchair","title":"Potential Impact of Doxycycline Post-exposure Prophylaxis Prescribing Strategies on Incidence of Bacterial Sexually Transmitted Infections","author":[{"family":"Traeger","given":"Michael W"},{"family":"Mayer","given":"Kenneth H"},{"family":"Krakower","given":"Douglas S"},{"family":"Gitin","given":"Sy"},{"family":"Jenness","given":"Samuel M"},{"family":"Marcus","given":"Julia L"}],"issued":{"date-parts":[["2023",8,18]]}}}],"schema":"https://github.com/citation-style-language/schema/raw/master/csl-citation.json"} </w:instrText>
      </w:r>
      <w:r w:rsidR="008E5AB8" w:rsidRPr="008E5AB8">
        <w:rPr>
          <w:sz w:val="20"/>
          <w:szCs w:val="20"/>
        </w:rPr>
        <w:fldChar w:fldCharType="separate"/>
      </w:r>
      <w:r w:rsidR="00EF4218">
        <w:rPr>
          <w:noProof/>
          <w:sz w:val="20"/>
          <w:szCs w:val="20"/>
        </w:rPr>
        <w:t>[21]</w:t>
      </w:r>
      <w:r w:rsidR="008E5AB8" w:rsidRPr="008E5AB8">
        <w:rPr>
          <w:sz w:val="20"/>
          <w:szCs w:val="20"/>
        </w:rPr>
        <w:fldChar w:fldCharType="end"/>
      </w:r>
      <w:r w:rsidR="008E5AB8" w:rsidRPr="008E5AB8">
        <w:rPr>
          <w:sz w:val="20"/>
          <w:szCs w:val="20"/>
        </w:rPr>
        <w:t xml:space="preserve"> found that prescribing strategies based on individuals’ STI history were more effective than those based solely on HIV status or PrEP use, highlighting the importance of risk-based targeting in implementation strategies.</w:t>
      </w:r>
      <w:r w:rsidR="00BA001A">
        <w:rPr>
          <w:sz w:val="20"/>
          <w:szCs w:val="20"/>
        </w:rPr>
        <w:t xml:space="preserve"> </w:t>
      </w:r>
      <w:r w:rsidR="003F7244" w:rsidRPr="003F7244">
        <w:rPr>
          <w:sz w:val="20"/>
          <w:szCs w:val="20"/>
        </w:rPr>
        <w:t>While the efficacy and effectiveness of doxy-PEP have been demonstrated in various clinical trials and implementation studies, it remains unclear how its use will shape long-term population-level syphilis trends, especially when accounting for real-world behavioural dynamics such as uptake, adherence, and discontinuation. To date, few studies have quantified the potential long-term public health impact and efficiency of doxy-PEP under different prescribing strategies, nor have they examined how targeting high-risk groups may influence overall transmission dynamics, reduce the total number of infections, or optimise the number of prescriptions needed. It is also uncertain which implementation strategies</w:t>
      </w:r>
      <w:r w:rsidR="003F7244">
        <w:rPr>
          <w:sz w:val="20"/>
          <w:szCs w:val="20"/>
        </w:rPr>
        <w:t xml:space="preserve"> - </w:t>
      </w:r>
      <w:r w:rsidR="003F7244" w:rsidRPr="003F7244">
        <w:rPr>
          <w:sz w:val="20"/>
          <w:szCs w:val="20"/>
        </w:rPr>
        <w:t>such as prescribing doxy-PEP broadly versus focusing on subgroups with the highest behavioural risk</w:t>
      </w:r>
      <w:r w:rsidR="003F7244">
        <w:rPr>
          <w:sz w:val="20"/>
          <w:szCs w:val="20"/>
        </w:rPr>
        <w:t xml:space="preserve"> - </w:t>
      </w:r>
      <w:r w:rsidR="003F7244" w:rsidRPr="003F7244">
        <w:rPr>
          <w:sz w:val="20"/>
          <w:szCs w:val="20"/>
        </w:rPr>
        <w:t>can achieve the greatest reduction in syphilis incidence while minimising unnecessary antibiotic exposure.</w:t>
      </w:r>
    </w:p>
    <w:p w14:paraId="7375F355" w14:textId="6EA58AB7" w:rsidR="0077470F" w:rsidRDefault="003F7244" w:rsidP="00870F2C">
      <w:pPr>
        <w:spacing w:line="276" w:lineRule="auto"/>
        <w:jc w:val="both"/>
        <w:rPr>
          <w:rFonts w:ascii="Times New Roman" w:hAnsi="Times New Roman" w:cs="Times New Roman"/>
          <w:sz w:val="20"/>
          <w:szCs w:val="20"/>
        </w:rPr>
      </w:pPr>
      <w:r>
        <w:rPr>
          <w:rFonts w:ascii="Times New Roman" w:hAnsi="Times New Roman" w:cs="Times New Roman"/>
          <w:sz w:val="20"/>
          <w:szCs w:val="20"/>
        </w:rPr>
        <w:t>Thus, t</w:t>
      </w:r>
      <w:r w:rsidR="00264BF8" w:rsidRPr="005E0E48">
        <w:rPr>
          <w:rFonts w:ascii="Times New Roman" w:hAnsi="Times New Roman" w:cs="Times New Roman"/>
          <w:sz w:val="20"/>
          <w:szCs w:val="20"/>
        </w:rPr>
        <w:t xml:space="preserve">he goal of this study is to evaluate how </w:t>
      </w:r>
      <w:r w:rsidR="00FA450C">
        <w:rPr>
          <w:rFonts w:ascii="Times New Roman" w:hAnsi="Times New Roman" w:cs="Times New Roman"/>
          <w:sz w:val="20"/>
          <w:szCs w:val="20"/>
        </w:rPr>
        <w:t>doxy-PEP</w:t>
      </w:r>
      <w:r w:rsidR="00264BF8" w:rsidRPr="005E0E48">
        <w:rPr>
          <w:rFonts w:ascii="Times New Roman" w:hAnsi="Times New Roman" w:cs="Times New Roman"/>
          <w:sz w:val="20"/>
          <w:szCs w:val="20"/>
        </w:rPr>
        <w:t xml:space="preserve"> can be optimally deployed to maximize public health benefits. Specifically, we aim to ensure that individuals who are most likely to benefit from doxy-PEP have access to it, while reducing the total number of prescriptions to limit potential adverse effects. </w:t>
      </w:r>
      <w:r w:rsidR="00FA450C">
        <w:rPr>
          <w:rFonts w:ascii="Times New Roman" w:hAnsi="Times New Roman" w:cs="Times New Roman"/>
          <w:sz w:val="20"/>
          <w:szCs w:val="20"/>
        </w:rPr>
        <w:t>More importantly, t</w:t>
      </w:r>
      <w:r w:rsidR="00264BF8" w:rsidRPr="005E0E48">
        <w:rPr>
          <w:rFonts w:ascii="Times New Roman" w:hAnsi="Times New Roman" w:cs="Times New Roman"/>
          <w:sz w:val="20"/>
          <w:szCs w:val="20"/>
        </w:rPr>
        <w:t xml:space="preserve">o date, few comprehensive population-level modelling studies have explored the </w:t>
      </w:r>
      <w:r w:rsidR="0077470F">
        <w:rPr>
          <w:rFonts w:ascii="Times New Roman" w:hAnsi="Times New Roman" w:cs="Times New Roman"/>
          <w:sz w:val="20"/>
          <w:szCs w:val="20"/>
        </w:rPr>
        <w:t xml:space="preserve">long-term </w:t>
      </w:r>
      <w:r w:rsidR="00264BF8" w:rsidRPr="005E0E48">
        <w:rPr>
          <w:rFonts w:ascii="Times New Roman" w:hAnsi="Times New Roman" w:cs="Times New Roman"/>
          <w:sz w:val="20"/>
          <w:szCs w:val="20"/>
        </w:rPr>
        <w:t>transmission dynamics of syphilis in the context of doxy-PEP as a preventive intervention.</w:t>
      </w:r>
    </w:p>
    <w:p w14:paraId="25D7178D" w14:textId="0065B159" w:rsidR="0091436E" w:rsidRDefault="00264BF8" w:rsidP="00870F2C">
      <w:pPr>
        <w:spacing w:line="276" w:lineRule="auto"/>
        <w:jc w:val="both"/>
        <w:rPr>
          <w:rFonts w:ascii="Times New Roman" w:hAnsi="Times New Roman" w:cs="Times New Roman"/>
          <w:sz w:val="20"/>
          <w:szCs w:val="20"/>
        </w:rPr>
      </w:pPr>
      <w:r w:rsidRPr="005E0E48">
        <w:rPr>
          <w:rFonts w:ascii="Times New Roman" w:hAnsi="Times New Roman" w:cs="Times New Roman"/>
          <w:sz w:val="20"/>
          <w:szCs w:val="20"/>
        </w:rPr>
        <w:t>This study addresses th</w:t>
      </w:r>
      <w:r w:rsidR="007F53AA">
        <w:rPr>
          <w:rFonts w:ascii="Times New Roman" w:hAnsi="Times New Roman" w:cs="Times New Roman"/>
          <w:sz w:val="20"/>
          <w:szCs w:val="20"/>
        </w:rPr>
        <w:t>at</w:t>
      </w:r>
      <w:r w:rsidRPr="005E0E48">
        <w:rPr>
          <w:rFonts w:ascii="Times New Roman" w:hAnsi="Times New Roman" w:cs="Times New Roman"/>
          <w:sz w:val="20"/>
          <w:szCs w:val="20"/>
        </w:rPr>
        <w:t xml:space="preserve"> gap by developing a behavioural transmission-dynamic model of doxy-PEP for syphilis, calibrated to multiple epidemiological data streams from both Singapore and England.</w:t>
      </w:r>
      <w:r w:rsidR="0077470F">
        <w:rPr>
          <w:rFonts w:ascii="Times New Roman" w:hAnsi="Times New Roman" w:cs="Times New Roman"/>
          <w:sz w:val="20"/>
          <w:szCs w:val="20"/>
        </w:rPr>
        <w:t xml:space="preserve"> These two countries with stabilising and increasing incidence of syphilis were used to compare the performance of different population-health strategies to prescribe doxy-PEP in changing epidemiological contexts.</w:t>
      </w:r>
      <w:r w:rsidRPr="005E0E48">
        <w:rPr>
          <w:rFonts w:ascii="Times New Roman" w:hAnsi="Times New Roman" w:cs="Times New Roman"/>
          <w:sz w:val="20"/>
          <w:szCs w:val="20"/>
        </w:rPr>
        <w:t xml:space="preserve"> </w:t>
      </w:r>
      <w:r w:rsidR="0077470F">
        <w:rPr>
          <w:rFonts w:ascii="Times New Roman" w:hAnsi="Times New Roman" w:cs="Times New Roman"/>
          <w:sz w:val="20"/>
          <w:szCs w:val="20"/>
        </w:rPr>
        <w:t>To examine long-run impacts, t</w:t>
      </w:r>
      <w:r w:rsidRPr="005E0E48">
        <w:rPr>
          <w:rFonts w:ascii="Times New Roman" w:hAnsi="Times New Roman" w:cs="Times New Roman"/>
          <w:sz w:val="20"/>
          <w:szCs w:val="20"/>
        </w:rPr>
        <w:t>he model project</w:t>
      </w:r>
      <w:r w:rsidR="0077470F">
        <w:rPr>
          <w:rFonts w:ascii="Times New Roman" w:hAnsi="Times New Roman" w:cs="Times New Roman"/>
          <w:sz w:val="20"/>
          <w:szCs w:val="20"/>
        </w:rPr>
        <w:t>s</w:t>
      </w:r>
      <w:r w:rsidRPr="005E0E48">
        <w:rPr>
          <w:rFonts w:ascii="Times New Roman" w:hAnsi="Times New Roman" w:cs="Times New Roman"/>
          <w:sz w:val="20"/>
          <w:szCs w:val="20"/>
        </w:rPr>
        <w:t xml:space="preserve"> syphilis trends over </w:t>
      </w:r>
      <w:r w:rsidR="008C66A3">
        <w:rPr>
          <w:rFonts w:ascii="Times New Roman" w:hAnsi="Times New Roman" w:cs="Times New Roman"/>
          <w:sz w:val="20"/>
          <w:szCs w:val="20"/>
        </w:rPr>
        <w:t xml:space="preserve">2026 to 2040 </w:t>
      </w:r>
      <w:r w:rsidRPr="005E0E48">
        <w:rPr>
          <w:rFonts w:ascii="Times New Roman" w:hAnsi="Times New Roman" w:cs="Times New Roman"/>
          <w:sz w:val="20"/>
          <w:szCs w:val="20"/>
        </w:rPr>
        <w:t>and assess the comparative public health impact, efficiency, and robustness of various doxy-PEP prescribing strategies under different behavioural scenarios</w:t>
      </w:r>
      <w:r w:rsidR="0077470F">
        <w:rPr>
          <w:rFonts w:ascii="Times New Roman" w:hAnsi="Times New Roman" w:cs="Times New Roman"/>
          <w:sz w:val="20"/>
          <w:szCs w:val="20"/>
        </w:rPr>
        <w:t xml:space="preserve">. Prescribing strategies </w:t>
      </w:r>
      <w:r w:rsidR="0077470F">
        <w:rPr>
          <w:rFonts w:ascii="Times New Roman" w:hAnsi="Times New Roman" w:cs="Times New Roman"/>
          <w:sz w:val="20"/>
          <w:szCs w:val="20"/>
        </w:rPr>
        <w:lastRenderedPageBreak/>
        <w:t>were modelled such that they could</w:t>
      </w:r>
      <w:r w:rsidR="00D1567F">
        <w:rPr>
          <w:rFonts w:ascii="Times New Roman" w:hAnsi="Times New Roman" w:cs="Times New Roman"/>
          <w:sz w:val="20"/>
          <w:szCs w:val="20"/>
        </w:rPr>
        <w:t xml:space="preserve"> be practically implemented in healthcare settings.</w:t>
      </w:r>
      <w:r w:rsidRPr="005E0E48">
        <w:rPr>
          <w:rFonts w:ascii="Times New Roman" w:hAnsi="Times New Roman" w:cs="Times New Roman"/>
          <w:sz w:val="20"/>
          <w:szCs w:val="20"/>
        </w:rPr>
        <w:t xml:space="preserve"> </w:t>
      </w:r>
      <w:r w:rsidR="0077470F">
        <w:rPr>
          <w:rFonts w:ascii="Times New Roman" w:hAnsi="Times New Roman" w:cs="Times New Roman"/>
          <w:sz w:val="20"/>
          <w:szCs w:val="20"/>
        </w:rPr>
        <w:t>Importantly</w:t>
      </w:r>
      <w:r w:rsidRPr="005E0E48">
        <w:rPr>
          <w:rFonts w:ascii="Times New Roman" w:hAnsi="Times New Roman" w:cs="Times New Roman"/>
          <w:sz w:val="20"/>
          <w:szCs w:val="20"/>
        </w:rPr>
        <w:t xml:space="preserve">, </w:t>
      </w:r>
      <w:r w:rsidR="00D1567F">
        <w:rPr>
          <w:rFonts w:ascii="Times New Roman" w:hAnsi="Times New Roman" w:cs="Times New Roman"/>
          <w:sz w:val="20"/>
          <w:szCs w:val="20"/>
        </w:rPr>
        <w:t>our</w:t>
      </w:r>
      <w:r w:rsidR="0077470F" w:rsidRPr="005E0E48">
        <w:rPr>
          <w:rFonts w:ascii="Times New Roman" w:hAnsi="Times New Roman" w:cs="Times New Roman"/>
          <w:sz w:val="20"/>
          <w:szCs w:val="20"/>
        </w:rPr>
        <w:t xml:space="preserve"> </w:t>
      </w:r>
      <w:r w:rsidR="0077470F">
        <w:rPr>
          <w:rFonts w:ascii="Times New Roman" w:hAnsi="Times New Roman" w:cs="Times New Roman"/>
          <w:sz w:val="20"/>
          <w:szCs w:val="20"/>
        </w:rPr>
        <w:t>framework also</w:t>
      </w:r>
      <w:r w:rsidR="0077470F" w:rsidRPr="005E0E48">
        <w:rPr>
          <w:rFonts w:ascii="Times New Roman" w:hAnsi="Times New Roman" w:cs="Times New Roman"/>
          <w:sz w:val="20"/>
          <w:szCs w:val="20"/>
        </w:rPr>
        <w:t xml:space="preserve"> </w:t>
      </w:r>
      <w:r w:rsidRPr="005E0E48">
        <w:rPr>
          <w:rFonts w:ascii="Times New Roman" w:hAnsi="Times New Roman" w:cs="Times New Roman"/>
          <w:sz w:val="20"/>
          <w:szCs w:val="20"/>
        </w:rPr>
        <w:t>integrates individual-level behavioural heterogeneities - such as STI screening frequency, uptake of doxy-PEP, adherence rates, and discontinuation patterns</w:t>
      </w:r>
      <w:r w:rsidR="005E0E48" w:rsidRPr="005E0E48">
        <w:rPr>
          <w:rFonts w:ascii="Times New Roman" w:hAnsi="Times New Roman" w:cs="Times New Roman"/>
          <w:sz w:val="20"/>
          <w:szCs w:val="20"/>
        </w:rPr>
        <w:t xml:space="preserve">, probability of transmission per partnership, and the degree of assortative sexual mixing </w:t>
      </w:r>
      <w:r w:rsidRPr="005E0E48">
        <w:rPr>
          <w:rFonts w:ascii="Times New Roman" w:hAnsi="Times New Roman" w:cs="Times New Roman"/>
          <w:sz w:val="20"/>
          <w:szCs w:val="20"/>
        </w:rPr>
        <w:t>- into a population-level framework to comprehensively evaluate the implementation of doxy-PEP</w:t>
      </w:r>
      <w:r w:rsidR="009A0F2F">
        <w:rPr>
          <w:rFonts w:ascii="Times New Roman" w:hAnsi="Times New Roman" w:cs="Times New Roman"/>
          <w:sz w:val="20"/>
          <w:szCs w:val="20"/>
        </w:rPr>
        <w:t>. In addition, we</w:t>
      </w:r>
      <w:r w:rsidR="00870F2C" w:rsidRPr="00870F2C">
        <w:rPr>
          <w:rFonts w:ascii="Times New Roman" w:hAnsi="Times New Roman" w:cs="Times New Roman"/>
          <w:sz w:val="20"/>
          <w:szCs w:val="20"/>
        </w:rPr>
        <w:t xml:space="preserve"> explore how key behavioural factors</w:t>
      </w:r>
      <w:r w:rsidR="00870F2C">
        <w:rPr>
          <w:rFonts w:ascii="Times New Roman" w:hAnsi="Times New Roman" w:cs="Times New Roman"/>
          <w:sz w:val="20"/>
          <w:szCs w:val="20"/>
        </w:rPr>
        <w:t xml:space="preserve"> - </w:t>
      </w:r>
      <w:r w:rsidR="00870F2C" w:rsidRPr="00870F2C">
        <w:rPr>
          <w:rFonts w:ascii="Times New Roman" w:hAnsi="Times New Roman" w:cs="Times New Roman"/>
          <w:sz w:val="20"/>
          <w:szCs w:val="20"/>
        </w:rPr>
        <w:t>such as screening rates, uptake, adherence, and discontinuation</w:t>
      </w:r>
      <w:r w:rsidR="00870F2C">
        <w:rPr>
          <w:rFonts w:ascii="Times New Roman" w:hAnsi="Times New Roman" w:cs="Times New Roman"/>
          <w:sz w:val="20"/>
          <w:szCs w:val="20"/>
        </w:rPr>
        <w:t xml:space="preserve"> - </w:t>
      </w:r>
      <w:r w:rsidR="00870F2C" w:rsidRPr="00870F2C">
        <w:rPr>
          <w:rFonts w:ascii="Times New Roman" w:hAnsi="Times New Roman" w:cs="Times New Roman"/>
          <w:sz w:val="20"/>
          <w:szCs w:val="20"/>
        </w:rPr>
        <w:t xml:space="preserve">influence the relative </w:t>
      </w:r>
      <w:r w:rsidR="00001756">
        <w:rPr>
          <w:rFonts w:ascii="Times New Roman" w:hAnsi="Times New Roman" w:cs="Times New Roman"/>
          <w:sz w:val="20"/>
          <w:szCs w:val="20"/>
        </w:rPr>
        <w:t>impact and efficiency</w:t>
      </w:r>
      <w:r w:rsidR="00870F2C" w:rsidRPr="00870F2C">
        <w:rPr>
          <w:rFonts w:ascii="Times New Roman" w:hAnsi="Times New Roman" w:cs="Times New Roman"/>
          <w:sz w:val="20"/>
          <w:szCs w:val="20"/>
        </w:rPr>
        <w:t xml:space="preserve"> of each strategy. This analysis provides a robust framework for optimizing doxy-PEP deployment in diverse epidemic settings, balancing </w:t>
      </w:r>
      <w:r w:rsidR="00D1567F">
        <w:rPr>
          <w:rFonts w:ascii="Times New Roman" w:hAnsi="Times New Roman" w:cs="Times New Roman"/>
          <w:sz w:val="20"/>
          <w:szCs w:val="20"/>
        </w:rPr>
        <w:t>population health impact and efficiency</w:t>
      </w:r>
      <w:r w:rsidR="00870F2C" w:rsidRPr="00870F2C">
        <w:rPr>
          <w:rFonts w:ascii="Times New Roman" w:hAnsi="Times New Roman" w:cs="Times New Roman"/>
          <w:sz w:val="20"/>
          <w:szCs w:val="20"/>
        </w:rPr>
        <w:t>.</w:t>
      </w:r>
    </w:p>
    <w:p w14:paraId="5D3CE654" w14:textId="2367DC59" w:rsidR="0091436E" w:rsidRDefault="0091436E" w:rsidP="004D321E">
      <w:pPr>
        <w:pStyle w:val="ListParagraph"/>
        <w:numPr>
          <w:ilvl w:val="0"/>
          <w:numId w:val="31"/>
        </w:numPr>
        <w:spacing w:line="276" w:lineRule="auto"/>
        <w:jc w:val="both"/>
        <w:rPr>
          <w:rFonts w:ascii="Times New Roman" w:hAnsi="Times New Roman" w:cs="Times New Roman"/>
          <w:b/>
          <w:bCs/>
          <w:sz w:val="20"/>
          <w:szCs w:val="20"/>
        </w:rPr>
      </w:pPr>
      <w:r w:rsidRPr="0091436E">
        <w:rPr>
          <w:rFonts w:ascii="Times New Roman" w:hAnsi="Times New Roman" w:cs="Times New Roman"/>
          <w:b/>
          <w:bCs/>
          <w:sz w:val="20"/>
          <w:szCs w:val="20"/>
        </w:rPr>
        <w:t>Methodology</w:t>
      </w:r>
    </w:p>
    <w:p w14:paraId="74107CC4" w14:textId="11061775" w:rsidR="0091436E" w:rsidRPr="00D41694" w:rsidRDefault="0091436E" w:rsidP="004D321E">
      <w:pPr>
        <w:pStyle w:val="ListParagraph"/>
        <w:numPr>
          <w:ilvl w:val="1"/>
          <w:numId w:val="31"/>
        </w:numPr>
        <w:spacing w:line="276" w:lineRule="auto"/>
        <w:jc w:val="both"/>
        <w:rPr>
          <w:rFonts w:ascii="Times New Roman" w:hAnsi="Times New Roman" w:cs="Times New Roman"/>
          <w:sz w:val="20"/>
          <w:szCs w:val="20"/>
        </w:rPr>
      </w:pPr>
      <w:r w:rsidRPr="00D41694">
        <w:rPr>
          <w:rFonts w:ascii="Times New Roman" w:hAnsi="Times New Roman" w:cs="Times New Roman"/>
          <w:sz w:val="20"/>
          <w:szCs w:val="20"/>
        </w:rPr>
        <w:t>Data</w:t>
      </w:r>
    </w:p>
    <w:p w14:paraId="3353C464" w14:textId="625ED465" w:rsidR="00D41694" w:rsidRPr="00D41694" w:rsidRDefault="00D41694" w:rsidP="0091436E">
      <w:pPr>
        <w:spacing w:line="276" w:lineRule="auto"/>
        <w:jc w:val="both"/>
        <w:rPr>
          <w:rFonts w:ascii="Times New Roman" w:hAnsi="Times New Roman" w:cs="Times New Roman"/>
          <w:sz w:val="20"/>
          <w:szCs w:val="20"/>
        </w:rPr>
      </w:pPr>
      <w:r w:rsidRPr="00D41694">
        <w:rPr>
          <w:rFonts w:ascii="Times New Roman" w:hAnsi="Times New Roman" w:cs="Times New Roman"/>
          <w:sz w:val="20"/>
          <w:szCs w:val="20"/>
        </w:rPr>
        <w:t xml:space="preserve">We used syphilis incidence data from Singapore and England to calibrate the model. For Singapore, annual male syphilis incidence rates from 2004 to 2018 were obtained from the Communicable Diseases Surveillance annual reports published by the Ministry of Health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{"citationID":"dv7gjiLI","properties":{"formattedCitation":"[6]","plainCitation":"[6]","noteIndex":0},"citationItems":[{"id":47,"uris":["http://zotero.org/users/9663344/items/UCANDUB4"],"itemData":{"id":47,"type":"webpage","container-title":"Ministry of Health","language":"en","title":"COMMUNICABLE DISEASES SURVEILLANCE IN SINGAPORE 2019-2020","URL":"https://www.moh.gov.sg/others/resources-and-statistics/reports-communicable-diseases-surveillance-in-singapore-2019-2020/","accessed":{"date-parts":[["2025",2,8]]}}}],"schema":"https://github.com/citation-style-language/schema/raw/master/csl-citation.json"}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[6]</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xml:space="preserve">. Age- and gender-specific population data were sourced from the Singapore Department of Statistics. As the total number of </w:t>
      </w:r>
      <w:r>
        <w:rPr>
          <w:rFonts w:ascii="Times New Roman" w:hAnsi="Times New Roman" w:cs="Times New Roman"/>
          <w:sz w:val="20"/>
          <w:szCs w:val="20"/>
        </w:rPr>
        <w:t>MSM</w:t>
      </w:r>
      <w:r w:rsidRPr="00D41694">
        <w:rPr>
          <w:rFonts w:ascii="Times New Roman" w:hAnsi="Times New Roman" w:cs="Times New Roman"/>
          <w:sz w:val="20"/>
          <w:szCs w:val="20"/>
        </w:rPr>
        <w:t xml:space="preserve"> is unknown in Singapore, we estimated the annual number of MSM syphilis diagnoses using three assumptions, adapted from our previous work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{"citationID":"oti110fT","properties":{"formattedCitation":"[25]","plainCitation":"[25]","noteIndex":0},"citationItems":[{"id":152,"uris":["http://zotero.org/users/9663344/items/WHKA7ZDX"],"itemData":{"id":152,"type":"article-journal","abstract":"BACKGROUND: Gonorrhea is the second most common sexually transmitted disease notified in Singapore in 2023. Evidence suggests that the 4CMenB vaccine designed to protect against Neisseria meningitidis infection may offer partial cross-protection against gonorrhea. This generated interest in using 4CMenB for the purpose of staving gonorrhea transmission. We explored the efficacy of potential gonorrhea vaccination strategies in the context of historically declining gonorrhea incidence.\nMETHODS AND FINDINGS: We employed an integrated transmission-dynamic model, calibrated using Bayesian methods to local surveillance data to understand the potential public health impact of 4CMenB in reducing gonorrhea acquisition and transmission in men who have sex with men (MSM) in Singapore. We explored the efficacy of implementing six vaccination programmes: (1) offering vaccination to all male adolescents in schools (vaccination before entry [VbE]), (2) offering vaccination to individuals attending sexual health clinics for testing (vaccination on attendance [VoA]), (3) offering vaccination to individuals attending sexual health clinics and who were diagnosed with gonorrhea (vaccination on diagnosis [VoD]), or (4) vaccination according to risk (VaR), by offering vaccination to patients who were diagnosed with gonorrhea plus individuals who tested negative, but report having more than five sexual partners per year. We further examined how altering (5) VoA and (6) VoD strategies changed if the strategies only targeted high risk groups (VoA(H),VoD(H)). We assessed efficacy by examining vaccination impact relative to no vaccination and when behavioral parameters were held constant. We further ascertained the effects of varying vaccine uptake (10%, 33%, 100%), vaccine efficacy (22%, 31%, 47%), and duration of protection (1.5, 4, 7.5 years) on the effectiveness of each vaccination strategy. For a hypothetical 10-year vaccination programme, VbE had 14.18% of MSM gonorrhea cases averted over the time the programme was implemented. VoA had the highest protective impact on the MSM population with 40.26% averted cases (95% credible interval (CrI): 18.32%-52.57%), but required more vaccine doses than any other strategy. VoD had a smaller impact (12.04% averted cases (95% CrI: 7.12%-15.00%)), but was three times more efficient than VoA in terms of averted cases per dose. VoA(H) and VoD(H) improved the efficiency of VoA and VoD strategies by increasing averted cases per dose to 0.22 and 0.24 respectively, but conferred similar protective effects as VoA (VoA(H): 40.10% averted cases (95% CrI: 18.14%-52.55%)) and VoD (VoD(H): 12.04% averted cases (95% CrI: 7.12%-15.00%)), respectively. VaR (40.10% averted cases (95% CrI: 18.14%-52.55%)) had almost the same impact as VoA, but was more efficient by requiring administration of fewer doses than VoA, with 0.21 (95% CrI: 0.12-0.27) averted cases per dose. Sensitivity analyses indicated that VaR had the greatest public health impact with the highest number of averted cases per dose for vaccines of any efficacy or duration of protection (or both), although VoD and VoD(H) saved more vaccine resource and had the highest number averted MSM cases per dose for highly protective vaccines of long protection.\nCONCLUSIONS: Vaccination of MSM against gonorrhea, according to risk in sexual health clinics in Singapore, can be considered to reduce gonorrhea acquisition and transmission. Development of gonorrhea-specific vaccines which focuses on protective efficacy and the implementation of efficient vaccination programmes can maximize public health impact.","container-title":"PLoS medicine","DOI":"10.1371/journal.pmed.1004521","ISSN":"1549-1676","issue":"2","journalAbbreviation":"PLoS Med","language":"eng","note":"PMID: 39919143\nPMCID: PMC11805383","page":"e1004521","source":"PubMed","title":"Potential public health impacts of gonorrhea vaccination programmes under declining incidences: A modeling study","title-short":"Potential public health impacts of gonorrhea vaccination programmes under declining incidences","volume":"22","author":[{"family":"Geng","given":"Lin"},{"family":"Whittles","given":"Lilith K."},{"family":"Dickens","given":"Borame L."},{"family":"Chio","given":"Martin T. W."},{"family":"Chen","given":"Yihao"},{"family":"Tan","given":"Rayner Kay Jin"},{"family":"Ghani","given":"Azra"},{"family":"Lim","given":"Jue Tao"}],"issued":{"date-parts":[["2025",2]]}}}],"schema":"https://github.com/citation-style-language/schema/raw/master/csl-citation.json"}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[25]</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xml:space="preserve">: (A)  main scenario: male syphilis incidence minus female incidence, assuming all male cases not attributable to heterosexual transmission occur among MSM; (B) upper bound scenario: total male syphilis incidence, assuming all reported male syphilis cases are among MSM; and (C) lower bound scenario: male syphilis incidence scaled by the proportion of MSM in the male population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{"citationID":"2zz1x0nb","properties":{"formattedCitation":"[26]","plainCitation":"[26]","noteIndex":0},"citationItems":[{"id":136,"uris":["http://zotero.org/users/9663344/items/YB9ZEKTJ"],"itemData":{"id":136,"type":"article-journal","abstract":"INTRODUCTION: Singapore lacks robust data on the sizes of the key populations that are most at risk for HIV. Using the network scale-up method for hidden or hard-to-reach populations, we estimate the sizes of five key populations-male clients of female sex workers (MCFSW), men who have sex with men (MSM), female sex workers (FSW), people who inject drugs (PWID) and transgender people-and profile the ages and ethnicities of respondents with the high-risk contacts they report knowing.\nMETHODS: We conducted a cross-sectional online survey between March and May 2019 (n = 2802) using a network scale-up instrument previously developed for Singapore. Participants were recruited using an existing panel and online advertising, and the sample reweighted by age, sex, ethnicity and education attained to represent the general adult population. We built a Bayesian hierarchical model to estimate the sizes of the five key populations for HIV in Singapore.\nRESULTS: After adjustment, the sizes of the at-risk populations are estimated to be: 76,800 (95% credible interval [CI]: 64,200-91,800) MCFSW; 139,000 (95% CI: 120,000-160,000) MSM; 8030 (95% CI: 3980-16,200) FSW; 3470 (95% CI: 1540-7830) PWID and 18,000 (95% CI: 14,000-23,200) transgender people. Generally, men reported knowing more people in all the high-risk groups; older people reported knowing more MCFSW, FSW and transgender people; and younger people reported knowing more MSM. There was a bimodal effect of age on those who reported knowing more PWIDs: people in their 20s and 60s reported more contacts.\nCONCLUSIONS: This study demonstrates that a size estimation study of hidden populations is quickly and efficiently scalable through using online surveys in a socially conservative society, like Singapore, where key populations are stigmatized or criminalized. The approach may be suitable in other countries where stigma is prevalent and where barriers to surveillance and data collection are numerous.","container-title":"Journal of the International AIDS Society","DOI":"10.1002/jia2.25973","ISSN":"1758-2652","issue":"3","journalAbbreviation":"J Int AIDS Soc","language":"eng","note":"PMID: 36919979\nPMCID: PMC10015632","page":"e25973","source":"PubMed","title":"Application of the network scale-up method to estimate the sizes of key populations for HIV in Singapore using online surveys","volume":"26","author":[{"family":"Quaye","given":"Sharon Esi Duoduwa"},{"family":"Cheng","given":"Yuwei"},{"family":"Tan","given":"Rayner Kay Jin"},{"family":"Koo","given":"Joel R."},{"family":"Prem","given":"Kiesha"},{"family":"Teo","given":"Alvin Kuo Jing"},{"family":"Cook","given":"Alex R."}],"issued":{"date-parts":[["2023",3]]}}}],"schema":"https://github.com/citation-style-language/schema/raw/master/csl-citation.json"}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[26]</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assuming equal infection risk across all men.</w:t>
      </w:r>
      <w:r w:rsidRPr="00D41694">
        <w:rPr>
          <w:rFonts w:ascii="Times New Roman" w:hAnsi="Times New Roman" w:cs="Times New Roman"/>
          <w:b/>
          <w:bCs/>
          <w:sz w:val="20"/>
          <w:szCs w:val="20"/>
        </w:rPr>
        <w:t xml:space="preserve"> </w:t>
      </w:r>
      <w:r w:rsidRPr="00D41694">
        <w:rPr>
          <w:rFonts w:ascii="Times New Roman" w:hAnsi="Times New Roman" w:cs="Times New Roman"/>
          <w:sz w:val="20"/>
          <w:szCs w:val="20"/>
        </w:rPr>
        <w:t xml:space="preserve">For England, annual numbers of MSM syphilis diagnoses from 2011 to 2024 were retrieved from the Genitourinary Medicine Clinic Activity Dataset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{"citationID":"vZ0BLY4m","properties":{"formattedCitation":"[3]","plainCitation":"[3]","noteIndex":0},"citationItems":[{"id":159,"uris":["http://zotero.org/users/9663344/items/AZSD5ENP"],"itemData":{"id":159,"type":"webpage","abstract":"Information on STI diagnoses and sexual health services provided in England by demographic characteristics and geographical region.","container-title":"GOV.UK","language":"en","title":"Sexually transmitted infections (STIs): annual data","title-short":"Sexually transmitted infections (STIs)","URL":"https://www.gov.uk/government/statistics/sexually-transmitted-infections-stis-annual-data-tables","accessed":{"date-parts":[["2025",6,25]]},"issued":{"date-parts":[["2025",6,10]]}}}],"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[3]</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Due to data quality concerns related to COVID-19 disruptions, data from 2021 and 2022 were excluded from our analysis.</w:t>
      </w:r>
      <w:r>
        <w:rPr>
          <w:rFonts w:ascii="Times New Roman" w:hAnsi="Times New Roman" w:cs="Times New Roman"/>
          <w:sz w:val="20"/>
          <w:szCs w:val="20"/>
        </w:rPr>
        <w:t xml:space="preserve"> </w:t>
      </w:r>
      <w:r w:rsidRPr="00D41694">
        <w:rPr>
          <w:rFonts w:ascii="Times New Roman" w:hAnsi="Times New Roman" w:cs="Times New Roman"/>
          <w:sz w:val="20"/>
          <w:szCs w:val="20"/>
        </w:rPr>
        <w:t xml:space="preserve">The detailed data sources and estimates are provided in Appendix </w:t>
      </w:r>
      <w:r w:rsidR="00BD2804">
        <w:rPr>
          <w:rFonts w:ascii="Times New Roman" w:hAnsi="Times New Roman" w:cs="Times New Roman"/>
          <w:sz w:val="20"/>
          <w:szCs w:val="20"/>
        </w:rPr>
        <w:t>B</w:t>
      </w:r>
      <w:r w:rsidRPr="00D41694">
        <w:rPr>
          <w:rFonts w:ascii="Times New Roman" w:hAnsi="Times New Roman" w:cs="Times New Roman"/>
          <w:sz w:val="20"/>
          <w:szCs w:val="20"/>
        </w:rPr>
        <w:t>.</w:t>
      </w:r>
    </w:p>
    <w:p w14:paraId="77641A2B" w14:textId="35CD3014" w:rsidR="00D41694" w:rsidRDefault="00D41694" w:rsidP="004D321E">
      <w:pPr>
        <w:pStyle w:val="ListParagraph"/>
        <w:numPr>
          <w:ilvl w:val="1"/>
          <w:numId w:val="31"/>
        </w:numPr>
        <w:spacing w:line="276" w:lineRule="auto"/>
        <w:jc w:val="both"/>
        <w:rPr>
          <w:rFonts w:ascii="Times New Roman" w:hAnsi="Times New Roman" w:cs="Times New Roman"/>
          <w:sz w:val="20"/>
          <w:szCs w:val="20"/>
        </w:rPr>
      </w:pPr>
      <w:r>
        <w:rPr>
          <w:rFonts w:ascii="Times New Roman" w:hAnsi="Times New Roman" w:cs="Times New Roman"/>
          <w:sz w:val="20"/>
          <w:szCs w:val="20"/>
        </w:rPr>
        <w:t>Doxy-PEP model</w:t>
      </w:r>
      <w:r w:rsidR="00687DE0">
        <w:rPr>
          <w:rFonts w:ascii="Times New Roman" w:hAnsi="Times New Roman" w:cs="Times New Roman"/>
          <w:sz w:val="20"/>
          <w:szCs w:val="20"/>
        </w:rPr>
        <w:t xml:space="preserve"> for syphilis</w:t>
      </w:r>
    </w:p>
    <w:p w14:paraId="67C96391" w14:textId="147A2D1C" w:rsidR="00687DE0" w:rsidRDefault="00D41694" w:rsidP="00687DE0">
      <w:pPr>
        <w:pStyle w:val="NormalWeb"/>
        <w:spacing w:line="276" w:lineRule="auto"/>
        <w:jc w:val="both"/>
        <w:rPr>
          <w:sz w:val="20"/>
          <w:szCs w:val="20"/>
        </w:rPr>
      </w:pPr>
      <w:r w:rsidRPr="00702EAC">
        <w:rPr>
          <w:sz w:val="20"/>
          <w:szCs w:val="20"/>
        </w:rPr>
        <w:t xml:space="preserve">To evaluate and compare the </w:t>
      </w:r>
      <w:r w:rsidR="00985E26">
        <w:rPr>
          <w:sz w:val="20"/>
          <w:szCs w:val="20"/>
        </w:rPr>
        <w:t>impact</w:t>
      </w:r>
      <w:r w:rsidRPr="00702EAC">
        <w:rPr>
          <w:sz w:val="20"/>
          <w:szCs w:val="20"/>
        </w:rPr>
        <w:t xml:space="preserve"> and efficiency of various doxy-PEP strategies for syphilis, we developed a novel behavioural transmission-dynamic model (see Fig. 1 for a schematic overview and parameter descriptions). The model stratifies the MSM population into two risk groups based on sexual behaviour: high-risk individuals with five or more sexual partners per year, and low-risk individuals with fewer than five. This stratification captures behavioural heterogeneity in transmission dynamics and intervention uptake.</w:t>
      </w:r>
      <w:r w:rsidR="00A740E3" w:rsidRPr="00702EAC">
        <w:rPr>
          <w:sz w:val="20"/>
          <w:szCs w:val="20"/>
        </w:rPr>
        <w:t xml:space="preserve"> </w:t>
      </w:r>
      <w:r w:rsidRPr="00702EAC">
        <w:rPr>
          <w:sz w:val="20"/>
          <w:szCs w:val="20"/>
        </w:rPr>
        <w:t>Model calibration was performed using annual syphilis incidence data through a Bayesian framework. Specifically, we employed Hamiltonian Monte Carlo (HMC) via the RStan package (version 2.32.7) in R (version 4.5.0), running six chains of 2,000 iterations each, with the first 1,000 discarded as burn-in. Convergence diagnostics</w:t>
      </w:r>
      <w:r w:rsidR="00A740E3" w:rsidRPr="00702EAC">
        <w:rPr>
          <w:sz w:val="20"/>
          <w:szCs w:val="20"/>
        </w:rPr>
        <w:t xml:space="preserve"> - </w:t>
      </w:r>
      <w:r w:rsidRPr="00702EAC">
        <w:rPr>
          <w:sz w:val="20"/>
          <w:szCs w:val="20"/>
        </w:rPr>
        <w:t xml:space="preserve">including traceplots, marginal posterior distributions, effective sample size (ESS), and the Gelman-Rubin </w:t>
      </w:r>
      <w:r w:rsidR="00C47EE3">
        <w:rPr>
          <w:sz w:val="20"/>
          <w:szCs w:val="20"/>
        </w:rPr>
        <w:t xml:space="preserve">(GR) </w:t>
      </w:r>
      <w:r w:rsidRPr="00702EAC">
        <w:rPr>
          <w:sz w:val="20"/>
          <w:szCs w:val="20"/>
        </w:rPr>
        <w:t>statistic</w:t>
      </w:r>
      <w:r w:rsidR="00A740E3" w:rsidRPr="00702EAC">
        <w:rPr>
          <w:sz w:val="20"/>
          <w:szCs w:val="20"/>
        </w:rPr>
        <w:t xml:space="preserve"> - </w:t>
      </w:r>
      <w:r w:rsidRPr="00702EAC">
        <w:rPr>
          <w:sz w:val="20"/>
          <w:szCs w:val="20"/>
        </w:rPr>
        <w:t xml:space="preserve">were used to ensure robust parameter estimation. </w:t>
      </w:r>
      <w:r w:rsidR="00702EAC" w:rsidRPr="00702EAC">
        <w:rPr>
          <w:sz w:val="20"/>
          <w:szCs w:val="20"/>
        </w:rPr>
        <w:t xml:space="preserve">Posterior estimates of the transition parameters were used to simulate disease dynamics - with and without intervention strategies - using the deSolve package (version 1.40). Simulations were conducted over time </w:t>
      </w:r>
      <w:r w:rsidR="008C66A3">
        <w:rPr>
          <w:sz w:val="20"/>
          <w:szCs w:val="20"/>
        </w:rPr>
        <w:t xml:space="preserve">from 2026 to 2040 </w:t>
      </w:r>
      <w:r w:rsidR="00702EAC" w:rsidRPr="00702EAC">
        <w:rPr>
          <w:sz w:val="20"/>
          <w:szCs w:val="20"/>
        </w:rPr>
        <w:t xml:space="preserve">for MSM populations in Singapore and England, based on a sample of 1,000 parameter sets drawn from the joint posterior distribution. Two alternative future scenarios were considered: (A) a </w:t>
      </w:r>
      <w:r w:rsidR="00702EAC" w:rsidRPr="00702EAC">
        <w:rPr>
          <w:rStyle w:val="Strong"/>
          <w:rFonts w:eastAsiaTheme="majorEastAsia"/>
          <w:b w:val="0"/>
          <w:bCs w:val="0"/>
          <w:sz w:val="20"/>
          <w:szCs w:val="20"/>
        </w:rPr>
        <w:t>stabilized behaviour</w:t>
      </w:r>
      <w:r w:rsidR="00702EAC" w:rsidRPr="00702EAC">
        <w:rPr>
          <w:sz w:val="20"/>
          <w:szCs w:val="20"/>
        </w:rPr>
        <w:t xml:space="preserve"> scenario, in which </w:t>
      </w:r>
      <w:r w:rsidR="009E5049">
        <w:rPr>
          <w:sz w:val="20"/>
          <w:szCs w:val="20"/>
        </w:rPr>
        <w:t xml:space="preserve">the time-varying </w:t>
      </w:r>
      <w:r w:rsidR="009E5049" w:rsidRPr="00870F2C">
        <w:rPr>
          <w:sz w:val="20"/>
          <w:szCs w:val="20"/>
        </w:rPr>
        <w:t xml:space="preserve">behavioural parameters inferred from historical data </w:t>
      </w:r>
      <w:r w:rsidR="00A0224F">
        <w:rPr>
          <w:sz w:val="20"/>
          <w:szCs w:val="20"/>
        </w:rPr>
        <w:t xml:space="preserve">(i.e., force of infection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λ</m:t>
            </m: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0224F">
        <w:rPr>
          <w:sz w:val="20"/>
          <w:szCs w:val="20"/>
        </w:rPr>
        <w:t xml:space="preserve"> and asymptomatic screening rate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η</m:t>
            </m:r>
            <m:ctrlPr>
              <w:rPr>
                <w:rFonts w:ascii="Cambria Math" w:hAnsi="Cambria Math"/>
                <w:color w:val="000000"/>
                <w:sz w:val="20"/>
                <w:szCs w:val="20"/>
                <w:lang w:val="en-GB"/>
              </w:rPr>
            </m:ctrlP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0224F">
        <w:rPr>
          <w:sz w:val="20"/>
          <w:szCs w:val="20"/>
        </w:rPr>
        <w:t>)</w:t>
      </w:r>
      <w:r w:rsidR="00702EAC" w:rsidRPr="00702EAC">
        <w:rPr>
          <w:sz w:val="20"/>
          <w:szCs w:val="20"/>
        </w:rPr>
        <w:t xml:space="preserve"> remain constant</w:t>
      </w:r>
      <w:r w:rsidR="009E5049">
        <w:rPr>
          <w:sz w:val="20"/>
          <w:szCs w:val="20"/>
        </w:rPr>
        <w:t xml:space="preserve"> </w:t>
      </w:r>
      <w:r w:rsidR="009E5049" w:rsidRPr="00870F2C">
        <w:rPr>
          <w:sz w:val="20"/>
          <w:szCs w:val="20"/>
        </w:rPr>
        <w:t>beyond the final year</w:t>
      </w:r>
      <w:r w:rsidR="009E5049">
        <w:rPr>
          <w:sz w:val="20"/>
          <w:szCs w:val="20"/>
        </w:rPr>
        <w:t xml:space="preserve"> where data was available</w:t>
      </w:r>
      <w:r w:rsidR="00702EAC" w:rsidRPr="00702EAC">
        <w:rPr>
          <w:sz w:val="20"/>
          <w:szCs w:val="20"/>
        </w:rPr>
        <w:t xml:space="preserve">; and (B) a </w:t>
      </w:r>
      <w:r w:rsidR="00702EAC" w:rsidRPr="00702EAC">
        <w:rPr>
          <w:rStyle w:val="Strong"/>
          <w:rFonts w:eastAsiaTheme="majorEastAsia"/>
          <w:b w:val="0"/>
          <w:bCs w:val="0"/>
          <w:sz w:val="20"/>
          <w:szCs w:val="20"/>
        </w:rPr>
        <w:t>continued trend</w:t>
      </w:r>
      <w:r w:rsidR="00702EAC" w:rsidRPr="00702EAC">
        <w:rPr>
          <w:sz w:val="20"/>
          <w:szCs w:val="20"/>
        </w:rPr>
        <w:t xml:space="preserve"> scenario, where these behavioural trends </w:t>
      </w:r>
      <w:r w:rsidR="00FD792D" w:rsidRPr="00870F2C">
        <w:rPr>
          <w:sz w:val="20"/>
          <w:szCs w:val="20"/>
        </w:rPr>
        <w:t>continue to evolve through to 2040</w:t>
      </w:r>
      <w:r w:rsidR="00FD792D">
        <w:rPr>
          <w:sz w:val="20"/>
          <w:szCs w:val="20"/>
        </w:rPr>
        <w:t xml:space="preserve"> based on past incidence</w:t>
      </w:r>
      <w:r w:rsidR="00702EAC" w:rsidRPr="00702EAC">
        <w:rPr>
          <w:sz w:val="20"/>
          <w:szCs w:val="20"/>
        </w:rPr>
        <w:t xml:space="preserve">. </w:t>
      </w:r>
      <w:r w:rsidR="00BD2804" w:rsidRPr="00F93101">
        <w:rPr>
          <w:sz w:val="20"/>
          <w:szCs w:val="20"/>
        </w:rPr>
        <w:t xml:space="preserve">A detailed introduction to syphilis and </w:t>
      </w:r>
      <w:r w:rsidR="00BD2804">
        <w:rPr>
          <w:sz w:val="20"/>
          <w:szCs w:val="20"/>
        </w:rPr>
        <w:t>doxy-PEP</w:t>
      </w:r>
      <w:r w:rsidR="00BD2804" w:rsidRPr="00F93101">
        <w:rPr>
          <w:sz w:val="20"/>
          <w:szCs w:val="20"/>
        </w:rPr>
        <w:t xml:space="preserve"> is provided in Appendix A.</w:t>
      </w:r>
    </w:p>
    <w:p w14:paraId="0FCE6B46" w14:textId="324055ED" w:rsidR="00386083" w:rsidRPr="00A53EFD" w:rsidRDefault="00687DE0" w:rsidP="00FF48E2">
      <w:pPr>
        <w:pStyle w:val="NormalWeb"/>
        <w:spacing w:line="276" w:lineRule="auto"/>
        <w:jc w:val="both"/>
        <w:rPr>
          <w:sz w:val="20"/>
          <w:szCs w:val="20"/>
        </w:rPr>
      </w:pPr>
      <w:r w:rsidRPr="00687DE0">
        <w:rPr>
          <w:sz w:val="20"/>
          <w:szCs w:val="20"/>
        </w:rPr>
        <w:t>Model parameters</w:t>
      </w:r>
      <w:r>
        <w:rPr>
          <w:sz w:val="20"/>
          <w:szCs w:val="20"/>
        </w:rPr>
        <w:t xml:space="preserve"> - </w:t>
      </w:r>
      <w:r w:rsidRPr="00687DE0">
        <w:rPr>
          <w:sz w:val="20"/>
          <w:szCs w:val="20"/>
        </w:rPr>
        <w:t>both fixed and fitted</w:t>
      </w:r>
      <w:r>
        <w:rPr>
          <w:sz w:val="20"/>
          <w:szCs w:val="20"/>
        </w:rPr>
        <w:t xml:space="preserve"> - </w:t>
      </w:r>
      <w:r w:rsidRPr="00687DE0">
        <w:rPr>
          <w:sz w:val="20"/>
          <w:szCs w:val="20"/>
        </w:rPr>
        <w:t xml:space="preserve">were informed by relevant literature </w:t>
      </w:r>
      <w:r>
        <w:rPr>
          <w:sz w:val="20"/>
          <w:szCs w:val="20"/>
        </w:rPr>
        <w:t>or</w:t>
      </w:r>
      <w:r w:rsidRPr="00687DE0">
        <w:rPr>
          <w:sz w:val="20"/>
          <w:szCs w:val="20"/>
        </w:rPr>
        <w:t xml:space="preserve"> calibrated using behavioural survey data. For instance, </w:t>
      </w:r>
      <w:r w:rsidRPr="00A53EFD">
        <w:rPr>
          <w:sz w:val="20"/>
          <w:szCs w:val="20"/>
        </w:rPr>
        <w:t xml:space="preserve">bounds on stage-specific syphilis transmission rates, as well as adherence and discontinuation rates, were obtained from existing studies. </w:t>
      </w:r>
      <w:r w:rsidR="00A53EFD" w:rsidRPr="00A53EFD">
        <w:rPr>
          <w:sz w:val="20"/>
          <w:szCs w:val="20"/>
        </w:rPr>
        <w:t xml:space="preserve">The estimation of time-varying behavioural parameters - specifically, the force of infection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λ</m:t>
            </m: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53EFD" w:rsidRPr="00A53EFD">
        <w:rPr>
          <w:sz w:val="20"/>
          <w:szCs w:val="20"/>
        </w:rPr>
        <w:t xml:space="preserve"> and the asymptomatic screening rate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η</m:t>
            </m:r>
            <m:ctrlPr>
              <w:rPr>
                <w:rFonts w:ascii="Cambria Math" w:hAnsi="Cambria Math"/>
                <w:color w:val="000000"/>
                <w:sz w:val="20"/>
                <w:szCs w:val="20"/>
                <w:lang w:val="en-GB"/>
              </w:rPr>
            </m:ctrlP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53EFD" w:rsidRPr="00A53EFD">
        <w:rPr>
          <w:sz w:val="20"/>
          <w:szCs w:val="20"/>
        </w:rPr>
        <w:t xml:space="preserve"> - was guided by the approach described in</w:t>
      </w:r>
      <w:r w:rsidR="00B934F2">
        <w:rPr>
          <w:sz w:val="20"/>
          <w:szCs w:val="20"/>
        </w:rPr>
        <w:t xml:space="preserve"> </w:t>
      </w:r>
      <w:r w:rsidR="00B934F2">
        <w:rPr>
          <w:sz w:val="20"/>
          <w:szCs w:val="20"/>
        </w:rPr>
        <w:fldChar w:fldCharType="begin"/>
      </w:r>
      <w:r w:rsidR="00EF4218">
        <w:rPr>
          <w:sz w:val="20"/>
          <w:szCs w:val="20"/>
        </w:rPr>
        <w:instrText xml:space="preserve"> ADDIN ZOTERO_ITEM CSL_CITATION {"citationID":"mG4Bp5vx","properties":{"formattedCitation":"[27]","plainCitation":"[27]","noteIndex":0},"citationItems":[{"id":56,"uris":["http://zotero.org/users/9663344/items/T6SAULLB","http://zotero.org/users/9663344/items/KT468CMT"],"itemData":{"id":56,"type":"article-journal","abstract":"Background Gonorrhoea is a rapidly growing public health threat, with rising incidence and increasing drug resistance. Evidence that the MeNZB and four-component serogroup B meningococcal (4CMenB) vaccines, designed against Neisseria meningitidis, can also offer protection against gonorrhoea has created interest in using 4CMenB for this purpose and for developing gonorrhoea-specific vaccines. However, cost-effectiveness, and how the efficacy and duration of protection affect a gonorrhoea vaccine’s value, have not been assessed.","container-title":"The Lancet Infectious Diseases","DOI":"10.1016/S1473-3099(21)00744-1","ISSN":"14733099","issue":"7","journalAbbreviation":"The Lancet Infectious Diseases","language":"en","page":"1030-1041","source":"DOI.org (Crossref)","title":"Public health impact and cost-effectiveness of gonorrhoea vaccination: an integrated transmission-dynamic health-economic modelling analysis","title-short":"Public health impact and cost-effectiveness of gonorrhoea vaccination","volume":"22","author":[{"family":"Whittles","given":"Lilith K"},{"family":"Didelot","given":"Xavier"},{"family":"White","given":"Peter J"}],"issued":{"date-parts":[["2022",7]]}}}],"schema":"https://github.com/citation-style-language/schema/raw/master/csl-citation.json"} </w:instrText>
      </w:r>
      <w:r w:rsidR="00B934F2">
        <w:rPr>
          <w:sz w:val="20"/>
          <w:szCs w:val="20"/>
        </w:rPr>
        <w:fldChar w:fldCharType="separate"/>
      </w:r>
      <w:r w:rsidR="00EF4218">
        <w:rPr>
          <w:noProof/>
          <w:sz w:val="20"/>
          <w:szCs w:val="20"/>
        </w:rPr>
        <w:t>[27]</w:t>
      </w:r>
      <w:r w:rsidR="00B934F2">
        <w:rPr>
          <w:sz w:val="20"/>
          <w:szCs w:val="20"/>
        </w:rPr>
        <w:fldChar w:fldCharType="end"/>
      </w:r>
      <w:r w:rsidR="00A53EFD" w:rsidRPr="00A53EFD">
        <w:rPr>
          <w:sz w:val="20"/>
          <w:szCs w:val="20"/>
        </w:rPr>
        <w:t xml:space="preserve">. </w:t>
      </w:r>
      <w:r w:rsidRPr="00A53EFD">
        <w:rPr>
          <w:sz w:val="20"/>
          <w:szCs w:val="20"/>
        </w:rPr>
        <w:t>Parameters such as the annual rate of partner change</w:t>
      </w:r>
      <w:r w:rsidR="000942FE" w:rsidRPr="00A53EFD">
        <w:rPr>
          <w:sz w:val="20"/>
          <w:szCs w:val="20"/>
        </w:rPr>
        <w:t xml:space="preserve">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j</m:t>
            </m:r>
          </m:sub>
        </m:sSub>
      </m:oMath>
      <w:r w:rsidRPr="00A53EFD">
        <w:rPr>
          <w:sz w:val="20"/>
          <w:szCs w:val="20"/>
        </w:rPr>
        <w:t xml:space="preserve"> and the distribution of MSM across high- and low-risk</w:t>
      </w:r>
      <w:r w:rsidRPr="00687DE0">
        <w:rPr>
          <w:sz w:val="20"/>
          <w:szCs w:val="20"/>
        </w:rPr>
        <w:t xml:space="preserve"> groups </w:t>
      </w:r>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j</m:t>
            </m:r>
          </m:sub>
        </m:sSub>
      </m:oMath>
      <w:r w:rsidR="000942FE">
        <w:rPr>
          <w:sz w:val="20"/>
          <w:szCs w:val="20"/>
        </w:rPr>
        <w:t xml:space="preserve"> </w:t>
      </w:r>
      <w:r w:rsidRPr="00687DE0">
        <w:rPr>
          <w:sz w:val="20"/>
          <w:szCs w:val="20"/>
        </w:rPr>
        <w:t>were estimated from survey data.</w:t>
      </w:r>
      <w:r w:rsidR="00FF48E2">
        <w:rPr>
          <w:sz w:val="20"/>
          <w:szCs w:val="20"/>
        </w:rPr>
        <w:t xml:space="preserve"> </w:t>
      </w:r>
      <w:commentRangeStart w:id="3"/>
      <w:r w:rsidR="00FF48E2">
        <w:rPr>
          <w:sz w:val="20"/>
          <w:szCs w:val="20"/>
        </w:rPr>
        <w:t xml:space="preserve">We characterized doxy-PEP adherence using </w:t>
      </w:r>
      <w:r w:rsidR="00FF48E2" w:rsidRPr="00687DE0">
        <w:rPr>
          <w:sz w:val="20"/>
          <w:szCs w:val="20"/>
        </w:rPr>
        <w:t>studies on HIV PrEP,</w:t>
      </w:r>
      <w:r w:rsidR="00FF48E2">
        <w:rPr>
          <w:sz w:val="20"/>
          <w:szCs w:val="20"/>
        </w:rPr>
        <w:t xml:space="preserve"> </w:t>
      </w:r>
      <w:r w:rsidR="00FF48E2" w:rsidRPr="00687DE0">
        <w:rPr>
          <w:sz w:val="20"/>
          <w:szCs w:val="20"/>
        </w:rPr>
        <w:t>which share similar behavioural challenges related to adherence and discontinuation</w:t>
      </w:r>
      <w:r w:rsidR="00FF48E2">
        <w:rPr>
          <w:sz w:val="20"/>
          <w:szCs w:val="20"/>
        </w:rPr>
        <w:t xml:space="preserve">–this </w:t>
      </w:r>
      <w:r w:rsidR="00FF48E2">
        <w:rPr>
          <w:sz w:val="20"/>
          <w:szCs w:val="20"/>
        </w:rPr>
        <w:lastRenderedPageBreak/>
        <w:t>data can be used as a reasonable</w:t>
      </w:r>
      <w:r w:rsidR="00FF48E2" w:rsidRPr="00687DE0">
        <w:rPr>
          <w:sz w:val="20"/>
          <w:szCs w:val="20"/>
        </w:rPr>
        <w:t xml:space="preserve"> analogue for informing model assumptions</w:t>
      </w:r>
      <w:r w:rsidR="00FF48E2">
        <w:rPr>
          <w:sz w:val="20"/>
          <w:szCs w:val="20"/>
        </w:rPr>
        <w:t xml:space="preserve">. </w:t>
      </w:r>
      <w:commentRangeEnd w:id="3"/>
      <w:r w:rsidR="00FF48E2">
        <w:rPr>
          <w:rStyle w:val="CommentReference"/>
          <w:rFonts w:asciiTheme="minorHAnsi" w:eastAsiaTheme="minorEastAsia" w:hAnsiTheme="minorHAnsi" w:cstheme="minorBidi"/>
          <w:kern w:val="2"/>
          <w14:ligatures w14:val="standardContextual"/>
        </w:rPr>
        <w:commentReference w:id="3"/>
      </w:r>
      <w:r w:rsidR="00DC1866">
        <w:rPr>
          <w:sz w:val="20"/>
          <w:szCs w:val="20"/>
        </w:rPr>
        <w:t>Key d</w:t>
      </w:r>
      <w:r w:rsidR="00386083" w:rsidRPr="00CC3B1B">
        <w:rPr>
          <w:sz w:val="20"/>
          <w:szCs w:val="20"/>
        </w:rPr>
        <w:t>oxy-PEP parameters used in scenario analysis</w:t>
      </w:r>
      <w:r w:rsidR="00386083" w:rsidRPr="00702EAC">
        <w:rPr>
          <w:sz w:val="20"/>
          <w:szCs w:val="20"/>
        </w:rPr>
        <w:t xml:space="preserve"> </w:t>
      </w:r>
      <w:r w:rsidR="00386083">
        <w:rPr>
          <w:sz w:val="20"/>
          <w:szCs w:val="20"/>
        </w:rPr>
        <w:t xml:space="preserve">are presented in Table 1. </w:t>
      </w:r>
      <w:r w:rsidR="00DC1866">
        <w:rPr>
          <w:sz w:val="20"/>
          <w:szCs w:val="20"/>
        </w:rPr>
        <w:t xml:space="preserve">Full </w:t>
      </w:r>
      <w:r w:rsidR="00702EAC" w:rsidRPr="00702EAC">
        <w:rPr>
          <w:sz w:val="20"/>
          <w:szCs w:val="20"/>
        </w:rPr>
        <w:t>details on fixed parameters, prior distributions, posterior summaries, convergence diagnostics, and the system of ordinary differential equations are provided in Appendices B and C.</w:t>
      </w:r>
      <w:r>
        <w:rPr>
          <w:sz w:val="20"/>
          <w:szCs w:val="20"/>
        </w:rPr>
        <w:t xml:space="preserve"> </w:t>
      </w:r>
    </w:p>
    <w:p w14:paraId="4ED0DDCF" w14:textId="1FAECBD5" w:rsidR="00386083" w:rsidRPr="00386083" w:rsidRDefault="00386083" w:rsidP="00386083">
      <w:pPr>
        <w:pStyle w:val="NormalWeb"/>
        <w:spacing w:line="276" w:lineRule="auto"/>
        <w:jc w:val="both"/>
      </w:pPr>
      <w:r w:rsidRPr="00CC3B1B">
        <w:rPr>
          <w:sz w:val="20"/>
          <w:szCs w:val="20"/>
        </w:rPr>
        <w:t xml:space="preserve">Table </w:t>
      </w:r>
      <w:r>
        <w:rPr>
          <w:sz w:val="20"/>
          <w:szCs w:val="20"/>
        </w:rPr>
        <w:t>1</w:t>
      </w:r>
      <w:r w:rsidRPr="00CC3B1B">
        <w:rPr>
          <w:sz w:val="20"/>
          <w:szCs w:val="20"/>
        </w:rPr>
        <w:t xml:space="preserve">: Doxy-PEP parameters used in scenario analysis. We examined three uptake levels: low (10%), moderate (33%), and high (100%), along with three </w:t>
      </w:r>
      <w:r>
        <w:rPr>
          <w:sz w:val="20"/>
          <w:szCs w:val="20"/>
        </w:rPr>
        <w:t xml:space="preserve">adherence </w:t>
      </w:r>
      <w:r w:rsidRPr="00CC3B1B">
        <w:rPr>
          <w:sz w:val="20"/>
          <w:szCs w:val="20"/>
        </w:rPr>
        <w:t>behaviour</w:t>
      </w:r>
      <w:r w:rsidRPr="00DB41D8">
        <w:rPr>
          <w:sz w:val="20"/>
          <w:szCs w:val="20"/>
        </w:rPr>
        <w:t xml:space="preserve"> </w:t>
      </w:r>
      <w:r w:rsidRPr="00CC3B1B">
        <w:rPr>
          <w:sz w:val="20"/>
          <w:szCs w:val="20"/>
        </w:rPr>
        <w:t>behavioural pattern: low (</w:t>
      </w:r>
      <m:oMath>
        <m:r>
          <w:rPr>
            <w:rFonts w:ascii="Cambria Math" w:hAnsi="Cambria Math"/>
            <w:sz w:val="20"/>
            <w:szCs w:val="20"/>
          </w:rPr>
          <m:t>u</m:t>
        </m:r>
      </m:oMath>
      <w:r>
        <w:rPr>
          <w:sz w:val="20"/>
          <w:szCs w:val="20"/>
        </w:rPr>
        <w:t xml:space="preserve"> = 2</w:t>
      </w:r>
      <w:r w:rsidRPr="00CC3B1B">
        <w:rPr>
          <w:sz w:val="20"/>
          <w:szCs w:val="20"/>
        </w:rPr>
        <w:t>), normal (</w:t>
      </w:r>
      <m:oMath>
        <m:r>
          <w:rPr>
            <w:rFonts w:ascii="Cambria Math" w:hAnsi="Cambria Math"/>
            <w:sz w:val="20"/>
            <w:szCs w:val="20"/>
          </w:rPr>
          <m:t>u</m:t>
        </m:r>
      </m:oMath>
      <w:r>
        <w:rPr>
          <w:sz w:val="20"/>
          <w:szCs w:val="20"/>
        </w:rPr>
        <w:t xml:space="preserve"> = 1</w:t>
      </w:r>
      <w:r w:rsidRPr="00CC3B1B">
        <w:rPr>
          <w:sz w:val="20"/>
          <w:szCs w:val="20"/>
        </w:rPr>
        <w:t>), and high (</w:t>
      </w:r>
      <m:oMath>
        <m:r>
          <w:rPr>
            <w:rFonts w:ascii="Cambria Math" w:hAnsi="Cambria Math"/>
            <w:sz w:val="20"/>
            <w:szCs w:val="20"/>
          </w:rPr>
          <m:t>u</m:t>
        </m:r>
      </m:oMath>
      <w:r>
        <w:rPr>
          <w:sz w:val="20"/>
          <w:szCs w:val="20"/>
        </w:rPr>
        <w:t xml:space="preserve"> = 0.5</w:t>
      </w:r>
      <w:r w:rsidRPr="00CC3B1B">
        <w:rPr>
          <w:sz w:val="20"/>
          <w:szCs w:val="20"/>
        </w:rPr>
        <w:t xml:space="preserve">). </w:t>
      </w:r>
      <w:r w:rsidRPr="00DB41D8">
        <w:rPr>
          <w:sz w:val="20"/>
          <w:szCs w:val="20"/>
        </w:rPr>
        <w:t>A high adherence behavioural pattern corresponds to low rates of both discontinuation and suboptimal adherence, whereas a low adherence behavioural pattern reflects high rates of both.</w:t>
      </w:r>
    </w:p>
    <w:tbl>
      <w:tblPr>
        <w:tblStyle w:val="ListTable1Light"/>
        <w:tblW w:w="0" w:type="auto"/>
        <w:tblLook w:val="06A0" w:firstRow="1" w:lastRow="0" w:firstColumn="1" w:lastColumn="0" w:noHBand="1" w:noVBand="1"/>
      </w:tblPr>
      <w:tblGrid>
        <w:gridCol w:w="627"/>
        <w:gridCol w:w="5469"/>
        <w:gridCol w:w="2126"/>
        <w:gridCol w:w="804"/>
      </w:tblGrid>
      <w:tr w:rsidR="00386083" w:rsidRPr="00FC495F" w14:paraId="2E966E56" w14:textId="77777777" w:rsidTr="0079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bottom w:val="single" w:sz="4" w:space="0" w:color="auto"/>
            </w:tcBorders>
            <w:shd w:val="clear" w:color="auto" w:fill="auto"/>
            <w:vAlign w:val="center"/>
          </w:tcPr>
          <w:p w14:paraId="3DDA1D66" w14:textId="77777777" w:rsidR="00386083" w:rsidRPr="00FC495F" w:rsidRDefault="00386083" w:rsidP="0079009B">
            <w:pPr>
              <w:pStyle w:val="NormalWeb"/>
              <w:spacing w:line="276" w:lineRule="auto"/>
              <w:jc w:val="center"/>
              <w:rPr>
                <w:sz w:val="20"/>
                <w:szCs w:val="20"/>
              </w:rPr>
            </w:pPr>
          </w:p>
        </w:tc>
        <w:tc>
          <w:tcPr>
            <w:tcW w:w="5469" w:type="dxa"/>
            <w:tcBorders>
              <w:top w:val="single" w:sz="4" w:space="0" w:color="auto"/>
              <w:bottom w:val="single" w:sz="4" w:space="0" w:color="auto"/>
            </w:tcBorders>
            <w:shd w:val="clear" w:color="auto" w:fill="auto"/>
          </w:tcPr>
          <w:p w14:paraId="73A6ABAB" w14:textId="77777777" w:rsidR="00386083" w:rsidRPr="004A0481" w:rsidRDefault="00386083" w:rsidP="0079009B">
            <w:pPr>
              <w:pStyle w:val="NormalWeb"/>
              <w:spacing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Definition</w:t>
            </w:r>
          </w:p>
        </w:tc>
        <w:tc>
          <w:tcPr>
            <w:tcW w:w="2126" w:type="dxa"/>
            <w:tcBorders>
              <w:top w:val="single" w:sz="4" w:space="0" w:color="auto"/>
              <w:bottom w:val="single" w:sz="4" w:space="0" w:color="auto"/>
            </w:tcBorders>
            <w:shd w:val="clear" w:color="auto" w:fill="auto"/>
            <w:vAlign w:val="center"/>
          </w:tcPr>
          <w:p w14:paraId="5C14A240" w14:textId="77777777" w:rsidR="00386083" w:rsidRPr="004A0481" w:rsidRDefault="00386083" w:rsidP="0079009B">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Value</w:t>
            </w:r>
          </w:p>
        </w:tc>
        <w:tc>
          <w:tcPr>
            <w:tcW w:w="804" w:type="dxa"/>
            <w:tcBorders>
              <w:top w:val="single" w:sz="4" w:space="0" w:color="auto"/>
              <w:bottom w:val="single" w:sz="4" w:space="0" w:color="auto"/>
            </w:tcBorders>
            <w:shd w:val="clear" w:color="auto" w:fill="auto"/>
            <w:vAlign w:val="center"/>
          </w:tcPr>
          <w:p w14:paraId="1EA15714" w14:textId="77777777" w:rsidR="00386083" w:rsidRPr="004A0481" w:rsidRDefault="00386083" w:rsidP="0079009B">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Source</w:t>
            </w:r>
          </w:p>
        </w:tc>
      </w:tr>
      <w:tr w:rsidR="00386083" w:rsidRPr="00FC495F" w14:paraId="7A840612"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tcBorders>
            <w:shd w:val="clear" w:color="auto" w:fill="auto"/>
            <w:vAlign w:val="center"/>
          </w:tcPr>
          <w:p w14:paraId="5C13AB70" w14:textId="7FFEFAEA" w:rsidR="00386083" w:rsidRPr="001B5B95" w:rsidRDefault="00000000" w:rsidP="0079009B">
            <w:pPr>
              <w:pStyle w:val="NormalWeb"/>
              <w:spacing w:line="276" w:lineRule="auto"/>
              <w:jc w:val="center"/>
              <w:rPr>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e</m:t>
                    </m:r>
                  </m:e>
                  <m:sub>
                    <m:r>
                      <m:rPr>
                        <m:sty m:val="bi"/>
                      </m:rPr>
                      <w:rPr>
                        <w:rFonts w:ascii="Cambria Math" w:hAnsi="Cambria Math"/>
                        <w:sz w:val="20"/>
                        <w:szCs w:val="20"/>
                      </w:rPr>
                      <m:t>d</m:t>
                    </m:r>
                  </m:sub>
                </m:sSub>
              </m:oMath>
            </m:oMathPara>
          </w:p>
        </w:tc>
        <w:tc>
          <w:tcPr>
            <w:tcW w:w="5469" w:type="dxa"/>
            <w:tcBorders>
              <w:top w:val="single" w:sz="4" w:space="0" w:color="auto"/>
            </w:tcBorders>
            <w:shd w:val="clear" w:color="auto" w:fill="auto"/>
          </w:tcPr>
          <w:p w14:paraId="79A4CB7D"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Efficacy of doxycycline against infections</w:t>
            </w:r>
          </w:p>
        </w:tc>
        <w:tc>
          <w:tcPr>
            <w:tcW w:w="2126" w:type="dxa"/>
            <w:tcBorders>
              <w:top w:val="single" w:sz="4" w:space="0" w:color="auto"/>
            </w:tcBorders>
            <w:shd w:val="clear" w:color="auto" w:fill="auto"/>
            <w:vAlign w:val="center"/>
          </w:tcPr>
          <w:p w14:paraId="421F7884"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83%</w:t>
            </w:r>
          </w:p>
        </w:tc>
        <w:tc>
          <w:tcPr>
            <w:tcW w:w="804" w:type="dxa"/>
            <w:tcBorders>
              <w:top w:val="single" w:sz="4" w:space="0" w:color="auto"/>
            </w:tcBorders>
            <w:shd w:val="clear" w:color="auto" w:fill="auto"/>
            <w:vAlign w:val="center"/>
          </w:tcPr>
          <w:p w14:paraId="4C5F2E67" w14:textId="757D41EE" w:rsidR="00386083"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{"citationID":"8QeL872x","properties":{"formattedCitation":"[13]","plainCitation":"[13]","noteIndex":0},"citationItems":[{"id":57,"uris":["http://zotero.org/users/9663344/items/ZTD6HKJR"],"itemData":{"id":57,"type":"article-journal","abstract":"Background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Pr>
                <w:sz w:val="20"/>
                <w:szCs w:val="20"/>
              </w:rPr>
              <w:fldChar w:fldCharType="separate"/>
            </w:r>
            <w:r w:rsidR="00EF4218">
              <w:rPr>
                <w:noProof/>
                <w:sz w:val="20"/>
                <w:szCs w:val="20"/>
              </w:rPr>
              <w:t>[13]</w:t>
            </w:r>
            <w:r>
              <w:rPr>
                <w:sz w:val="20"/>
                <w:szCs w:val="20"/>
              </w:rPr>
              <w:fldChar w:fldCharType="end"/>
            </w:r>
          </w:p>
        </w:tc>
      </w:tr>
      <w:tr w:rsidR="00386083" w:rsidRPr="00FC495F" w14:paraId="3985D5CC"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35E9ECE1" w14:textId="608DBA7F" w:rsidR="00386083" w:rsidRPr="001B5B95" w:rsidRDefault="001B5B95" w:rsidP="0079009B">
            <w:pPr>
              <w:pStyle w:val="NormalWeb"/>
              <w:spacing w:line="276" w:lineRule="auto"/>
              <w:jc w:val="center"/>
              <w:rPr>
                <w:rFonts w:ascii="Aptos" w:eastAsia="DengXian" w:hAnsi="Aptos"/>
                <w:b w:val="0"/>
                <w:bCs w:val="0"/>
                <w:i/>
                <w:sz w:val="20"/>
                <w:szCs w:val="20"/>
              </w:rPr>
            </w:pPr>
            <m:oMathPara>
              <m:oMathParaPr>
                <m:jc m:val="left"/>
              </m:oMathParaPr>
              <m:oMath>
                <m:r>
                  <m:rPr>
                    <m:sty m:val="bi"/>
                  </m:rPr>
                  <w:rPr>
                    <w:rFonts w:ascii="Cambria Math" w:eastAsia="DengXian" w:hAnsi="Cambria Math"/>
                    <w:sz w:val="20"/>
                    <w:szCs w:val="20"/>
                  </w:rPr>
                  <m:t>ζ</m:t>
                </m:r>
              </m:oMath>
            </m:oMathPara>
          </w:p>
        </w:tc>
        <w:tc>
          <w:tcPr>
            <w:tcW w:w="5469" w:type="dxa"/>
            <w:shd w:val="clear" w:color="auto" w:fill="auto"/>
          </w:tcPr>
          <w:p w14:paraId="6A3155D1"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Scaling factor accounting for doxycycline inefficacy due to inconsistent and irregular usage</w:t>
            </w:r>
          </w:p>
        </w:tc>
        <w:tc>
          <w:tcPr>
            <w:tcW w:w="2126" w:type="dxa"/>
            <w:shd w:val="clear" w:color="auto" w:fill="auto"/>
            <w:vAlign w:val="center"/>
          </w:tcPr>
          <w:p w14:paraId="01B62A37"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shd w:val="clear" w:color="auto" w:fill="auto"/>
            <w:vAlign w:val="center"/>
          </w:tcPr>
          <w:p w14:paraId="447E3A0D"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1FC2729F"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5E67D21E" w14:textId="071D3253"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m</m:t>
                    </m:r>
                  </m:sub>
                </m:sSub>
              </m:oMath>
            </m:oMathPara>
          </w:p>
        </w:tc>
        <w:tc>
          <w:tcPr>
            <w:tcW w:w="5469" w:type="dxa"/>
            <w:shd w:val="clear" w:color="auto" w:fill="auto"/>
          </w:tcPr>
          <w:p w14:paraId="4FF4AF06"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w:t>
            </w:r>
            <w:r w:rsidRPr="00FC495F">
              <w:rPr>
                <w:sz w:val="20"/>
                <w:szCs w:val="20"/>
              </w:rPr>
              <w:t>ntolerance rate</w:t>
            </w:r>
            <w:r>
              <w:rPr>
                <w:sz w:val="20"/>
                <w:szCs w:val="20"/>
              </w:rPr>
              <w:t xml:space="preserve"> of doxycycline</w:t>
            </w:r>
          </w:p>
        </w:tc>
        <w:tc>
          <w:tcPr>
            <w:tcW w:w="2126" w:type="dxa"/>
            <w:shd w:val="clear" w:color="auto" w:fill="auto"/>
            <w:vAlign w:val="center"/>
          </w:tcPr>
          <w:p w14:paraId="78EB691F"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0.0135</w:t>
            </w:r>
          </w:p>
        </w:tc>
        <w:tc>
          <w:tcPr>
            <w:tcW w:w="804" w:type="dxa"/>
            <w:shd w:val="clear" w:color="auto" w:fill="auto"/>
            <w:vAlign w:val="center"/>
          </w:tcPr>
          <w:p w14:paraId="7A2CB255" w14:textId="7EE1764B"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{"citationID":"Usl92OI4","properties":{"formattedCitation":"[13]","plainCitation":"[13]","noteIndex":0},"citationItems":[{"id":57,"uris":["http://zotero.org/users/9663344/items/ZTD6HKJR"],"itemData":{"id":57,"type":"article-journal","abstract":"Background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Pr>
                <w:sz w:val="20"/>
                <w:szCs w:val="20"/>
              </w:rPr>
              <w:fldChar w:fldCharType="separate"/>
            </w:r>
            <w:r w:rsidR="00EF4218">
              <w:rPr>
                <w:noProof/>
                <w:sz w:val="20"/>
                <w:szCs w:val="20"/>
              </w:rPr>
              <w:t>[13]</w:t>
            </w:r>
            <w:r>
              <w:rPr>
                <w:sz w:val="20"/>
                <w:szCs w:val="20"/>
              </w:rPr>
              <w:fldChar w:fldCharType="end"/>
            </w:r>
          </w:p>
        </w:tc>
      </w:tr>
      <w:tr w:rsidR="00386083" w:rsidRPr="00FC495F" w14:paraId="04E65EB5"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01B40E77" w14:textId="04374BD7"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n</m:t>
                    </m:r>
                  </m:sub>
                </m:sSub>
              </m:oMath>
            </m:oMathPara>
          </w:p>
        </w:tc>
        <w:tc>
          <w:tcPr>
            <w:tcW w:w="5469" w:type="dxa"/>
            <w:shd w:val="clear" w:color="auto" w:fill="auto"/>
          </w:tcPr>
          <w:p w14:paraId="739B9064"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w:t>
            </w:r>
            <w:r w:rsidRPr="00FC495F">
              <w:rPr>
                <w:sz w:val="20"/>
                <w:szCs w:val="20"/>
              </w:rPr>
              <w:t>iscontinuation rate of doxy-PEP</w:t>
            </w:r>
          </w:p>
        </w:tc>
        <w:tc>
          <w:tcPr>
            <w:tcW w:w="2126" w:type="dxa"/>
            <w:shd w:val="clear" w:color="auto" w:fill="auto"/>
            <w:vAlign w:val="center"/>
          </w:tcPr>
          <w:p w14:paraId="31FF5021" w14:textId="3DCE946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0.362</w:t>
            </w:r>
            <m:oMath>
              <m:r>
                <w:rPr>
                  <w:rFonts w:ascii="Cambria Math" w:hAnsi="Cambria Math"/>
                  <w:sz w:val="20"/>
                  <w:szCs w:val="20"/>
                </w:rPr>
                <m:t>u</m:t>
              </m:r>
            </m:oMath>
          </w:p>
        </w:tc>
        <w:tc>
          <w:tcPr>
            <w:tcW w:w="804" w:type="dxa"/>
            <w:shd w:val="clear" w:color="auto" w:fill="auto"/>
            <w:vAlign w:val="center"/>
          </w:tcPr>
          <w:p w14:paraId="2AB1DFE0" w14:textId="4711938A"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{"citationID":"ZwZoI9Sa","properties":{"formattedCitation":"[28]","plainCitation":"[28]","noteIndex":0},"citationItems":[{"id":151,"uris":["http://zotero.org/users/9663344/items/MXEW8URU"],"itemData":{"id":151,"type":"article-journal","abstract":"Background Poor adherence to oral HIV pre-exposure prophylaxis (PrEP) diminishes its clinical and public health benefits. This study synthesises evidence regarding discontinuation, adherence, and reinitiation of PrEP among geographically diverse PrEP users.","container-title":"The Lancet HIV","DOI":"10.1016/S2352-3018(22)00030-3","ISSN":"23523018","issue":"4","journalAbbreviation":"The Lancet HIV","language":"en","page":"e254-e268","source":"DOI.org (Crossref)","title":"Discontinuation, suboptimal adherence, and reinitiation of oral HIV pre-exposure prophylaxis: a global systematic review and meta-analysis","title-short":"Discontinuation, suboptimal adherence, and reinitiation of oral HIV pre-exposure prophylaxis","volume":"9","author":[{"family":"Zhang","given":"Jing"},{"family":"Li","given":"Chunyan"},{"family":"Xu","given":"Junjie"},{"family":"Hu","given":"Zhili"},{"family":"Rutstein","given":"Sarah E"},{"family":"Tucker","given":"Joseph D"},{"family":"Ong","given":"Jason J"},{"family":"Jiang","given":"Yongjun"},{"family":"Geng","given":"Wenqing"},{"family":"Wright","given":"Sarah T"},{"family":"Cohen","given":"Myron S"},{"family":"Shang","given":"Hong"},{"family":"Tang","given":"Weiming"}],"issued":{"date-parts":[["2022",4]]}}}],"schema":"https://github.com/citation-style-language/schema/raw/master/csl-citation.json"} </w:instrText>
            </w:r>
            <w:r>
              <w:rPr>
                <w:sz w:val="20"/>
                <w:szCs w:val="20"/>
              </w:rPr>
              <w:fldChar w:fldCharType="separate"/>
            </w:r>
            <w:r w:rsidR="00EF4218">
              <w:rPr>
                <w:noProof/>
                <w:sz w:val="20"/>
                <w:szCs w:val="20"/>
              </w:rPr>
              <w:t>[28]</w:t>
            </w:r>
            <w:r>
              <w:rPr>
                <w:sz w:val="20"/>
                <w:szCs w:val="20"/>
              </w:rPr>
              <w:fldChar w:fldCharType="end"/>
            </w:r>
          </w:p>
        </w:tc>
      </w:tr>
      <w:tr w:rsidR="00386083" w:rsidRPr="00FC495F" w14:paraId="75552828"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14CC006D" w14:textId="307B00EA"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x</m:t>
                    </m:r>
                  </m:sub>
                </m:sSub>
              </m:oMath>
            </m:oMathPara>
          </w:p>
        </w:tc>
        <w:tc>
          <w:tcPr>
            <w:tcW w:w="5469" w:type="dxa"/>
            <w:shd w:val="clear" w:color="auto" w:fill="auto"/>
          </w:tcPr>
          <w:p w14:paraId="713911B0"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Suboptimal adherence rate of doxy-PEP</w:t>
            </w:r>
          </w:p>
        </w:tc>
        <w:tc>
          <w:tcPr>
            <w:tcW w:w="2126" w:type="dxa"/>
            <w:shd w:val="clear" w:color="auto" w:fill="auto"/>
            <w:vAlign w:val="center"/>
          </w:tcPr>
          <w:p w14:paraId="356880B4" w14:textId="750FF91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0.420</w:t>
            </w:r>
            <m:oMath>
              <m:r>
                <w:rPr>
                  <w:rFonts w:ascii="Cambria Math" w:hAnsi="Cambria Math"/>
                  <w:sz w:val="20"/>
                  <w:szCs w:val="20"/>
                </w:rPr>
                <m:t>u</m:t>
              </m:r>
            </m:oMath>
          </w:p>
        </w:tc>
        <w:tc>
          <w:tcPr>
            <w:tcW w:w="804" w:type="dxa"/>
            <w:shd w:val="clear" w:color="auto" w:fill="auto"/>
            <w:vAlign w:val="center"/>
          </w:tcPr>
          <w:p w14:paraId="051E454C" w14:textId="26BDD05E"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{"citationID":"15oA2PAU","properties":{"formattedCitation":"[28]","plainCitation":"[28]","noteIndex":0},"citationItems":[{"id":151,"uris":["http://zotero.org/users/9663344/items/MXEW8URU"],"itemData":{"id":151,"type":"article-journal","abstract":"Background Poor adherence to oral HIV pre-exposure prophylaxis (PrEP) diminishes its clinical and public health benefits. This study synthesises evidence regarding discontinuation, adherence, and reinitiation of PrEP among geographically diverse PrEP users.","container-title":"The Lancet HIV","DOI":"10.1016/S2352-3018(22)00030-3","ISSN":"23523018","issue":"4","journalAbbreviation":"The Lancet HIV","language":"en","page":"e254-e268","source":"DOI.org (Crossref)","title":"Discontinuation, suboptimal adherence, and reinitiation of oral HIV pre-exposure prophylaxis: a global systematic review and meta-analysis","title-short":"Discontinuation, suboptimal adherence, and reinitiation of oral HIV pre-exposure prophylaxis","volume":"9","author":[{"family":"Zhang","given":"Jing"},{"family":"Li","given":"Chunyan"},{"family":"Xu","given":"Junjie"},{"family":"Hu","given":"Zhili"},{"family":"Rutstein","given":"Sarah E"},{"family":"Tucker","given":"Joseph D"},{"family":"Ong","given":"Jason J"},{"family":"Jiang","given":"Yongjun"},{"family":"Geng","given":"Wenqing"},{"family":"Wright","given":"Sarah T"},{"family":"Cohen","given":"Myron S"},{"family":"Shang","given":"Hong"},{"family":"Tang","given":"Weiming"}],"issued":{"date-parts":[["2022",4]]}}}],"schema":"https://github.com/citation-style-language/schema/raw/master/csl-citation.json"} </w:instrText>
            </w:r>
            <w:r>
              <w:rPr>
                <w:sz w:val="20"/>
                <w:szCs w:val="20"/>
              </w:rPr>
              <w:fldChar w:fldCharType="separate"/>
            </w:r>
            <w:r w:rsidR="00EF4218">
              <w:rPr>
                <w:noProof/>
                <w:sz w:val="20"/>
                <w:szCs w:val="20"/>
              </w:rPr>
              <w:t>[28]</w:t>
            </w:r>
            <w:r>
              <w:rPr>
                <w:sz w:val="20"/>
                <w:szCs w:val="20"/>
              </w:rPr>
              <w:fldChar w:fldCharType="end"/>
            </w:r>
          </w:p>
        </w:tc>
      </w:tr>
      <w:tr w:rsidR="00386083" w:rsidRPr="00FC495F" w14:paraId="2748CC7C"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bottom w:val="single" w:sz="4" w:space="0" w:color="auto"/>
            </w:tcBorders>
            <w:shd w:val="clear" w:color="auto" w:fill="auto"/>
            <w:vAlign w:val="center"/>
          </w:tcPr>
          <w:p w14:paraId="5EF28588" w14:textId="474D54D5"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xn</m:t>
                    </m:r>
                  </m:sub>
                </m:sSub>
              </m:oMath>
            </m:oMathPara>
          </w:p>
        </w:tc>
        <w:tc>
          <w:tcPr>
            <w:tcW w:w="5469" w:type="dxa"/>
            <w:tcBorders>
              <w:bottom w:val="single" w:sz="4" w:space="0" w:color="auto"/>
            </w:tcBorders>
            <w:shd w:val="clear" w:color="auto" w:fill="auto"/>
          </w:tcPr>
          <w:p w14:paraId="18F9AE1E" w14:textId="77777777" w:rsidR="00386083" w:rsidRPr="00BE4093"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BE4093">
              <w:rPr>
                <w:sz w:val="20"/>
                <w:szCs w:val="20"/>
              </w:rPr>
              <w:t>Discontinuation rate among suboptimally adherent doxy-PEP</w:t>
            </w:r>
          </w:p>
        </w:tc>
        <w:tc>
          <w:tcPr>
            <w:tcW w:w="2126" w:type="dxa"/>
            <w:tcBorders>
              <w:bottom w:val="single" w:sz="4" w:space="0" w:color="auto"/>
            </w:tcBorders>
            <w:shd w:val="clear" w:color="auto" w:fill="auto"/>
            <w:vAlign w:val="center"/>
          </w:tcPr>
          <w:p w14:paraId="3D99641B" w14:textId="5C7A5039" w:rsidR="00386083"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0.936</w:t>
            </w:r>
            <m:oMath>
              <m:r>
                <w:rPr>
                  <w:rFonts w:ascii="Cambria Math" w:hAnsi="Cambria Math"/>
                  <w:sz w:val="20"/>
                  <w:szCs w:val="20"/>
                </w:rPr>
                <m:t>u</m:t>
              </m:r>
            </m:oMath>
          </w:p>
        </w:tc>
        <w:tc>
          <w:tcPr>
            <w:tcW w:w="804" w:type="dxa"/>
            <w:tcBorders>
              <w:bottom w:val="single" w:sz="4" w:space="0" w:color="auto"/>
            </w:tcBorders>
            <w:shd w:val="clear" w:color="auto" w:fill="auto"/>
            <w:vAlign w:val="center"/>
          </w:tcPr>
          <w:p w14:paraId="40A223EB" w14:textId="7FFE4555" w:rsidR="00386083"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183DDCAB"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tcBorders>
            <w:shd w:val="clear" w:color="auto" w:fill="auto"/>
            <w:vAlign w:val="center"/>
          </w:tcPr>
          <w:p w14:paraId="2ED969EB" w14:textId="37FE0131"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p>
                  <m:sSupPr>
                    <m:ctrlPr>
                      <w:rPr>
                        <w:rFonts w:ascii="Cambria Math" w:eastAsia="DengXian" w:hAnsi="Cambria Math"/>
                        <w:b w:val="0"/>
                        <w:bCs w:val="0"/>
                        <w:i/>
                        <w:sz w:val="20"/>
                        <w:szCs w:val="20"/>
                      </w:rPr>
                    </m:ctrlPr>
                  </m:sSupPr>
                  <m:e>
                    <m:r>
                      <m:rPr>
                        <m:sty m:val="bi"/>
                      </m:rPr>
                      <w:rPr>
                        <w:rFonts w:ascii="Cambria Math" w:eastAsia="DengXian" w:hAnsi="Cambria Math"/>
                        <w:sz w:val="20"/>
                        <w:szCs w:val="20"/>
                      </w:rPr>
                      <m:t>p</m:t>
                    </m:r>
                  </m:e>
                  <m:sup>
                    <m:r>
                      <m:rPr>
                        <m:sty m:val="bi"/>
                      </m:rPr>
                      <w:rPr>
                        <w:rFonts w:ascii="Cambria Math" w:eastAsia="DengXian" w:hAnsi="Cambria Math"/>
                        <w:sz w:val="20"/>
                        <w:szCs w:val="20"/>
                      </w:rPr>
                      <m:t>DbE</m:t>
                    </m:r>
                  </m:sup>
                </m:sSup>
              </m:oMath>
            </m:oMathPara>
          </w:p>
        </w:tc>
        <w:tc>
          <w:tcPr>
            <w:tcW w:w="5469" w:type="dxa"/>
            <w:tcBorders>
              <w:top w:val="single" w:sz="4" w:space="0" w:color="auto"/>
            </w:tcBorders>
            <w:shd w:val="clear" w:color="auto" w:fill="auto"/>
          </w:tcPr>
          <w:p w14:paraId="65C1310A"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uptake of doxycycline before entry into the sexually-active population</w:t>
            </w:r>
          </w:p>
        </w:tc>
        <w:tc>
          <w:tcPr>
            <w:tcW w:w="2126" w:type="dxa"/>
            <w:tcBorders>
              <w:top w:val="single" w:sz="4" w:space="0" w:color="auto"/>
            </w:tcBorders>
            <w:shd w:val="clear" w:color="auto" w:fill="auto"/>
            <w:vAlign w:val="center"/>
          </w:tcPr>
          <w:p w14:paraId="3F833036"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tcBorders>
              <w:top w:val="single" w:sz="4" w:space="0" w:color="auto"/>
            </w:tcBorders>
            <w:shd w:val="clear" w:color="auto" w:fill="auto"/>
            <w:vAlign w:val="center"/>
          </w:tcPr>
          <w:p w14:paraId="26DD70D2"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44078AB9"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18473E53" w14:textId="768BF87C"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Sup>
                  <m:sSubSupPr>
                    <m:ctrlPr>
                      <w:rPr>
                        <w:rFonts w:ascii="Cambria Math" w:eastAsia="DengXian" w:hAnsi="Cambria Math"/>
                        <w:b w:val="0"/>
                        <w:bCs w:val="0"/>
                        <w:i/>
                        <w:sz w:val="20"/>
                        <w:szCs w:val="20"/>
                      </w:rPr>
                    </m:ctrlPr>
                  </m:sSubSupPr>
                  <m:e>
                    <m:r>
                      <m:rPr>
                        <m:sty m:val="bi"/>
                      </m:rPr>
                      <w:rPr>
                        <w:rFonts w:ascii="Cambria Math" w:eastAsia="DengXian" w:hAnsi="Cambria Math"/>
                        <w:sz w:val="20"/>
                        <w:szCs w:val="20"/>
                      </w:rPr>
                      <m:t>p</m:t>
                    </m:r>
                  </m:e>
                  <m:sub>
                    <m:r>
                      <m:rPr>
                        <m:sty m:val="bi"/>
                      </m:rPr>
                      <w:rPr>
                        <w:rFonts w:ascii="Cambria Math" w:eastAsia="DengXian" w:hAnsi="Cambria Math"/>
                        <w:sz w:val="20"/>
                        <w:szCs w:val="20"/>
                      </w:rPr>
                      <m:t>j</m:t>
                    </m:r>
                  </m:sub>
                  <m:sup>
                    <m:r>
                      <m:rPr>
                        <m:sty m:val="bi"/>
                      </m:rPr>
                      <w:rPr>
                        <w:rFonts w:ascii="Cambria Math" w:eastAsia="DengXian" w:hAnsi="Cambria Math"/>
                        <w:sz w:val="20"/>
                        <w:szCs w:val="20"/>
                      </w:rPr>
                      <m:t>DoD</m:t>
                    </m:r>
                  </m:sup>
                </m:sSubSup>
              </m:oMath>
            </m:oMathPara>
          </w:p>
        </w:tc>
        <w:tc>
          <w:tcPr>
            <w:tcW w:w="5469" w:type="dxa"/>
            <w:shd w:val="clear" w:color="auto" w:fill="auto"/>
          </w:tcPr>
          <w:p w14:paraId="002EC475" w14:textId="1649B1D5"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uptake of doxycycline on diagnosis</w:t>
            </w:r>
            <w:r>
              <w:rPr>
                <w:sz w:val="20"/>
                <w:szCs w:val="20"/>
              </w:rPr>
              <w:t xml:space="preserve"> </w:t>
            </w:r>
            <w:r w:rsidRPr="00FC495F">
              <w:rPr>
                <w:sz w:val="20"/>
                <w:szCs w:val="20"/>
              </w:rPr>
              <w:t xml:space="preserve">in group </w:t>
            </w:r>
            <m:oMath>
              <m:r>
                <w:rPr>
                  <w:rFonts w:ascii="Cambria Math" w:hAnsi="Cambria Math"/>
                  <w:sz w:val="20"/>
                  <w:szCs w:val="20"/>
                </w:rPr>
                <m:t>j</m:t>
              </m:r>
            </m:oMath>
          </w:p>
        </w:tc>
        <w:tc>
          <w:tcPr>
            <w:tcW w:w="2126" w:type="dxa"/>
            <w:shd w:val="clear" w:color="auto" w:fill="auto"/>
            <w:vAlign w:val="center"/>
          </w:tcPr>
          <w:p w14:paraId="1D3368DD"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shd w:val="clear" w:color="auto" w:fill="auto"/>
            <w:vAlign w:val="center"/>
          </w:tcPr>
          <w:p w14:paraId="584AAE24"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411AB435"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bottom w:val="single" w:sz="4" w:space="0" w:color="auto"/>
            </w:tcBorders>
            <w:shd w:val="clear" w:color="auto" w:fill="auto"/>
            <w:vAlign w:val="center"/>
          </w:tcPr>
          <w:p w14:paraId="7061A768" w14:textId="49BB5105"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Sup>
                  <m:sSubSupPr>
                    <m:ctrlPr>
                      <w:rPr>
                        <w:rFonts w:ascii="Cambria Math" w:eastAsia="DengXian" w:hAnsi="Cambria Math"/>
                        <w:b w:val="0"/>
                        <w:bCs w:val="0"/>
                        <w:i/>
                        <w:sz w:val="20"/>
                        <w:szCs w:val="20"/>
                      </w:rPr>
                    </m:ctrlPr>
                  </m:sSubSupPr>
                  <m:e>
                    <m:r>
                      <m:rPr>
                        <m:sty m:val="bi"/>
                      </m:rPr>
                      <w:rPr>
                        <w:rFonts w:ascii="Cambria Math" w:eastAsia="DengXian" w:hAnsi="Cambria Math"/>
                        <w:sz w:val="20"/>
                        <w:szCs w:val="20"/>
                      </w:rPr>
                      <m:t>p</m:t>
                    </m:r>
                  </m:e>
                  <m:sub>
                    <m:r>
                      <m:rPr>
                        <m:sty m:val="bi"/>
                      </m:rPr>
                      <w:rPr>
                        <w:rFonts w:ascii="Cambria Math" w:eastAsia="DengXian" w:hAnsi="Cambria Math"/>
                        <w:sz w:val="20"/>
                        <w:szCs w:val="20"/>
                      </w:rPr>
                      <m:t>j</m:t>
                    </m:r>
                  </m:sub>
                  <m:sup>
                    <m:r>
                      <m:rPr>
                        <m:sty m:val="bi"/>
                      </m:rPr>
                      <w:rPr>
                        <w:rFonts w:ascii="Cambria Math" w:eastAsia="DengXian" w:hAnsi="Cambria Math"/>
                        <w:sz w:val="20"/>
                        <w:szCs w:val="20"/>
                      </w:rPr>
                      <m:t>DoS</m:t>
                    </m:r>
                  </m:sup>
                </m:sSubSup>
              </m:oMath>
            </m:oMathPara>
          </w:p>
        </w:tc>
        <w:tc>
          <w:tcPr>
            <w:tcW w:w="5469" w:type="dxa"/>
            <w:tcBorders>
              <w:bottom w:val="single" w:sz="4" w:space="0" w:color="auto"/>
            </w:tcBorders>
            <w:shd w:val="clear" w:color="auto" w:fill="auto"/>
          </w:tcPr>
          <w:p w14:paraId="6D603691" w14:textId="132D5B60"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Probability of uptake of doxycycline on screening with negative results in group </w:t>
            </w:r>
            <m:oMath>
              <m:r>
                <w:rPr>
                  <w:rFonts w:ascii="Cambria Math" w:hAnsi="Cambria Math"/>
                  <w:sz w:val="20"/>
                  <w:szCs w:val="20"/>
                </w:rPr>
                <m:t>j</m:t>
              </m:r>
            </m:oMath>
          </w:p>
        </w:tc>
        <w:tc>
          <w:tcPr>
            <w:tcW w:w="2126" w:type="dxa"/>
            <w:tcBorders>
              <w:bottom w:val="single" w:sz="4" w:space="0" w:color="auto"/>
            </w:tcBorders>
            <w:shd w:val="clear" w:color="auto" w:fill="auto"/>
            <w:vAlign w:val="center"/>
          </w:tcPr>
          <w:p w14:paraId="1F1A4733"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tcBorders>
              <w:bottom w:val="single" w:sz="4" w:space="0" w:color="auto"/>
            </w:tcBorders>
            <w:shd w:val="clear" w:color="auto" w:fill="auto"/>
            <w:vAlign w:val="center"/>
          </w:tcPr>
          <w:p w14:paraId="4E2A2001"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4A939671" w14:textId="01CE29FD" w:rsidR="00D41694" w:rsidRPr="00D41694" w:rsidRDefault="00D41694" w:rsidP="00D41694">
      <w:pPr>
        <w:pStyle w:val="NormalWeb"/>
        <w:spacing w:line="276" w:lineRule="auto"/>
        <w:jc w:val="both"/>
        <w:rPr>
          <w:sz w:val="20"/>
          <w:szCs w:val="20"/>
        </w:rPr>
      </w:pPr>
      <w:r w:rsidRPr="00D41694">
        <w:rPr>
          <w:sz w:val="20"/>
          <w:szCs w:val="20"/>
        </w:rPr>
        <w:t xml:space="preserve">Our model comprises four behavioural strata based on doxy-PEP usage patterns: (1) Stratum </w:t>
      </w:r>
      <m:oMath>
        <m:r>
          <w:rPr>
            <w:rFonts w:ascii="Cambria Math" w:eastAsiaTheme="minorEastAsia" w:hAnsi="Cambria Math"/>
            <w:sz w:val="20"/>
            <w:szCs w:val="20"/>
            <w:lang w:val="en-US"/>
          </w:rPr>
          <m:t>D</m:t>
        </m:r>
      </m:oMath>
      <w:r w:rsidRPr="00D41694">
        <w:rPr>
          <w:sz w:val="20"/>
          <w:szCs w:val="20"/>
        </w:rPr>
        <w:t xml:space="preserve"> (doxy-PEP user): MSM who take doxycycline after condomless sex; (2) </w:t>
      </w:r>
      <w:r w:rsidRPr="00D41694">
        <w:rPr>
          <w:rStyle w:val="Strong"/>
          <w:rFonts w:eastAsiaTheme="majorEastAsia"/>
          <w:b w:val="0"/>
          <w:bCs w:val="0"/>
          <w:sz w:val="20"/>
          <w:szCs w:val="20"/>
        </w:rPr>
        <w:t xml:space="preserve">Stratum </w:t>
      </w:r>
      <m:oMath>
        <m:r>
          <w:rPr>
            <w:rStyle w:val="Strong"/>
            <w:rFonts w:ascii="Cambria Math" w:eastAsiaTheme="majorEastAsia" w:hAnsi="Cambria Math"/>
            <w:sz w:val="20"/>
            <w:szCs w:val="20"/>
          </w:rPr>
          <m:t>N</m:t>
        </m:r>
      </m:oMath>
      <w:r w:rsidRPr="00D41694">
        <w:rPr>
          <w:rStyle w:val="Strong"/>
          <w:rFonts w:eastAsiaTheme="majorEastAsia"/>
          <w:b w:val="0"/>
          <w:bCs w:val="0"/>
          <w:sz w:val="20"/>
          <w:szCs w:val="20"/>
        </w:rPr>
        <w:t xml:space="preserve"> (non-doxy-PEP users): MSM who do not take doxycycline after condomless sex, </w:t>
      </w:r>
      <w:r w:rsidRPr="00D41694">
        <w:rPr>
          <w:sz w:val="20"/>
          <w:szCs w:val="20"/>
        </w:rPr>
        <w:t>including those who rely on alternative STI prevention methods such as condom use, as well as individuals with contraindications, such as those taking medications or supplements that interact with doxycycline, including antacids and stomach ulcer treatments containing bismuth (e.g., Pepto-Bismol)</w:t>
      </w:r>
      <w:r w:rsidRPr="00D41694">
        <w:rPr>
          <w:rStyle w:val="Strong"/>
          <w:rFonts w:eastAsiaTheme="majorEastAsia"/>
          <w:b w:val="0"/>
          <w:bCs w:val="0"/>
          <w:sz w:val="20"/>
          <w:szCs w:val="20"/>
        </w:rPr>
        <w:t xml:space="preserve"> </w:t>
      </w:r>
      <w:r w:rsidRPr="00D41694">
        <w:rPr>
          <w:rStyle w:val="Strong"/>
          <w:rFonts w:eastAsiaTheme="majorEastAsia"/>
          <w:b w:val="0"/>
          <w:bCs w:val="0"/>
          <w:sz w:val="20"/>
          <w:szCs w:val="20"/>
        </w:rPr>
        <w:fldChar w:fldCharType="begin"/>
      </w:r>
      <w:r w:rsidR="00EF4218">
        <w:rPr>
          <w:rStyle w:val="Strong"/>
          <w:rFonts w:eastAsiaTheme="majorEastAsia"/>
          <w:b w:val="0"/>
          <w:bCs w:val="0"/>
          <w:sz w:val="20"/>
          <w:szCs w:val="20"/>
        </w:rPr>
        <w:instrText xml:space="preserve"> ADDIN ZOTERO_ITEM CSL_CITATION {"citationID":"daWdAtJU","properties":{"formattedCitation":"[29]","plainCitation":"[29]","noteIndex":0},"citationItems":[{"id":16,"uris":["http://zotero.org/users/9663344/items/88DX5WK7"],"itemData":{"id":16,"type":"webpage","abstract":"NHS medicines information on possible interactions with doxycycline and other medicines, herbal remedies and supplements.","container-title":"National Health Service","language":"en","title":"Taking doxycycline with other medicines and herbal supplements","URL":"https://www.nhs.uk/medicines/doxycycline/taking-doxycycline-with-other-medicines-and-herbal-supplements/","accessed":{"date-parts":[["2025",2,10]]},"issued":{"date-parts":[["2022",1,20]]}}}],"schema":"https://github.com/citation-style-language/schema/raw/master/csl-citation.json"} </w:instrText>
      </w:r>
      <w:r w:rsidRPr="00D41694">
        <w:rPr>
          <w:rStyle w:val="Strong"/>
          <w:rFonts w:eastAsiaTheme="majorEastAsia"/>
          <w:b w:val="0"/>
          <w:bCs w:val="0"/>
          <w:sz w:val="20"/>
          <w:szCs w:val="20"/>
        </w:rPr>
        <w:fldChar w:fldCharType="separate"/>
      </w:r>
      <w:r w:rsidR="00EF4218">
        <w:rPr>
          <w:rStyle w:val="Strong"/>
          <w:rFonts w:eastAsiaTheme="majorEastAsia"/>
          <w:b w:val="0"/>
          <w:bCs w:val="0"/>
          <w:noProof/>
          <w:sz w:val="20"/>
          <w:szCs w:val="20"/>
        </w:rPr>
        <w:t>[29]</w:t>
      </w:r>
      <w:r w:rsidRPr="00D41694">
        <w:rPr>
          <w:rStyle w:val="Strong"/>
          <w:rFonts w:eastAsiaTheme="majorEastAsia"/>
          <w:b w:val="0"/>
          <w:bCs w:val="0"/>
          <w:sz w:val="20"/>
          <w:szCs w:val="20"/>
        </w:rPr>
        <w:fldChar w:fldCharType="end"/>
      </w:r>
      <w:r w:rsidRPr="00D41694">
        <w:rPr>
          <w:sz w:val="20"/>
          <w:szCs w:val="20"/>
        </w:rPr>
        <w:t xml:space="preserve">; (3) Stratum </w:t>
      </w:r>
      <m:oMath>
        <m:r>
          <w:rPr>
            <w:rFonts w:ascii="Cambria Math" w:hAnsi="Cambria Math"/>
            <w:sz w:val="20"/>
            <w:szCs w:val="20"/>
          </w:rPr>
          <m:t>X</m:t>
        </m:r>
      </m:oMath>
      <w:r w:rsidRPr="00D41694">
        <w:rPr>
          <w:rStyle w:val="Strong"/>
          <w:rFonts w:eastAsiaTheme="majorEastAsia"/>
          <w:b w:val="0"/>
          <w:bCs w:val="0"/>
          <w:sz w:val="20"/>
          <w:szCs w:val="20"/>
        </w:rPr>
        <w:t xml:space="preserve"> (</w:t>
      </w:r>
      <w:r w:rsidRPr="00D41694">
        <w:rPr>
          <w:sz w:val="20"/>
          <w:szCs w:val="20"/>
        </w:rPr>
        <w:t>doxy-inconsistent</w:t>
      </w:r>
      <w:r w:rsidRPr="00D41694">
        <w:rPr>
          <w:rStyle w:val="Strong"/>
          <w:rFonts w:eastAsiaTheme="majorEastAsia"/>
          <w:b w:val="0"/>
          <w:bCs w:val="0"/>
          <w:sz w:val="20"/>
          <w:szCs w:val="20"/>
        </w:rPr>
        <w:t xml:space="preserve"> users): MSM who take doxycycline after condomless sex but experience reduced </w:t>
      </w:r>
      <w:r w:rsidR="00ED1F57">
        <w:rPr>
          <w:rStyle w:val="Strong"/>
          <w:rFonts w:eastAsiaTheme="majorEastAsia"/>
          <w:b w:val="0"/>
          <w:bCs w:val="0"/>
          <w:sz w:val="20"/>
          <w:szCs w:val="20"/>
        </w:rPr>
        <w:t>efficacy</w:t>
      </w:r>
      <w:r w:rsidRPr="00D41694">
        <w:rPr>
          <w:sz w:val="20"/>
          <w:szCs w:val="20"/>
        </w:rPr>
        <w:t xml:space="preserve"> due to factors such as alcohol consumption and inconsistent and irregular use (e.g., skipping doses, delayed intake); (4)</w:t>
      </w:r>
      <w:r w:rsidR="00A740E3">
        <w:rPr>
          <w:sz w:val="20"/>
          <w:szCs w:val="20"/>
        </w:rPr>
        <w:t xml:space="preserve"> </w:t>
      </w:r>
      <w:r w:rsidRPr="00D41694">
        <w:rPr>
          <w:sz w:val="20"/>
          <w:szCs w:val="20"/>
        </w:rPr>
        <w:t>S</w:t>
      </w:r>
      <w:r w:rsidRPr="00D41694">
        <w:rPr>
          <w:rStyle w:val="Strong"/>
          <w:rFonts w:eastAsiaTheme="majorEastAsia"/>
          <w:b w:val="0"/>
          <w:bCs w:val="0"/>
          <w:sz w:val="20"/>
          <w:szCs w:val="20"/>
        </w:rPr>
        <w:t>tratum</w:t>
      </w:r>
      <w:r w:rsidRPr="00D41694">
        <w:rPr>
          <w:rFonts w:eastAsiaTheme="minorEastAsia"/>
          <w:i/>
          <w:sz w:val="20"/>
          <w:szCs w:val="20"/>
          <w:lang w:val="en-US"/>
        </w:rPr>
        <w:t xml:space="preserve"> </w:t>
      </w:r>
      <m:oMath>
        <m:r>
          <w:rPr>
            <w:rFonts w:ascii="Cambria Math" w:eastAsiaTheme="minorEastAsia" w:hAnsi="Cambria Math"/>
            <w:sz w:val="20"/>
            <w:szCs w:val="20"/>
            <w:lang w:val="en-US"/>
          </w:rPr>
          <m:t>M</m:t>
        </m:r>
      </m:oMath>
      <w:r w:rsidRPr="00D41694">
        <w:rPr>
          <w:rStyle w:val="Strong"/>
          <w:rFonts w:eastAsiaTheme="majorEastAsia"/>
          <w:b w:val="0"/>
          <w:bCs w:val="0"/>
          <w:sz w:val="20"/>
          <w:szCs w:val="20"/>
        </w:rPr>
        <w:t xml:space="preserve"> (doxy-intolerant users): MSM who cannot take doxycycline due to medical conditions, </w:t>
      </w:r>
      <w:r w:rsidRPr="00D41694">
        <w:rPr>
          <w:sz w:val="20"/>
          <w:szCs w:val="20"/>
        </w:rPr>
        <w:t xml:space="preserve">including but not limited to a history of allergic reactions to doxycycline or related medications, kidney or liver dysfunction </w:t>
      </w:r>
      <w:r w:rsidRPr="00D41694">
        <w:rPr>
          <w:rStyle w:val="Strong"/>
          <w:rFonts w:eastAsiaTheme="majorEastAsia"/>
          <w:b w:val="0"/>
          <w:bCs w:val="0"/>
          <w:sz w:val="20"/>
          <w:szCs w:val="20"/>
        </w:rPr>
        <w:fldChar w:fldCharType="begin"/>
      </w:r>
      <w:r w:rsidR="00EF4218">
        <w:rPr>
          <w:rStyle w:val="Strong"/>
          <w:rFonts w:eastAsiaTheme="majorEastAsia"/>
          <w:b w:val="0"/>
          <w:bCs w:val="0"/>
          <w:sz w:val="20"/>
          <w:szCs w:val="20"/>
        </w:rPr>
        <w:instrText xml:space="preserve"> ADDIN ZOTERO_ITEM CSL_CITATION {"citationID":"RBLnjJDJ","properties":{"formattedCitation":"[30]","plainCitation":"[30]","noteIndex":0},"citationItems":[{"id":27,"uris":["http://zotero.org/users/9663344/items/52MKBUSP"],"itemData":{"id":27,"type":"webpage","abstract":"NHS medicines information on who can take doxycycline and who may not be able to take it.","container-title":"National Health Service","language":"en","title":"Who can and cannot take doxycycline","URL":"https://www.nhs.uk/medicines/doxycycline/who-can-and-cannot-take-doxycycline/","accessed":{"date-parts":[["2025",2,10]]},"issued":{"date-parts":[["2022",1,20]]}}}],"schema":"https://github.com/citation-style-language/schema/raw/master/csl-citation.json"} </w:instrText>
      </w:r>
      <w:r w:rsidRPr="00D41694">
        <w:rPr>
          <w:rStyle w:val="Strong"/>
          <w:rFonts w:eastAsiaTheme="majorEastAsia"/>
          <w:b w:val="0"/>
          <w:bCs w:val="0"/>
          <w:sz w:val="20"/>
          <w:szCs w:val="20"/>
        </w:rPr>
        <w:fldChar w:fldCharType="separate"/>
      </w:r>
      <w:r w:rsidR="00EF4218">
        <w:rPr>
          <w:rStyle w:val="Strong"/>
          <w:rFonts w:eastAsiaTheme="majorEastAsia"/>
          <w:b w:val="0"/>
          <w:bCs w:val="0"/>
          <w:noProof/>
          <w:sz w:val="20"/>
          <w:szCs w:val="20"/>
        </w:rPr>
        <w:t>[30]</w:t>
      </w:r>
      <w:r w:rsidRPr="00D41694">
        <w:rPr>
          <w:rStyle w:val="Strong"/>
          <w:rFonts w:eastAsiaTheme="majorEastAsia"/>
          <w:b w:val="0"/>
          <w:bCs w:val="0"/>
          <w:sz w:val="20"/>
          <w:szCs w:val="20"/>
        </w:rPr>
        <w:fldChar w:fldCharType="end"/>
      </w:r>
      <w:r w:rsidRPr="00D41694">
        <w:rPr>
          <w:sz w:val="20"/>
          <w:szCs w:val="20"/>
        </w:rPr>
        <w:t xml:space="preserve">, as well as those who initially take doxycycline but discontinue use due to side effects (e.g., gastrointestinal discomfort, photosensitivity, esophageal irritation) </w:t>
      </w:r>
      <w:r w:rsidRPr="00D41694">
        <w:rPr>
          <w:sz w:val="20"/>
          <w:szCs w:val="20"/>
        </w:rPr>
        <w:fldChar w:fldCharType="begin"/>
      </w:r>
      <w:r w:rsidR="00EF4218">
        <w:rPr>
          <w:sz w:val="20"/>
          <w:szCs w:val="20"/>
        </w:rPr>
        <w:instrText xml:space="preserve"> ADDIN ZOTERO_ITEM CSL_CITATION {"citationID":"UXTHfa8z","properties":{"formattedCitation":"[31]","plainCitation":"[31]","noteIndex":0},"citationItems":[{"id":18,"uris":["http://zotero.org/users/9663344/items/EMZFM3P7"],"itemData":{"id":18,"type":"article-journal","abstract":"The use of medicines to prevent sexually transmitted infection (STI) acquisition has a long history. Although some biomedical prevention efforts were successful, the emergence of resistance in Neisseria gonorrhoeae to numerous antibiotics during the 20th century dampened enthusiasm for these approaches.Biomedical STI prevention is back. In the past decade, the introduction of effective biomedical approaches to HIV prevention, including HIV pre-exposure prophylaxis (PrEP) and postexposure prophylaxis (PEP), together with rising rates of STIs, rekindled interest in STI prevention. Doxycycline PEP (doxyPEP) has emerged as a new evidence-based intervention to reduce the risk of acquiring 3 bacterial STIs, including syphilis, chlamydia, and gonorrhea (hereafter, referred to as bacterial STIs, though bacterial STIs besides these 3 exist). In June 2024, the Centers for Disease Control and Prevention (CDC) published guidelines for the use of doxyPEP (doxycycline, 200 mg, self-administered orally within 72 hours of sex without a condom).","container-title":"JAMA Dermatology","DOI":"10.1001/jamadermatol.2024.4567","ISSN":"2168-6068","issue":"1","journalAbbreviation":"JAMA Dermatology","page":"7-8","source":"Silverchair","title":"Doxycycline Postexposure Prophylaxis (DoxyPEP) for Bacterial STI Prevention","volume":"161","author":[{"family":"Junejo","given":"Muhammad H."},{"family":"Marcus","given":"Julia L."},{"family":"Katz","given":"Kenneth A."}],"issued":{"date-parts":[["2025",1,1]]}}}],"schema":"https://github.com/citation-style-language/schema/raw/master/csl-citation.json"} </w:instrText>
      </w:r>
      <w:r w:rsidRPr="00D41694">
        <w:rPr>
          <w:sz w:val="20"/>
          <w:szCs w:val="20"/>
        </w:rPr>
        <w:fldChar w:fldCharType="separate"/>
      </w:r>
      <w:r w:rsidR="00EF4218">
        <w:rPr>
          <w:noProof/>
          <w:sz w:val="20"/>
          <w:szCs w:val="20"/>
        </w:rPr>
        <w:t>[31]</w:t>
      </w:r>
      <w:r w:rsidRPr="00D41694">
        <w:rPr>
          <w:sz w:val="20"/>
          <w:szCs w:val="20"/>
        </w:rPr>
        <w:fldChar w:fldCharType="end"/>
      </w:r>
      <w:r w:rsidRPr="00D41694">
        <w:rPr>
          <w:sz w:val="20"/>
          <w:szCs w:val="20"/>
        </w:rPr>
        <w:t>.</w:t>
      </w:r>
      <w:r w:rsidR="00153433">
        <w:rPr>
          <w:sz w:val="20"/>
          <w:szCs w:val="20"/>
        </w:rPr>
        <w:t xml:space="preserve"> </w:t>
      </w:r>
      <w:r w:rsidRPr="00D41694">
        <w:rPr>
          <w:sz w:val="20"/>
          <w:szCs w:val="20"/>
        </w:rPr>
        <w:t>We incorporate two key assumptions: (1) doxycycline acquired from non-STI-related sources (e.g., primary care, informal sharing, or for unrelated infections like acne or malaria prophylaxis) contributes negligibly to STI prevention</w:t>
      </w:r>
      <w:r w:rsidRPr="00D41694">
        <w:rPr>
          <w:sz w:val="20"/>
          <w:szCs w:val="20"/>
          <w:lang w:val="en-GB"/>
        </w:rPr>
        <w:t xml:space="preserve"> </w:t>
      </w:r>
      <w:r w:rsidRPr="00D41694">
        <w:rPr>
          <w:sz w:val="20"/>
          <w:szCs w:val="20"/>
          <w:lang w:val="en-GB"/>
        </w:rPr>
        <w:fldChar w:fldCharType="begin"/>
      </w:r>
      <w:r w:rsidR="00EF4218">
        <w:rPr>
          <w:sz w:val="20"/>
          <w:szCs w:val="20"/>
          <w:lang w:val="en-GB"/>
        </w:rPr>
        <w:instrText xml:space="preserve"> ADDIN ZOTERO_ITEM CSL_CITATION {"citationID":"XSM0k5GD","properties":{"formattedCitation":"[32]","plainCitation":"[32]","noteIndex":0},"citationItems":[{"id":15,"uris":["http://zotero.org/users/9663344/items/B4CF7BKL"],"itemData":{"id":15,"type":"webpage","abstract":"NHS medicines information on doxycycline – what it's used for and key facts.","container-title":"National Health Service","language":"en","title":"About doxycycline","URL":"https://www.nhs.uk/medicines/doxycycline/about-doxycycline/","accessed":{"date-parts":[["2025",2,20]]},"issued":{"date-parts":[["2022",1,20]]}}}],"schema":"https://github.com/citation-style-language/schema/raw/master/csl-citation.json"} </w:instrText>
      </w:r>
      <w:r w:rsidRPr="00D41694">
        <w:rPr>
          <w:sz w:val="20"/>
          <w:szCs w:val="20"/>
          <w:lang w:val="en-GB"/>
        </w:rPr>
        <w:fldChar w:fldCharType="separate"/>
      </w:r>
      <w:r w:rsidR="00EF4218">
        <w:rPr>
          <w:noProof/>
          <w:sz w:val="20"/>
          <w:szCs w:val="20"/>
          <w:lang w:val="en-GB"/>
        </w:rPr>
        <w:t>[32]</w:t>
      </w:r>
      <w:r w:rsidRPr="00D41694">
        <w:rPr>
          <w:sz w:val="20"/>
          <w:szCs w:val="20"/>
          <w:lang w:val="en-GB"/>
        </w:rPr>
        <w:fldChar w:fldCharType="end"/>
      </w:r>
      <w:r w:rsidRPr="00D41694">
        <w:rPr>
          <w:sz w:val="20"/>
          <w:szCs w:val="20"/>
        </w:rPr>
        <w:t xml:space="preserve">; and (2) individuals in strata </w:t>
      </w:r>
      <m:oMath>
        <m:r>
          <w:rPr>
            <w:rFonts w:ascii="Cambria Math" w:hAnsi="Cambria Math"/>
            <w:sz w:val="20"/>
            <w:szCs w:val="20"/>
            <w:lang w:val="en-US"/>
          </w:rPr>
          <m:t>N</m:t>
        </m:r>
      </m:oMath>
      <w:r w:rsidRPr="00D41694">
        <w:rPr>
          <w:sz w:val="20"/>
          <w:szCs w:val="20"/>
          <w:lang w:val="en-US"/>
        </w:rPr>
        <w:t xml:space="preserve"> and </w:t>
      </w:r>
      <m:oMath>
        <m:r>
          <w:rPr>
            <w:rFonts w:ascii="Cambria Math" w:hAnsi="Cambria Math"/>
            <w:sz w:val="20"/>
            <w:szCs w:val="20"/>
            <w:lang w:val="en-US"/>
          </w:rPr>
          <m:t>X</m:t>
        </m:r>
      </m:oMath>
      <w:r w:rsidRPr="00D41694">
        <w:rPr>
          <w:sz w:val="20"/>
          <w:szCs w:val="20"/>
          <w:lang w:val="en-US"/>
        </w:rPr>
        <w:t xml:space="preserve"> </w:t>
      </w:r>
      <w:r w:rsidRPr="00D41694">
        <w:rPr>
          <w:sz w:val="20"/>
          <w:szCs w:val="20"/>
        </w:rPr>
        <w:t>only initiate or reinitiate doxy-PEP after attending a sexual health clinic.</w:t>
      </w:r>
    </w:p>
    <w:p w14:paraId="40ACE292" w14:textId="0BC8311B" w:rsidR="00D41694" w:rsidRDefault="00D41694" w:rsidP="0070759E">
      <w:pPr>
        <w:spacing w:before="100" w:beforeAutospacing="1" w:after="100" w:afterAutospacing="1" w:line="276" w:lineRule="auto"/>
        <w:jc w:val="both"/>
        <w:rPr>
          <w:rFonts w:ascii="Times New Roman" w:hAnsi="Times New Roman" w:cs="Times New Roman"/>
          <w:sz w:val="20"/>
          <w:szCs w:val="20"/>
        </w:rPr>
      </w:pPr>
      <w:commentRangeStart w:id="4"/>
      <w:r w:rsidRPr="00D41694">
        <w:rPr>
          <w:rFonts w:ascii="Times New Roman" w:eastAsia="Times New Roman" w:hAnsi="Times New Roman" w:cs="Times New Roman"/>
          <w:kern w:val="0"/>
          <w:sz w:val="20"/>
          <w:szCs w:val="20"/>
          <w:lang w:eastAsia="en-GB"/>
          <w14:ligatures w14:val="none"/>
        </w:rPr>
        <w:t xml:space="preserve">Doxy-PEP uptake is modelled to occur at five critical decision points: </w:t>
      </w:r>
      <w:r w:rsidRPr="00D41694">
        <w:rPr>
          <w:rFonts w:ascii="Times New Roman" w:hAnsi="Times New Roman" w:cs="Times New Roman"/>
          <w:sz w:val="20"/>
          <w:szCs w:val="20"/>
        </w:rPr>
        <w:t>(1) prior to entering the sexually active population</w:t>
      </w:r>
      <w:r w:rsidRPr="00D41694">
        <w:rPr>
          <w:rFonts w:ascii="Times New Roman" w:eastAsia="DengXian" w:hAnsi="Times New Roman" w:cs="Times New Roman"/>
          <w:iCs/>
          <w:sz w:val="20"/>
          <w:szCs w:val="20"/>
        </w:rPr>
        <w:t xml:space="preserve"> (</w:t>
      </w:r>
      <m:oMath>
        <m:sSup>
          <m:sSupPr>
            <m:ctrlPr>
              <w:rPr>
                <w:rFonts w:ascii="Cambria Math" w:eastAsia="DengXian" w:hAnsi="Cambria Math" w:cs="Times New Roman"/>
                <w:i/>
                <w:sz w:val="20"/>
                <w:szCs w:val="20"/>
              </w:rPr>
            </m:ctrlPr>
          </m:sSupPr>
          <m:e>
            <m:r>
              <w:rPr>
                <w:rFonts w:ascii="Cambria Math" w:eastAsia="DengXian" w:hAnsi="Cambria Math" w:cs="Times New Roman"/>
                <w:sz w:val="20"/>
                <w:szCs w:val="20"/>
              </w:rPr>
              <m:t>p</m:t>
            </m:r>
          </m:e>
          <m:sup>
            <m:r>
              <w:rPr>
                <w:rFonts w:ascii="Cambria Math" w:eastAsia="DengXian" w:hAnsi="Cambria Math" w:cs="Times New Roman"/>
                <w:sz w:val="20"/>
                <w:szCs w:val="20"/>
              </w:rPr>
              <m:t>DbE</m:t>
            </m:r>
          </m:sup>
        </m:sSup>
      </m:oMath>
      <w:r w:rsidRPr="00D41694">
        <w:rPr>
          <w:rFonts w:ascii="Times New Roman" w:eastAsia="DengXian" w:hAnsi="Times New Roman" w:cs="Times New Roman"/>
          <w:iCs/>
          <w:sz w:val="20"/>
          <w:szCs w:val="20"/>
        </w:rPr>
        <w:t>);</w:t>
      </w:r>
      <w:r w:rsidRPr="00D41694">
        <w:rPr>
          <w:rFonts w:ascii="Times New Roman" w:hAnsi="Times New Roman" w:cs="Times New Roman"/>
          <w:sz w:val="20"/>
          <w:szCs w:val="20"/>
        </w:rPr>
        <w:t xml:space="preserve">  (2) upon syphilis diagnosis for the high-risk and/or (3) low-risk group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DoD</m:t>
            </m:r>
          </m:sup>
        </m:sSup>
      </m:oMath>
      <w:r w:rsidRPr="00D41694">
        <w:rPr>
          <w:rFonts w:ascii="Times New Roman" w:hAnsi="Times New Roman" w:cs="Times New Roman"/>
          <w:sz w:val="20"/>
          <w:szCs w:val="20"/>
        </w:rPr>
        <w:t>); and (4) after testing negative during routine screening visits for the high-risk and/or (5) low-risk group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DoS</m:t>
            </m:r>
          </m:sup>
        </m:sSup>
      </m:oMath>
      <w:r w:rsidRPr="00D41694">
        <w:rPr>
          <w:rFonts w:ascii="Times New Roman" w:hAnsi="Times New Roman" w:cs="Times New Roman"/>
          <w:sz w:val="20"/>
          <w:szCs w:val="20"/>
        </w:rPr>
        <w:t>), under the DoS strategy - where doxy-PEP is offered to individuals attending STI clinics for testing but who receive negative results. By enabling doxy-PEP uptake through these pathways individually or in combination, we evaluate six implementation strategies</w:t>
      </w:r>
      <w:r w:rsidR="00EF4218" w:rsidRPr="005E0E48">
        <w:rPr>
          <w:rFonts w:ascii="Times New Roman" w:hAnsi="Times New Roman" w:cs="Times New Roman"/>
          <w:sz w:val="20"/>
          <w:szCs w:val="20"/>
        </w:rPr>
        <w:t xml:space="preserve">: (1) </w:t>
      </w:r>
      <w:r w:rsidR="00EF4218" w:rsidRPr="00B0134B">
        <w:rPr>
          <w:rStyle w:val="Strong"/>
          <w:rFonts w:ascii="Times New Roman" w:eastAsiaTheme="majorEastAsia" w:hAnsi="Times New Roman" w:cs="Times New Roman"/>
          <w:b w:val="0"/>
          <w:bCs w:val="0"/>
          <w:sz w:val="20"/>
          <w:szCs w:val="20"/>
        </w:rPr>
        <w:t>Doxycycline on Attendance (</w:t>
      </w:r>
      <w:r w:rsidR="00EF4218" w:rsidRPr="00752EF7">
        <w:rPr>
          <w:rStyle w:val="Strong"/>
          <w:rFonts w:ascii="Times New Roman" w:eastAsiaTheme="majorEastAsia" w:hAnsi="Times New Roman" w:cs="Times New Roman"/>
          <w:b w:val="0"/>
          <w:bCs w:val="0"/>
          <w:i/>
          <w:iCs/>
          <w:sz w:val="20"/>
          <w:szCs w:val="20"/>
        </w:rPr>
        <w:t>DoA</w:t>
      </w:r>
      <w:r w:rsidR="00EF4218" w:rsidRPr="00B0134B">
        <w:rPr>
          <w:rStyle w:val="Strong"/>
          <w:rFonts w:ascii="Times New Roman" w:eastAsiaTheme="majorEastAsia" w:hAnsi="Times New Roman" w:cs="Times New Roman"/>
          <w:b w:val="0"/>
          <w:bCs w:val="0"/>
          <w:sz w:val="20"/>
          <w:szCs w:val="20"/>
        </w:rPr>
        <w:t>)</w:t>
      </w:r>
      <w:r w:rsidR="00EF4218" w:rsidRPr="005E0E48">
        <w:rPr>
          <w:rFonts w:ascii="Times New Roman" w:hAnsi="Times New Roman" w:cs="Times New Roman"/>
          <w:sz w:val="20"/>
          <w:szCs w:val="20"/>
        </w:rPr>
        <w:t xml:space="preserve">: provide doxy-PEP to MSM attending sexual health clinics for STI testing and screening, regardless of their diagnosis; (2) </w:t>
      </w:r>
      <w:r w:rsidR="00EF4218" w:rsidRPr="00B0134B">
        <w:rPr>
          <w:rStyle w:val="Strong"/>
          <w:rFonts w:ascii="Times New Roman" w:eastAsiaTheme="majorEastAsia" w:hAnsi="Times New Roman" w:cs="Times New Roman"/>
          <w:b w:val="0"/>
          <w:bCs w:val="0"/>
          <w:sz w:val="20"/>
          <w:szCs w:val="20"/>
        </w:rPr>
        <w:t>Doxycycline on Diagnosis (</w:t>
      </w:r>
      <w:r w:rsidR="00EF4218" w:rsidRPr="00752EF7">
        <w:rPr>
          <w:rStyle w:val="Strong"/>
          <w:rFonts w:ascii="Times New Roman" w:eastAsiaTheme="majorEastAsia" w:hAnsi="Times New Roman" w:cs="Times New Roman"/>
          <w:b w:val="0"/>
          <w:bCs w:val="0"/>
          <w:i/>
          <w:iCs/>
          <w:sz w:val="20"/>
          <w:szCs w:val="20"/>
        </w:rPr>
        <w:t>DoD</w:t>
      </w:r>
      <w:r w:rsidR="00EF4218" w:rsidRPr="00B0134B">
        <w:rPr>
          <w:rStyle w:val="Strong"/>
          <w:rFonts w:ascii="Times New Roman" w:eastAsiaTheme="majorEastAsia" w:hAnsi="Times New Roman" w:cs="Times New Roman"/>
          <w:b w:val="0"/>
          <w:bCs w:val="0"/>
          <w:sz w:val="20"/>
          <w:szCs w:val="20"/>
        </w:rPr>
        <w:t>)</w:t>
      </w:r>
      <w:r w:rsidR="00EF4218" w:rsidRPr="005E0E48">
        <w:rPr>
          <w:rFonts w:ascii="Times New Roman" w:hAnsi="Times New Roman" w:cs="Times New Roman"/>
          <w:sz w:val="20"/>
          <w:szCs w:val="20"/>
        </w:rPr>
        <w:t xml:space="preserve">: offer doxy-PEP to MSM diagnosed with syphilis at current visit; (3) </w:t>
      </w:r>
      <w:r w:rsidR="00EF4218" w:rsidRPr="00B0134B">
        <w:rPr>
          <w:rStyle w:val="Strong"/>
          <w:rFonts w:ascii="Times New Roman" w:eastAsiaTheme="majorEastAsia" w:hAnsi="Times New Roman" w:cs="Times New Roman"/>
          <w:b w:val="0"/>
          <w:bCs w:val="0"/>
          <w:sz w:val="20"/>
          <w:szCs w:val="20"/>
        </w:rPr>
        <w:t>Doxycycline According to Risk (</w:t>
      </w:r>
      <w:r w:rsidR="00EF4218" w:rsidRPr="00752EF7">
        <w:rPr>
          <w:rStyle w:val="Strong"/>
          <w:rFonts w:ascii="Times New Roman" w:eastAsiaTheme="majorEastAsia" w:hAnsi="Times New Roman" w:cs="Times New Roman"/>
          <w:b w:val="0"/>
          <w:bCs w:val="0"/>
          <w:i/>
          <w:iCs/>
          <w:sz w:val="20"/>
          <w:szCs w:val="20"/>
        </w:rPr>
        <w:t>DaR</w:t>
      </w:r>
      <w:r w:rsidR="00EF4218" w:rsidRPr="00B0134B">
        <w:rPr>
          <w:rStyle w:val="Strong"/>
          <w:rFonts w:ascii="Times New Roman" w:eastAsiaTheme="majorEastAsia" w:hAnsi="Times New Roman" w:cs="Times New Roman"/>
          <w:b w:val="0"/>
          <w:bCs w:val="0"/>
          <w:sz w:val="20"/>
          <w:szCs w:val="20"/>
        </w:rPr>
        <w:t>)</w:t>
      </w:r>
      <w:r w:rsidR="00EF4218" w:rsidRPr="00B0134B">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target MSM engaging in high-risk behaviours (e.g., more than 5 partners per year); (4) </w:t>
      </w:r>
      <w:r w:rsidR="00EF4218" w:rsidRPr="00B0134B">
        <w:rPr>
          <w:rStyle w:val="Strong"/>
          <w:rFonts w:ascii="Times New Roman" w:eastAsiaTheme="majorEastAsia" w:hAnsi="Times New Roman" w:cs="Times New Roman"/>
          <w:b w:val="0"/>
          <w:bCs w:val="0"/>
          <w:sz w:val="20"/>
          <w:szCs w:val="20"/>
        </w:rPr>
        <w:t>Doxycycline Before Entry (</w:t>
      </w:r>
      <w:r w:rsidR="00EF4218" w:rsidRPr="00752EF7">
        <w:rPr>
          <w:rStyle w:val="Strong"/>
          <w:rFonts w:ascii="Times New Roman" w:eastAsiaTheme="majorEastAsia" w:hAnsi="Times New Roman" w:cs="Times New Roman"/>
          <w:b w:val="0"/>
          <w:bCs w:val="0"/>
          <w:i/>
          <w:iCs/>
          <w:sz w:val="20"/>
          <w:szCs w:val="20"/>
        </w:rPr>
        <w:t>DbE</w:t>
      </w:r>
      <w:r w:rsidR="00EF4218" w:rsidRPr="00B0134B">
        <w:rPr>
          <w:rStyle w:val="Strong"/>
          <w:rFonts w:ascii="Times New Roman" w:eastAsiaTheme="majorEastAsia" w:hAnsi="Times New Roman" w:cs="Times New Roman"/>
          <w:b w:val="0"/>
          <w:bCs w:val="0"/>
          <w:sz w:val="20"/>
          <w:szCs w:val="20"/>
        </w:rPr>
        <w:t>)</w:t>
      </w:r>
      <w:r w:rsidR="00EF4218" w:rsidRPr="005E0E48">
        <w:rPr>
          <w:rFonts w:ascii="Times New Roman" w:hAnsi="Times New Roman" w:cs="Times New Roman"/>
          <w:sz w:val="20"/>
          <w:szCs w:val="20"/>
        </w:rPr>
        <w:t xml:space="preserve">: offer doxy-PEP to MSM </w:t>
      </w:r>
      <w:r w:rsidR="00EF4218" w:rsidRPr="00D41694">
        <w:rPr>
          <w:rFonts w:ascii="Times New Roman" w:hAnsi="Times New Roman" w:cs="Times New Roman"/>
          <w:sz w:val="20"/>
          <w:szCs w:val="20"/>
        </w:rPr>
        <w:t xml:space="preserve">prior </w:t>
      </w:r>
      <w:r w:rsidR="00EF4218">
        <w:rPr>
          <w:rFonts w:ascii="Times New Roman" w:hAnsi="Times New Roman" w:cs="Times New Roman"/>
          <w:sz w:val="20"/>
          <w:szCs w:val="20"/>
        </w:rPr>
        <w:t xml:space="preserve">to </w:t>
      </w:r>
      <w:r w:rsidR="00EF4218" w:rsidRPr="009A69A4">
        <w:rPr>
          <w:rFonts w:ascii="Times New Roman" w:hAnsi="Times New Roman" w:cs="Times New Roman"/>
          <w:sz w:val="20"/>
          <w:szCs w:val="20"/>
        </w:rPr>
        <w:t xml:space="preserve">entering </w:t>
      </w:r>
      <w:r w:rsidR="00EF4218">
        <w:rPr>
          <w:rFonts w:ascii="Times New Roman" w:hAnsi="Times New Roman" w:cs="Times New Roman"/>
          <w:sz w:val="20"/>
          <w:szCs w:val="20"/>
        </w:rPr>
        <w:t>sexually-active age group</w:t>
      </w:r>
      <w:r w:rsidR="00EF4218" w:rsidRPr="00D41694">
        <w:rPr>
          <w:rFonts w:ascii="Times New Roman" w:eastAsia="DengXian" w:hAnsi="Times New Roman" w:cs="Times New Roman"/>
          <w:iCs/>
          <w:sz w:val="20"/>
          <w:szCs w:val="20"/>
        </w:rPr>
        <w:t>;</w:t>
      </w:r>
      <w:r w:rsidR="00EF4218" w:rsidRPr="00D41694">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 (5) </w:t>
      </w:r>
      <w:r w:rsidR="00EF4218" w:rsidRPr="00B0134B">
        <w:rPr>
          <w:rFonts w:ascii="Times New Roman" w:hAnsi="Times New Roman" w:cs="Times New Roman"/>
          <w:sz w:val="20"/>
          <w:szCs w:val="20"/>
        </w:rPr>
        <w:t xml:space="preserve">Doxycycline on Attendance </w:t>
      </w:r>
      <w:r w:rsidR="00EF4218">
        <w:rPr>
          <w:rFonts w:ascii="Times New Roman" w:hAnsi="Times New Roman" w:cs="Times New Roman"/>
          <w:sz w:val="20"/>
          <w:szCs w:val="20"/>
        </w:rPr>
        <w:t>-</w:t>
      </w:r>
      <w:r w:rsidR="00EF4218" w:rsidRPr="00B0134B">
        <w:rPr>
          <w:rFonts w:ascii="Times New Roman" w:hAnsi="Times New Roman" w:cs="Times New Roman"/>
          <w:sz w:val="20"/>
          <w:szCs w:val="20"/>
        </w:rPr>
        <w:t xml:space="preserve"> High-Risk Group (</w:t>
      </w:r>
      <w:r w:rsidR="00EF4218" w:rsidRPr="00752EF7">
        <w:rPr>
          <w:rFonts w:ascii="Times New Roman" w:hAnsi="Times New Roman" w:cs="Times New Roman"/>
          <w:i/>
          <w:iCs/>
          <w:sz w:val="20"/>
          <w:szCs w:val="20"/>
        </w:rPr>
        <w:t>DoA(H)</w:t>
      </w:r>
      <w:r w:rsidR="00EF4218" w:rsidRPr="00B0134B">
        <w:rPr>
          <w:rFonts w:ascii="Times New Roman" w:hAnsi="Times New Roman" w:cs="Times New Roman"/>
          <w:sz w:val="20"/>
          <w:szCs w:val="20"/>
        </w:rPr>
        <w:t>)</w:t>
      </w:r>
      <w:r w:rsidR="00EF4218">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provide doxy-PEP to </w:t>
      </w:r>
      <w:r w:rsidR="00EF4218">
        <w:rPr>
          <w:rFonts w:ascii="Times New Roman" w:hAnsi="Times New Roman" w:cs="Times New Roman"/>
          <w:sz w:val="20"/>
          <w:szCs w:val="20"/>
        </w:rPr>
        <w:t xml:space="preserve">high-risk </w:t>
      </w:r>
      <w:r w:rsidR="00EF4218" w:rsidRPr="005E0E48">
        <w:rPr>
          <w:rFonts w:ascii="Times New Roman" w:hAnsi="Times New Roman" w:cs="Times New Roman"/>
          <w:sz w:val="20"/>
          <w:szCs w:val="20"/>
        </w:rPr>
        <w:t xml:space="preserve">MSM attending sexual health clinics </w:t>
      </w:r>
      <w:r w:rsidR="00EF4218">
        <w:rPr>
          <w:rFonts w:ascii="Times New Roman" w:hAnsi="Times New Roman" w:cs="Times New Roman"/>
          <w:sz w:val="20"/>
          <w:szCs w:val="20"/>
        </w:rPr>
        <w:t>only</w:t>
      </w:r>
      <w:r w:rsidR="00EF4218" w:rsidRPr="00870F2C">
        <w:rPr>
          <w:rFonts w:ascii="Times New Roman" w:hAnsi="Times New Roman" w:cs="Times New Roman"/>
          <w:sz w:val="20"/>
          <w:szCs w:val="20"/>
        </w:rPr>
        <w:t xml:space="preserve">; (6) </w:t>
      </w:r>
      <w:r w:rsidR="00EF4218" w:rsidRPr="00B0134B">
        <w:rPr>
          <w:rFonts w:ascii="Times New Roman" w:hAnsi="Times New Roman" w:cs="Times New Roman"/>
          <w:sz w:val="20"/>
          <w:szCs w:val="20"/>
        </w:rPr>
        <w:t xml:space="preserve">Doxycycline on Diagnosis </w:t>
      </w:r>
      <w:r w:rsidR="00EF4218">
        <w:rPr>
          <w:rFonts w:ascii="Times New Roman" w:hAnsi="Times New Roman" w:cs="Times New Roman"/>
          <w:sz w:val="20"/>
          <w:szCs w:val="20"/>
        </w:rPr>
        <w:t>-</w:t>
      </w:r>
      <w:r w:rsidR="00EF4218" w:rsidRPr="00B0134B">
        <w:rPr>
          <w:rFonts w:ascii="Times New Roman" w:hAnsi="Times New Roman" w:cs="Times New Roman"/>
          <w:sz w:val="20"/>
          <w:szCs w:val="20"/>
        </w:rPr>
        <w:t xml:space="preserve"> High-Risk Group (</w:t>
      </w:r>
      <w:r w:rsidR="00EF4218" w:rsidRPr="00752EF7">
        <w:rPr>
          <w:rFonts w:ascii="Times New Roman" w:hAnsi="Times New Roman" w:cs="Times New Roman"/>
          <w:i/>
          <w:iCs/>
          <w:sz w:val="20"/>
          <w:szCs w:val="20"/>
        </w:rPr>
        <w:t>DoD(H)</w:t>
      </w:r>
      <w:r w:rsidR="00EF4218" w:rsidRPr="00B0134B">
        <w:rPr>
          <w:rFonts w:ascii="Times New Roman" w:hAnsi="Times New Roman" w:cs="Times New Roman"/>
          <w:sz w:val="20"/>
          <w:szCs w:val="20"/>
        </w:rPr>
        <w:t>)</w:t>
      </w:r>
      <w:r w:rsidR="00EF4218">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provide doxy-PEP to </w:t>
      </w:r>
      <w:r w:rsidR="00EF4218">
        <w:rPr>
          <w:rFonts w:ascii="Times New Roman" w:hAnsi="Times New Roman" w:cs="Times New Roman"/>
          <w:sz w:val="20"/>
          <w:szCs w:val="20"/>
        </w:rPr>
        <w:t xml:space="preserve">high-risk </w:t>
      </w:r>
      <w:r w:rsidR="00EF4218" w:rsidRPr="005E0E48">
        <w:rPr>
          <w:rFonts w:ascii="Times New Roman" w:hAnsi="Times New Roman" w:cs="Times New Roman"/>
          <w:sz w:val="20"/>
          <w:szCs w:val="20"/>
        </w:rPr>
        <w:t>MSM diagnosed with syphilis</w:t>
      </w:r>
      <w:r w:rsidR="00EF4218">
        <w:rPr>
          <w:rFonts w:ascii="Times New Roman" w:hAnsi="Times New Roman" w:cs="Times New Roman"/>
          <w:sz w:val="20"/>
          <w:szCs w:val="20"/>
        </w:rPr>
        <w:t xml:space="preserve"> only</w:t>
      </w:r>
      <w:r w:rsidRPr="00702EAC">
        <w:rPr>
          <w:rFonts w:ascii="Times New Roman" w:hAnsi="Times New Roman" w:cs="Times New Roman"/>
          <w:sz w:val="20"/>
          <w:szCs w:val="20"/>
        </w:rPr>
        <w:t xml:space="preserve">. This </w:t>
      </w:r>
      <w:r w:rsidRPr="00702EAC">
        <w:rPr>
          <w:rFonts w:ascii="Times New Roman" w:hAnsi="Times New Roman" w:cs="Times New Roman"/>
          <w:sz w:val="20"/>
          <w:szCs w:val="20"/>
        </w:rPr>
        <w:lastRenderedPageBreak/>
        <w:t>framework</w:t>
      </w:r>
      <w:r w:rsidR="00702EAC" w:rsidRPr="00702EAC">
        <w:rPr>
          <w:rFonts w:ascii="Times New Roman" w:hAnsi="Times New Roman" w:cs="Times New Roman"/>
          <w:sz w:val="20"/>
          <w:szCs w:val="20"/>
        </w:rPr>
        <w:t>, combined with sensitivity analyses</w:t>
      </w:r>
      <w:r w:rsidR="00702EAC">
        <w:rPr>
          <w:rFonts w:ascii="Times New Roman" w:hAnsi="Times New Roman" w:cs="Times New Roman"/>
          <w:sz w:val="20"/>
          <w:szCs w:val="20"/>
        </w:rPr>
        <w:t xml:space="preserve"> on key parameters</w:t>
      </w:r>
      <w:r w:rsidR="00702EAC" w:rsidRPr="00702EAC">
        <w:rPr>
          <w:rFonts w:ascii="Times New Roman" w:hAnsi="Times New Roman" w:cs="Times New Roman"/>
          <w:sz w:val="20"/>
          <w:szCs w:val="20"/>
        </w:rPr>
        <w:t>, e</w:t>
      </w:r>
      <w:r w:rsidRPr="00702EAC">
        <w:rPr>
          <w:rFonts w:ascii="Times New Roman" w:hAnsi="Times New Roman" w:cs="Times New Roman"/>
          <w:sz w:val="20"/>
          <w:szCs w:val="20"/>
        </w:rPr>
        <w:t>nables assessment of each strategy</w:t>
      </w:r>
      <w:r w:rsidR="004A43DD" w:rsidRPr="00702EAC">
        <w:rPr>
          <w:rFonts w:ascii="Times New Roman" w:hAnsi="Times New Roman" w:cs="Times New Roman"/>
          <w:sz w:val="20"/>
          <w:szCs w:val="20"/>
        </w:rPr>
        <w:t>’</w:t>
      </w:r>
      <w:r w:rsidRPr="00702EAC">
        <w:rPr>
          <w:rFonts w:ascii="Times New Roman" w:hAnsi="Times New Roman" w:cs="Times New Roman"/>
          <w:sz w:val="20"/>
          <w:szCs w:val="20"/>
        </w:rPr>
        <w:t xml:space="preserve">s impact under varying behavioural </w:t>
      </w:r>
      <w:r w:rsidR="00F1705E">
        <w:rPr>
          <w:rFonts w:ascii="Times New Roman" w:hAnsi="Times New Roman" w:cs="Times New Roman"/>
          <w:sz w:val="20"/>
          <w:szCs w:val="20"/>
        </w:rPr>
        <w:t>patterns</w:t>
      </w:r>
      <w:r w:rsidRPr="00702EAC">
        <w:rPr>
          <w:rFonts w:ascii="Times New Roman" w:hAnsi="Times New Roman" w:cs="Times New Roman"/>
          <w:sz w:val="20"/>
          <w:szCs w:val="20"/>
        </w:rPr>
        <w:t>, including screening frequency, uptake rate, adherence level, and discontinuation</w:t>
      </w:r>
      <w:r w:rsidRPr="00D41694">
        <w:rPr>
          <w:rFonts w:ascii="Times New Roman" w:hAnsi="Times New Roman" w:cs="Times New Roman"/>
          <w:sz w:val="20"/>
          <w:szCs w:val="20"/>
        </w:rPr>
        <w:t xml:space="preserve"> rate, offering critical insights for designing efficient and equitable intervention </w:t>
      </w:r>
      <w:commentRangeStart w:id="5"/>
      <w:r w:rsidRPr="00D41694">
        <w:rPr>
          <w:rFonts w:ascii="Times New Roman" w:hAnsi="Times New Roman" w:cs="Times New Roman"/>
          <w:sz w:val="20"/>
          <w:szCs w:val="20"/>
        </w:rPr>
        <w:t>policies</w:t>
      </w:r>
      <w:commentRangeEnd w:id="5"/>
      <w:r w:rsidR="00726F48">
        <w:rPr>
          <w:rStyle w:val="CommentReference"/>
        </w:rPr>
        <w:commentReference w:id="5"/>
      </w:r>
      <w:r w:rsidRPr="00D41694">
        <w:rPr>
          <w:rFonts w:ascii="Times New Roman" w:hAnsi="Times New Roman" w:cs="Times New Roman"/>
          <w:sz w:val="20"/>
          <w:szCs w:val="20"/>
        </w:rPr>
        <w:t>.</w:t>
      </w:r>
      <w:commentRangeEnd w:id="4"/>
      <w:r w:rsidR="0077470F">
        <w:rPr>
          <w:rStyle w:val="CommentReference"/>
        </w:rPr>
        <w:commentReference w:id="4"/>
      </w:r>
    </w:p>
    <w:p w14:paraId="2D1E5926" w14:textId="124F2EB3" w:rsidR="00D74C78" w:rsidRDefault="00D74C78" w:rsidP="004D321E">
      <w:pPr>
        <w:pStyle w:val="ListParagraph"/>
        <w:numPr>
          <w:ilvl w:val="1"/>
          <w:numId w:val="31"/>
        </w:numPr>
        <w:spacing w:before="100" w:beforeAutospacing="1" w:after="100" w:afterAutospacing="1" w:line="276" w:lineRule="auto"/>
        <w:jc w:val="both"/>
        <w:rPr>
          <w:rFonts w:ascii="Times New Roman" w:hAnsi="Times New Roman" w:cs="Times New Roman"/>
          <w:sz w:val="20"/>
          <w:szCs w:val="20"/>
        </w:rPr>
      </w:pPr>
      <w:r>
        <w:rPr>
          <w:rFonts w:ascii="Times New Roman" w:hAnsi="Times New Roman" w:cs="Times New Roman"/>
          <w:sz w:val="20"/>
          <w:szCs w:val="20"/>
        </w:rPr>
        <w:t>Performance matrices</w:t>
      </w:r>
    </w:p>
    <w:p w14:paraId="1151E024" w14:textId="3C0EB0CD" w:rsidR="005064E7" w:rsidRPr="005064E7" w:rsidRDefault="005064E7" w:rsidP="005064E7">
      <w:pPr>
        <w:spacing w:before="100" w:beforeAutospacing="1" w:after="100" w:afterAutospacing="1" w:line="276" w:lineRule="auto"/>
        <w:jc w:val="both"/>
        <w:rPr>
          <w:rFonts w:ascii="Times New Roman" w:hAnsi="Times New Roman" w:cs="Times New Roman"/>
          <w:sz w:val="20"/>
          <w:szCs w:val="20"/>
        </w:rPr>
      </w:pPr>
      <w:r w:rsidRPr="005064E7">
        <w:rPr>
          <w:rFonts w:ascii="Times New Roman" w:hAnsi="Times New Roman" w:cs="Times New Roman"/>
          <w:sz w:val="20"/>
          <w:szCs w:val="20"/>
        </w:rPr>
        <w:t xml:space="preserve">To compare the impact and efficiency of different strategies under various scenario settings, we define and quantify key outcomes as follows: (1) </w:t>
      </w:r>
      <w:r w:rsidRPr="005064E7">
        <w:rPr>
          <w:rStyle w:val="Emphasis"/>
          <w:rFonts w:ascii="Times New Roman" w:hAnsi="Times New Roman" w:cs="Times New Roman"/>
          <w:i w:val="0"/>
          <w:iCs w:val="0"/>
          <w:sz w:val="20"/>
          <w:szCs w:val="20"/>
        </w:rPr>
        <w:t>Impact</w:t>
      </w:r>
      <w:r>
        <w:rPr>
          <w:rFonts w:ascii="Times New Roman" w:hAnsi="Times New Roman" w:cs="Times New Roman"/>
          <w:sz w:val="20"/>
          <w:szCs w:val="20"/>
        </w:rPr>
        <w:t xml:space="preserve">: </w:t>
      </w:r>
      <w:r w:rsidRPr="005064E7">
        <w:rPr>
          <w:rFonts w:ascii="Times New Roman" w:hAnsi="Times New Roman" w:cs="Times New Roman"/>
          <w:sz w:val="20"/>
          <w:szCs w:val="20"/>
        </w:rPr>
        <w:t xml:space="preserve">the total number of syphilis cases averted over a 15-year projection period; and (2) </w:t>
      </w:r>
      <w:r w:rsidRPr="005064E7">
        <w:rPr>
          <w:rStyle w:val="Emphasis"/>
          <w:rFonts w:ascii="Times New Roman" w:hAnsi="Times New Roman" w:cs="Times New Roman"/>
          <w:i w:val="0"/>
          <w:iCs w:val="0"/>
          <w:sz w:val="20"/>
          <w:szCs w:val="20"/>
        </w:rPr>
        <w:t>Efficiency</w:t>
      </w:r>
      <w:r w:rsidRPr="005064E7">
        <w:rPr>
          <w:rFonts w:ascii="Times New Roman" w:hAnsi="Times New Roman" w:cs="Times New Roman"/>
          <w:sz w:val="20"/>
          <w:szCs w:val="20"/>
        </w:rPr>
        <w:t>: the total number of cases averted per doxy-PEP prescription over the same period. In addition, to gain deeper insights into transmission dynamics and to inform targeted detection and intervention strategies, we also: (3) estimate the total number of averted syphilis cases stratified by stage</w:t>
      </w:r>
      <w:r w:rsidR="003D7F9F">
        <w:rPr>
          <w:rFonts w:ascii="Times New Roman" w:hAnsi="Times New Roman" w:cs="Times New Roman"/>
          <w:sz w:val="20"/>
          <w:szCs w:val="20"/>
        </w:rPr>
        <w:t xml:space="preserve"> - </w:t>
      </w:r>
      <w:r w:rsidRPr="005064E7">
        <w:rPr>
          <w:rFonts w:ascii="Times New Roman" w:hAnsi="Times New Roman" w:cs="Times New Roman"/>
          <w:sz w:val="20"/>
          <w:szCs w:val="20"/>
        </w:rPr>
        <w:t>primary, secondary, other, and diagnosed; (4) track the annual number of syphilis cases; (5) monitor the annual number of susceptible MSM in the high-risk group; and (6) assess the force of infection across different countries and epidemiological settings</w:t>
      </w:r>
      <w:r w:rsidRPr="00395ABF">
        <w:rPr>
          <w:rFonts w:ascii="Times New Roman" w:hAnsi="Times New Roman" w:cs="Times New Roman"/>
          <w:sz w:val="20"/>
          <w:szCs w:val="20"/>
        </w:rPr>
        <w:t>.</w:t>
      </w:r>
      <w:r w:rsidR="00395ABF" w:rsidRPr="00395ABF">
        <w:rPr>
          <w:rFonts w:ascii="Times New Roman" w:hAnsi="Times New Roman" w:cs="Times New Roman"/>
          <w:sz w:val="20"/>
          <w:szCs w:val="20"/>
        </w:rPr>
        <w:t xml:space="preserve"> </w:t>
      </w:r>
      <w:r w:rsidR="00395ABF" w:rsidRPr="00395ABF">
        <w:rPr>
          <w:rFonts w:ascii="Times New Roman" w:hAnsi="Times New Roman" w:cs="Times New Roman"/>
          <w:sz w:val="20"/>
          <w:szCs w:val="20"/>
        </w:rPr>
        <w:t>A comprehensive list of formulas used to compute each matrix is provided in Appendices C and D.</w:t>
      </w:r>
    </w:p>
    <w:p w14:paraId="5D55CC1E" w14:textId="1F557496" w:rsidR="005064E7" w:rsidRPr="005064E7" w:rsidRDefault="005064E7" w:rsidP="005064E7">
      <w:pPr>
        <w:spacing w:before="100" w:beforeAutospacing="1" w:after="100" w:afterAutospacing="1" w:line="276" w:lineRule="auto"/>
        <w:jc w:val="both"/>
        <w:rPr>
          <w:rFonts w:ascii="Times New Roman" w:hAnsi="Times New Roman" w:cs="Times New Roman"/>
          <w:sz w:val="20"/>
          <w:szCs w:val="20"/>
        </w:rPr>
        <w:sectPr w:rsidR="005064E7" w:rsidRPr="005064E7" w:rsidSect="00D41694">
          <w:pgSz w:w="11906" w:h="16838"/>
          <w:pgMar w:top="1440" w:right="1440" w:bottom="1440" w:left="1440" w:header="708" w:footer="708" w:gutter="0"/>
          <w:cols w:space="708"/>
          <w:docGrid w:linePitch="360"/>
        </w:sectPr>
      </w:pPr>
    </w:p>
    <w:p w14:paraId="352172F9" w14:textId="77777777" w:rsidR="0091436E" w:rsidRDefault="0091436E" w:rsidP="0091436E">
      <w:pPr>
        <w:spacing w:line="276" w:lineRule="auto"/>
        <w:jc w:val="both"/>
        <w:rPr>
          <w:rFonts w:ascii="Times New Roman" w:hAnsi="Times New Roman" w:cs="Times New Roman"/>
          <w:b/>
          <w:bCs/>
          <w:sz w:val="20"/>
          <w:szCs w:val="20"/>
        </w:rPr>
      </w:pPr>
      <w:r>
        <w:rPr>
          <w:noProof/>
          <w:sz w:val="20"/>
          <w:szCs w:val="20"/>
          <w:lang w:val="en-US"/>
        </w:rPr>
        <w:lastRenderedPageBreak/>
        <w:drawing>
          <wp:inline distT="0" distB="0" distL="0" distR="0" wp14:anchorId="44714C09" wp14:editId="5FB46B32">
            <wp:extent cx="8863330" cy="3638550"/>
            <wp:effectExtent l="0" t="0" r="1270" b="6350"/>
            <wp:docPr id="12827374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87402" name="Picture 915987402"/>
                    <pic:cNvPicPr/>
                  </pic:nvPicPr>
                  <pic:blipFill>
                    <a:blip r:embed="rId12"/>
                    <a:stretch>
                      <a:fillRect/>
                    </a:stretch>
                  </pic:blipFill>
                  <pic:spPr>
                    <a:xfrm>
                      <a:off x="0" y="0"/>
                      <a:ext cx="8863330" cy="3638550"/>
                    </a:xfrm>
                    <a:prstGeom prst="rect">
                      <a:avLst/>
                    </a:prstGeom>
                  </pic:spPr>
                </pic:pic>
              </a:graphicData>
            </a:graphic>
          </wp:inline>
        </w:drawing>
      </w:r>
    </w:p>
    <w:p w14:paraId="3DC36A08" w14:textId="3FABB74E" w:rsidR="0091436E" w:rsidRPr="006B42CB" w:rsidRDefault="0091436E" w:rsidP="0091436E">
      <w:pPr>
        <w:spacing w:line="276" w:lineRule="auto"/>
        <w:jc w:val="both"/>
        <w:rPr>
          <w:rFonts w:ascii="Times New Roman" w:hAnsi="Times New Roman" w:cs="Times New Roman"/>
          <w:sz w:val="20"/>
          <w:szCs w:val="20"/>
          <w:lang w:val="en-US"/>
        </w:rPr>
      </w:pPr>
      <w:r w:rsidRPr="006B42CB">
        <w:rPr>
          <w:rFonts w:ascii="Times New Roman" w:hAnsi="Times New Roman" w:cs="Times New Roman"/>
          <w:sz w:val="20"/>
          <w:szCs w:val="20"/>
          <w:lang w:val="en-US"/>
        </w:rPr>
        <w:t xml:space="preserve">Fig.  1: Model architecture </w:t>
      </w:r>
      <w:r w:rsidR="00F912AA" w:rsidRPr="006B42CB">
        <w:rPr>
          <w:rFonts w:ascii="Times New Roman" w:hAnsi="Times New Roman" w:cs="Times New Roman"/>
          <w:sz w:val="20"/>
          <w:szCs w:val="20"/>
          <w:lang w:val="en-US"/>
        </w:rPr>
        <w:t xml:space="preserve">of </w:t>
      </w:r>
      <w:r w:rsidRPr="006B42CB">
        <w:rPr>
          <w:rFonts w:ascii="Times New Roman" w:hAnsi="Times New Roman" w:cs="Times New Roman"/>
          <w:sz w:val="20"/>
          <w:szCs w:val="20"/>
          <w:lang w:val="en-US"/>
        </w:rPr>
        <w:t>doxy-PEP</w:t>
      </w:r>
      <w:r w:rsidR="00F912AA" w:rsidRPr="006B42CB">
        <w:rPr>
          <w:rFonts w:ascii="Times New Roman" w:hAnsi="Times New Roman" w:cs="Times New Roman"/>
          <w:sz w:val="20"/>
          <w:szCs w:val="20"/>
          <w:lang w:val="en-US"/>
        </w:rPr>
        <w:t xml:space="preserve"> for syphilis</w:t>
      </w:r>
      <w:r w:rsidRPr="006B42CB">
        <w:rPr>
          <w:rFonts w:ascii="Times New Roman" w:hAnsi="Times New Roman" w:cs="Times New Roman"/>
          <w:sz w:val="20"/>
          <w:szCs w:val="20"/>
          <w:lang w:val="en-US"/>
        </w:rPr>
        <w:t xml:space="preserve">. For each doxy-PEP </w:t>
      </w:r>
      <w:r w:rsidR="00387172" w:rsidRPr="006B42CB">
        <w:rPr>
          <w:rFonts w:ascii="Times New Roman" w:hAnsi="Times New Roman" w:cs="Times New Roman"/>
          <w:sz w:val="20"/>
          <w:szCs w:val="20"/>
          <w:lang w:val="en-US"/>
        </w:rPr>
        <w:t>stratum</w:t>
      </w:r>
      <w:r w:rsidRPr="006B42CB">
        <w:rPr>
          <w:rFonts w:ascii="Times New Roman" w:hAnsi="Times New Roman" w:cs="Times New Roman"/>
          <w:sz w:val="20"/>
          <w:szCs w:val="20"/>
          <w:lang w:val="en-US"/>
        </w:rPr>
        <w:t xml:space="preserve"> </w:t>
      </w:r>
      <m:oMath>
        <m:r>
          <w:rPr>
            <w:rFonts w:ascii="Cambria Math" w:hAnsi="Cambria Math" w:cs="Times New Roman"/>
            <w:sz w:val="20"/>
            <w:szCs w:val="20"/>
            <w:lang w:val="en-US"/>
          </w:rPr>
          <m:t>i∈</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N,X,D,M</m:t>
            </m:r>
          </m:e>
        </m:d>
      </m:oMath>
      <w:r w:rsidRPr="006B42CB">
        <w:rPr>
          <w:rFonts w:ascii="Times New Roman" w:hAnsi="Times New Roman" w:cs="Times New Roman"/>
          <w:sz w:val="20"/>
          <w:szCs w:val="20"/>
          <w:lang w:val="en-US"/>
        </w:rPr>
        <w:t xml:space="preserve">, the population is </w:t>
      </w:r>
      <w:r w:rsidR="00387172" w:rsidRPr="006B42CB">
        <w:rPr>
          <w:rFonts w:ascii="Times New Roman" w:hAnsi="Times New Roman" w:cs="Times New Roman"/>
          <w:sz w:val="20"/>
          <w:szCs w:val="20"/>
          <w:lang w:val="en-US"/>
        </w:rPr>
        <w:t xml:space="preserve">subdivided </w:t>
      </w:r>
      <w:r w:rsidRPr="006B42CB">
        <w:rPr>
          <w:rFonts w:ascii="Times New Roman" w:hAnsi="Times New Roman" w:cs="Times New Roman"/>
          <w:sz w:val="20"/>
          <w:szCs w:val="20"/>
          <w:lang w:val="en-US"/>
        </w:rPr>
        <w:t>into compartments representing different stages of syphilis infection</w:t>
      </w:r>
      <w:r w:rsidR="0059180F" w:rsidRPr="006B42CB">
        <w:rPr>
          <w:rFonts w:ascii="Times New Roman" w:hAnsi="Times New Roman" w:cs="Times New Roman"/>
          <w:sz w:val="20"/>
          <w:szCs w:val="20"/>
          <w:lang w:val="en-US"/>
        </w:rPr>
        <w:t>.</w:t>
      </w:r>
      <w:r w:rsidR="00F912AA" w:rsidRPr="006B42CB">
        <w:rPr>
          <w:rFonts w:ascii="Times New Roman" w:hAnsi="Times New Roman" w:cs="Times New Roman"/>
          <w:sz w:val="20"/>
          <w:szCs w:val="20"/>
          <w:lang w:val="en-US"/>
        </w:rPr>
        <w:t xml:space="preserve"> </w:t>
      </w:r>
      <w:r w:rsidR="00F912AA" w:rsidRPr="006B42CB">
        <w:rPr>
          <w:rFonts w:ascii="Times New Roman" w:hAnsi="Times New Roman" w:cs="Times New Roman"/>
          <w:sz w:val="20"/>
          <w:szCs w:val="20"/>
        </w:rPr>
        <w:t xml:space="preserve">The model </w:t>
      </w:r>
      <w:r w:rsidR="00387172" w:rsidRPr="006B42CB">
        <w:rPr>
          <w:rFonts w:ascii="Times New Roman" w:hAnsi="Times New Roman" w:cs="Times New Roman"/>
          <w:sz w:val="20"/>
          <w:szCs w:val="20"/>
        </w:rPr>
        <w:t>distinguishes between</w:t>
      </w:r>
      <w:r w:rsidR="00F912AA" w:rsidRPr="006B42CB">
        <w:rPr>
          <w:rFonts w:ascii="Times New Roman" w:hAnsi="Times New Roman" w:cs="Times New Roman"/>
          <w:sz w:val="20"/>
          <w:szCs w:val="20"/>
        </w:rPr>
        <w:t xml:space="preserve"> individuals with low and high sexual activity levels</w:t>
      </w:r>
      <w:r w:rsidR="00F912AA" w:rsidRPr="006B42CB">
        <w:rPr>
          <w:rFonts w:ascii="Times New Roman" w:hAnsi="Times New Roman" w:cs="Times New Roman"/>
          <w:color w:val="000000"/>
          <w:kern w:val="0"/>
          <w:sz w:val="20"/>
          <w:szCs w:val="20"/>
          <w:lang w:val="en-GB"/>
        </w:rPr>
        <w:t xml:space="preserve"> (</w:t>
      </w:r>
      <m:oMath>
        <m:r>
          <w:rPr>
            <w:rFonts w:ascii="Cambria Math" w:hAnsi="Cambria Math" w:cs="Times New Roman"/>
            <w:color w:val="000000"/>
            <w:kern w:val="0"/>
            <w:sz w:val="20"/>
            <w:szCs w:val="20"/>
            <w:lang w:val="en-GB"/>
          </w:rPr>
          <m:t>j</m:t>
        </m:r>
        <m:r>
          <m:rPr>
            <m:sty m:val="p"/>
          </m:rPr>
          <w:rPr>
            <w:rFonts w:ascii="Cambria Math" w:hAnsi="Cambria Math" w:cs="Times New Roman"/>
            <w:color w:val="000000"/>
            <w:kern w:val="0"/>
            <w:sz w:val="20"/>
            <w:szCs w:val="20"/>
            <w:lang w:val="en-GB"/>
          </w:rPr>
          <m:t>∈</m:t>
        </m:r>
        <m:r>
          <w:rPr>
            <w:rFonts w:ascii="Cambria Math" w:hAnsi="Cambria Math" w:cs="Times New Roman"/>
            <w:color w:val="000000"/>
            <w:kern w:val="0"/>
            <w:sz w:val="20"/>
            <w:szCs w:val="20"/>
            <w:lang w:val="en-GB"/>
          </w:rPr>
          <m:t>L,H</m:t>
        </m:r>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sz w:val="20"/>
          <w:szCs w:val="20"/>
        </w:rPr>
        <w:t>illustrated as the grey (low-activity) and purple (high-activity) layers</w:t>
      </w:r>
      <w:r w:rsidR="00F912AA" w:rsidRPr="006B42CB">
        <w:rPr>
          <w:rFonts w:ascii="Times New Roman" w:hAnsi="Times New Roman" w:cs="Times New Roman"/>
          <w:sz w:val="20"/>
          <w:szCs w:val="20"/>
        </w:rPr>
        <w:t xml:space="preserve">. </w:t>
      </w:r>
      <w:r w:rsidR="00387172" w:rsidRPr="006B42CB">
        <w:rPr>
          <w:rFonts w:ascii="Times New Roman" w:hAnsi="Times New Roman" w:cs="Times New Roman"/>
          <w:sz w:val="20"/>
          <w:szCs w:val="20"/>
        </w:rPr>
        <w:t>Both groups follow the same compartmental structure but may differ in transition rates. For clarity, only the transitions in and out of the high-activity group (upper layer) are shown.</w:t>
      </w:r>
      <w:r w:rsidR="00F912AA" w:rsidRPr="006B42CB">
        <w:rPr>
          <w:rFonts w:ascii="Times New Roman" w:hAnsi="Times New Roman" w:cs="Times New Roman"/>
          <w:sz w:val="20"/>
          <w:szCs w:val="20"/>
          <w:lang w:val="en-US"/>
        </w:rPr>
        <w:t xml:space="preserve"> For syphilis transmission (refer to </w:t>
      </w:r>
      <w:r w:rsidR="00387172" w:rsidRPr="006B42CB">
        <w:rPr>
          <w:rFonts w:ascii="Times New Roman" w:hAnsi="Times New Roman" w:cs="Times New Roman"/>
          <w:sz w:val="20"/>
          <w:szCs w:val="20"/>
          <w:lang w:val="en-US"/>
        </w:rPr>
        <w:t>stratum</w:t>
      </w:r>
      <w:r w:rsidR="00F912AA" w:rsidRPr="006B42CB">
        <w:rPr>
          <w:rFonts w:ascii="Times New Roman" w:hAnsi="Times New Roman" w:cs="Times New Roman"/>
          <w:sz w:val="20"/>
          <w:szCs w:val="20"/>
          <w:lang w:val="en-US"/>
        </w:rPr>
        <w:t xml:space="preserve"> </w:t>
      </w:r>
      <m:oMath>
        <m:r>
          <w:rPr>
            <w:rFonts w:ascii="Cambria Math" w:hAnsi="Cambria Math" w:cs="Times New Roman"/>
            <w:sz w:val="20"/>
            <w:szCs w:val="20"/>
            <w:lang w:val="en-US"/>
          </w:rPr>
          <m:t>N</m:t>
        </m:r>
      </m:oMath>
      <w:r w:rsidR="00F912AA" w:rsidRPr="006B42CB">
        <w:rPr>
          <w:rFonts w:ascii="Times New Roman" w:hAnsi="Times New Roman" w:cs="Times New Roman"/>
          <w:sz w:val="20"/>
          <w:szCs w:val="20"/>
          <w:lang w:val="en-US"/>
        </w:rPr>
        <w:t xml:space="preserve">), </w:t>
      </w:r>
      <w:r w:rsidR="00F912AA" w:rsidRPr="006B42CB">
        <w:rPr>
          <w:rFonts w:ascii="Times New Roman" w:hAnsi="Times New Roman" w:cs="Times New Roman"/>
          <w:sz w:val="20"/>
          <w:szCs w:val="20"/>
        </w:rPr>
        <w:t>individuals enter the sexually active population as uninfected</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U</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Upon infection</w:t>
      </w:r>
      <w:r w:rsidR="00387172" w:rsidRPr="006B42CB">
        <w:rPr>
          <w:rFonts w:ascii="Times New Roman" w:hAnsi="Times New Roman" w:cs="Times New Roman"/>
          <w:sz w:val="20"/>
          <w:szCs w:val="20"/>
        </w:rPr>
        <w:t xml:space="preserve">, driven by the time-varying force of infection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λ</m:t>
            </m:r>
          </m:e>
          <m:sub>
            <m:r>
              <w:rPr>
                <w:rFonts w:ascii="Cambria Math" w:hAnsi="Cambria Math" w:cs="Times New Roman"/>
                <w:color w:val="000000"/>
                <w:kern w:val="0"/>
                <w:sz w:val="20"/>
                <w:szCs w:val="20"/>
                <w:lang w:val="en-GB"/>
              </w:rPr>
              <m:t>j</m:t>
            </m:r>
          </m:sub>
        </m:sSub>
        <m:d>
          <m:dPr>
            <m:ctrlPr>
              <w:rPr>
                <w:rFonts w:ascii="Cambria Math" w:hAnsi="Cambria Math" w:cs="Times New Roman"/>
                <w:i/>
                <w:color w:val="000000"/>
                <w:kern w:val="0"/>
                <w:sz w:val="20"/>
                <w:szCs w:val="20"/>
                <w:lang w:val="en-GB"/>
              </w:rPr>
            </m:ctrlPr>
          </m:dPr>
          <m:e>
            <m:r>
              <w:rPr>
                <w:rFonts w:ascii="Cambria Math" w:hAnsi="Cambria Math" w:cs="Times New Roman"/>
                <w:color w:val="000000"/>
                <w:kern w:val="0"/>
                <w:sz w:val="20"/>
                <w:szCs w:val="20"/>
                <w:lang w:val="en-GB"/>
              </w:rPr>
              <m:t>t</m:t>
            </m:r>
          </m:e>
        </m:d>
      </m:oMath>
      <w:r w:rsidR="00F912AA" w:rsidRPr="006B42CB">
        <w:rPr>
          <w:rFonts w:ascii="Times New Roman" w:hAnsi="Times New Roman" w:cs="Times New Roman"/>
          <w:sz w:val="20"/>
          <w:szCs w:val="20"/>
        </w:rPr>
        <w:t>, they progress through an incubation phase</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I</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before advancing to the primary</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P</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r>
          <w:rPr>
            <w:rFonts w:ascii="Cambria Math" w:hAnsi="Cambria Math" w:cs="Times New Roman"/>
            <w:color w:val="000000"/>
            <w:kern w:val="0"/>
            <w:sz w:val="20"/>
            <w:szCs w:val="20"/>
            <w:lang w:val="en-GB"/>
          </w:rPr>
          <m:t>σ</m:t>
        </m:r>
      </m:oMath>
      <w:r w:rsidR="00F912AA" w:rsidRPr="006B42CB">
        <w:rPr>
          <w:rFonts w:ascii="Times New Roman" w:hAnsi="Times New Roman" w:cs="Times New Roman"/>
          <w:color w:val="000000"/>
          <w:kern w:val="0"/>
          <w:sz w:val="20"/>
          <w:szCs w:val="20"/>
          <w:lang w:val="en-GB"/>
        </w:rPr>
        <w:t>, secondary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S</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S</m:t>
            </m:r>
          </m:sub>
        </m:sSub>
      </m:oMath>
      <w:r w:rsidR="00F912AA" w:rsidRPr="006B42CB">
        <w:rPr>
          <w:rFonts w:ascii="Times New Roman" w:hAnsi="Times New Roman" w:cs="Times New Roman"/>
          <w:color w:val="000000"/>
          <w:kern w:val="0"/>
          <w:sz w:val="20"/>
          <w:szCs w:val="20"/>
          <w:lang w:val="en-GB"/>
        </w:rPr>
        <w:t>, early latent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E</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E</m:t>
            </m:r>
          </m:sub>
        </m:sSub>
      </m:oMath>
      <w:r w:rsidR="00F912AA" w:rsidRPr="006B42CB">
        <w:rPr>
          <w:rFonts w:ascii="Times New Roman" w:hAnsi="Times New Roman" w:cs="Times New Roman"/>
          <w:color w:val="000000"/>
          <w:kern w:val="0"/>
          <w:sz w:val="20"/>
          <w:szCs w:val="20"/>
          <w:lang w:val="en-GB"/>
        </w:rPr>
        <w:t>, late latent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L</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L</m:t>
            </m:r>
          </m:sub>
        </m:sSub>
      </m:oMath>
      <w:r w:rsidR="00F912AA" w:rsidRPr="006B42CB">
        <w:rPr>
          <w:rFonts w:ascii="Times New Roman" w:hAnsi="Times New Roman" w:cs="Times New Roman"/>
          <w:color w:val="000000"/>
          <w:kern w:val="0"/>
          <w:sz w:val="20"/>
          <w:szCs w:val="20"/>
          <w:lang w:val="en-GB"/>
        </w:rPr>
        <w:t>, and tertiary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T</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stages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T</m:t>
            </m:r>
          </m:sub>
        </m:sSub>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The primary, secondary, and tertiary stages are symptomatic, prompting individuals to seek treatment and transition to the recovered state</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R</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r>
          <w:rPr>
            <w:rFonts w:ascii="Cambria Math" w:hAnsi="Cambria Math" w:cs="Times New Roman"/>
            <w:color w:val="000000"/>
            <w:kern w:val="0"/>
            <w:sz w:val="20"/>
            <w:szCs w:val="20"/>
            <w:lang w:val="en-GB"/>
          </w:rPr>
          <m:t>μ</m:t>
        </m:r>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 xml:space="preserve">In contrast, early latent and late latent stages are asymptomatic, with infections typically detected through screening, leading to treatment </w:t>
      </w:r>
      <w:r w:rsidR="00F912AA" w:rsidRPr="006B42CB">
        <w:rPr>
          <w:rFonts w:ascii="Times New Roman" w:hAnsi="Times New Roman" w:cs="Times New Roman"/>
          <w:color w:val="000000"/>
          <w:kern w:val="0"/>
          <w:sz w:val="20"/>
          <w:szCs w:val="20"/>
          <w:lang w:val="en-GB"/>
        </w:rPr>
        <w:t>(</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R</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sz w:val="20"/>
          <w:szCs w:val="20"/>
        </w:rPr>
        <w:t xml:space="preserve">at a screening-dependent 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η</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j</m:t>
            </m:r>
          </m:sub>
        </m:sSub>
        <m:d>
          <m:dPr>
            <m:ctrlPr>
              <w:rPr>
                <w:rFonts w:ascii="Cambria Math" w:hAnsi="Cambria Math" w:cs="Times New Roman"/>
                <w:i/>
                <w:color w:val="000000"/>
                <w:kern w:val="0"/>
                <w:sz w:val="20"/>
                <w:szCs w:val="20"/>
                <w:lang w:val="en-GB"/>
              </w:rPr>
            </m:ctrlPr>
          </m:dPr>
          <m:e>
            <m:r>
              <w:rPr>
                <w:rFonts w:ascii="Cambria Math" w:hAnsi="Cambria Math" w:cs="Times New Roman"/>
                <w:color w:val="000000"/>
                <w:kern w:val="0"/>
                <w:sz w:val="20"/>
                <w:szCs w:val="20"/>
                <w:lang w:val="en-GB"/>
              </w:rPr>
              <m:t>t</m:t>
            </m:r>
          </m:e>
        </m:d>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 xml:space="preserve">Individuals in the tertiary stage face a risk of mortality, permanently exiting the </w:t>
      </w:r>
      <w:r w:rsidR="00387172" w:rsidRPr="006B42CB">
        <w:rPr>
          <w:rFonts w:ascii="Times New Roman" w:hAnsi="Times New Roman" w:cs="Times New Roman"/>
          <w:sz w:val="20"/>
          <w:szCs w:val="20"/>
        </w:rPr>
        <w:t>model</w:t>
      </w:r>
      <w:r w:rsidR="00F912AA" w:rsidRPr="006B42CB">
        <w:rPr>
          <w:rFonts w:ascii="Times New Roman" w:hAnsi="Times New Roman" w:cs="Times New Roman"/>
          <w:sz w:val="20"/>
          <w:szCs w:val="20"/>
        </w:rPr>
        <w:t xml:space="preserve"> </w:t>
      </w:r>
      <w:r w:rsidR="00387172" w:rsidRPr="006B42CB">
        <w:rPr>
          <w:rFonts w:ascii="Times New Roman" w:hAnsi="Times New Roman" w:cs="Times New Roman"/>
          <w:sz w:val="20"/>
          <w:szCs w:val="20"/>
        </w:rPr>
        <w:t>at</w:t>
      </w:r>
      <w:r w:rsidR="00F912AA" w:rsidRPr="006B42CB">
        <w:rPr>
          <w:rFonts w:ascii="Times New Roman" w:hAnsi="Times New Roman" w:cs="Times New Roman"/>
          <w:sz w:val="20"/>
          <w:szCs w:val="20"/>
        </w:rPr>
        <w:t xml:space="preserve"> a rate </w:t>
      </w:r>
      <m:oMath>
        <m:r>
          <w:rPr>
            <w:rFonts w:ascii="Cambria Math" w:hAnsi="Cambria Math" w:cs="Times New Roman"/>
            <w:sz w:val="20"/>
            <w:szCs w:val="20"/>
          </w:rPr>
          <m:t>ν</m:t>
        </m:r>
      </m:oMath>
      <w:r w:rsidR="00F912AA" w:rsidRPr="006B42CB">
        <w:rPr>
          <w:rFonts w:ascii="Times New Roman" w:hAnsi="Times New Roman" w:cs="Times New Roman"/>
          <w:sz w:val="20"/>
          <w:szCs w:val="20"/>
        </w:rPr>
        <w:t xml:space="preserve">. Notably, only the incubation, primary, secondary, and early latent stages are infectious, while the late latent and tertiary stages are non-infectious. </w:t>
      </w:r>
      <w:r w:rsidR="00387172" w:rsidRPr="006B42CB">
        <w:rPr>
          <w:rFonts w:ascii="Times New Roman" w:hAnsi="Times New Roman" w:cs="Times New Roman"/>
          <w:sz w:val="20"/>
          <w:szCs w:val="20"/>
        </w:rPr>
        <w:t xml:space="preserve">Treated individuals are assumed to be cured and return to the uninfected compartment at a rate </w:t>
      </w:r>
      <m:oMath>
        <m:r>
          <w:rPr>
            <w:rFonts w:ascii="Cambria Math" w:hAnsi="Cambria Math" w:cs="Times New Roman"/>
            <w:sz w:val="20"/>
            <w:szCs w:val="20"/>
          </w:rPr>
          <m:t>ρ</m:t>
        </m:r>
      </m:oMath>
      <w:r w:rsidR="00F912AA" w:rsidRPr="006B42CB">
        <w:rPr>
          <w:rFonts w:ascii="Times New Roman" w:hAnsi="Times New Roman" w:cs="Times New Roman"/>
          <w:sz w:val="20"/>
          <w:szCs w:val="20"/>
        </w:rPr>
        <w:t>.</w:t>
      </w:r>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 xml:space="preserve">Individuals may exit the sexually active population due to aging at any stage </w:t>
      </w:r>
      <w:r w:rsidR="00387172" w:rsidRPr="006B42CB">
        <w:rPr>
          <w:rFonts w:ascii="Times New Roman" w:hAnsi="Times New Roman" w:cs="Times New Roman"/>
          <w:sz w:val="20"/>
          <w:szCs w:val="20"/>
        </w:rPr>
        <w:t>at</w:t>
      </w:r>
      <w:r w:rsidR="00F912AA" w:rsidRPr="006B42CB">
        <w:rPr>
          <w:rFonts w:ascii="Times New Roman" w:hAnsi="Times New Roman" w:cs="Times New Roman"/>
          <w:sz w:val="20"/>
          <w:szCs w:val="20"/>
        </w:rPr>
        <w:t xml:space="preserve"> a rate </w:t>
      </w:r>
      <m:oMath>
        <m:r>
          <w:rPr>
            <w:rFonts w:ascii="Cambria Math" w:hAnsi="Cambria Math" w:cs="Times New Roman"/>
            <w:sz w:val="20"/>
            <w:szCs w:val="20"/>
          </w:rPr>
          <m:t>1</m:t>
        </m:r>
        <m:r>
          <m:rPr>
            <m:lit/>
          </m:rPr>
          <w:rPr>
            <w:rFonts w:ascii="Cambria Math" w:hAnsi="Cambria Math" w:cs="Times New Roman"/>
            <w:sz w:val="20"/>
            <w:szCs w:val="20"/>
          </w:rPr>
          <m:t>/</m:t>
        </m:r>
        <m:r>
          <w:rPr>
            <w:rFonts w:ascii="Cambria Math" w:hAnsi="Cambria Math" w:cs="Times New Roman"/>
            <w:sz w:val="20"/>
            <w:szCs w:val="20"/>
          </w:rPr>
          <m:t>γ</m:t>
        </m:r>
      </m:oMath>
      <w:r w:rsidR="00F912AA" w:rsidRPr="006B42CB">
        <w:rPr>
          <w:rFonts w:ascii="Times New Roman" w:hAnsi="Times New Roman" w:cs="Times New Roman"/>
          <w:sz w:val="20"/>
          <w:szCs w:val="20"/>
        </w:rPr>
        <w:t xml:space="preserve">. For </w:t>
      </w:r>
      <w:r w:rsidR="00387172" w:rsidRPr="006B42CB">
        <w:rPr>
          <w:rFonts w:ascii="Times New Roman" w:hAnsi="Times New Roman" w:cs="Times New Roman"/>
          <w:sz w:val="20"/>
          <w:szCs w:val="20"/>
        </w:rPr>
        <w:t xml:space="preserve">the </w:t>
      </w:r>
      <w:r w:rsidR="00F912AA" w:rsidRPr="006B42CB">
        <w:rPr>
          <w:rFonts w:ascii="Times New Roman" w:hAnsi="Times New Roman" w:cs="Times New Roman"/>
          <w:sz w:val="20"/>
          <w:szCs w:val="20"/>
        </w:rPr>
        <w:t xml:space="preserve">doxy-PEP model, </w:t>
      </w:r>
      <w:r w:rsidR="00387172" w:rsidRPr="006B42CB">
        <w:rPr>
          <w:rFonts w:ascii="Times New Roman" w:hAnsi="Times New Roman" w:cs="Times New Roman"/>
          <w:sz w:val="20"/>
          <w:szCs w:val="20"/>
        </w:rPr>
        <w:t xml:space="preserve">individuals enter the sexually active population at age 15. With probability </w:t>
      </w:r>
      <m:oMath>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DbE</m:t>
            </m:r>
          </m:sup>
        </m:sSup>
      </m:oMath>
      <w:r w:rsidR="00387172" w:rsidRPr="006B42CB">
        <w:rPr>
          <w:rFonts w:ascii="Times New Roman" w:hAnsi="Times New Roman" w:cs="Times New Roman"/>
          <w:sz w:val="20"/>
          <w:szCs w:val="20"/>
        </w:rPr>
        <w:t xml:space="preserve">, they initiate doxy-PEP upon entry and enter stratum </w:t>
      </w:r>
      <m:oMath>
        <m:r>
          <w:rPr>
            <w:rFonts w:ascii="Cambria Math" w:hAnsi="Cambria Math" w:cs="Times New Roman"/>
            <w:sz w:val="20"/>
            <w:szCs w:val="20"/>
            <w:lang w:val="en-US"/>
          </w:rPr>
          <m:t>D</m:t>
        </m:r>
      </m:oMath>
      <w:r w:rsidR="00387172" w:rsidRPr="006B42CB">
        <w:rPr>
          <w:rFonts w:ascii="Times New Roman" w:hAnsi="Times New Roman" w:cs="Times New Roman"/>
          <w:sz w:val="20"/>
          <w:szCs w:val="20"/>
          <w:lang w:val="en-US"/>
        </w:rPr>
        <w:t xml:space="preserve">; otherwise, they enter stratum </w:t>
      </w:r>
      <m:oMath>
        <m:r>
          <w:rPr>
            <w:rFonts w:ascii="Cambria Math" w:hAnsi="Cambria Math" w:cs="Times New Roman"/>
            <w:sz w:val="20"/>
            <w:szCs w:val="20"/>
            <w:lang w:val="en-US"/>
          </w:rPr>
          <m:t>N</m:t>
        </m:r>
      </m:oMath>
      <w:r w:rsidR="00387172" w:rsidRPr="006B42CB">
        <w:rPr>
          <w:rFonts w:ascii="Times New Roman" w:hAnsi="Times New Roman" w:cs="Times New Roman"/>
          <w:sz w:val="20"/>
          <w:szCs w:val="20"/>
          <w:lang w:val="en-US"/>
        </w:rPr>
        <w:t xml:space="preserve">. </w:t>
      </w:r>
      <w:r w:rsidR="00387172" w:rsidRPr="006B42CB">
        <w:rPr>
          <w:rFonts w:ascii="Times New Roman" w:hAnsi="Times New Roman" w:cs="Times New Roman"/>
          <w:sz w:val="20"/>
          <w:szCs w:val="20"/>
          <w:lang w:val="en-US"/>
        </w:rPr>
        <w:lastRenderedPageBreak/>
        <w:t xml:space="preserve">Individuals at </w:t>
      </w:r>
      <w:r w:rsidR="00387172" w:rsidRPr="006B42CB">
        <w:rPr>
          <w:rFonts w:ascii="Times New Roman" w:hAnsi="Times New Roman" w:cs="Times New Roman"/>
          <w:sz w:val="20"/>
          <w:szCs w:val="20"/>
        </w:rPr>
        <w:t xml:space="preserve">stratum </w:t>
      </w:r>
      <m:oMath>
        <m:r>
          <w:rPr>
            <w:rFonts w:ascii="Cambria Math" w:hAnsi="Cambria Math" w:cs="Times New Roman"/>
            <w:sz w:val="20"/>
            <w:szCs w:val="20"/>
            <w:lang w:val="en-US"/>
          </w:rPr>
          <m:t>D</m:t>
        </m:r>
      </m:oMath>
      <w:r w:rsidR="00387172" w:rsidRPr="006B42CB">
        <w:rPr>
          <w:rFonts w:ascii="Times New Roman" w:hAnsi="Times New Roman" w:cs="Times New Roman"/>
          <w:sz w:val="20"/>
          <w:szCs w:val="20"/>
          <w:lang w:val="en-US"/>
        </w:rPr>
        <w:t xml:space="preserve"> may discontinue doxy-PEP and move to </w:t>
      </w:r>
      <w:r w:rsidR="00387172" w:rsidRPr="006B42CB">
        <w:rPr>
          <w:rFonts w:ascii="Times New Roman" w:hAnsi="Times New Roman" w:cs="Times New Roman"/>
          <w:sz w:val="20"/>
          <w:szCs w:val="20"/>
        </w:rPr>
        <w:t xml:space="preserve">stratum </w:t>
      </w:r>
      <m:oMath>
        <m:r>
          <w:rPr>
            <w:rFonts w:ascii="Cambria Math" w:hAnsi="Cambria Math" w:cs="Times New Roman"/>
            <w:sz w:val="20"/>
            <w:szCs w:val="20"/>
          </w:rPr>
          <m:t>N</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ctrlPr>
              <w:rPr>
                <w:rFonts w:ascii="Cambria Math" w:hAnsi="Cambria Math" w:cs="Times New Roman"/>
                <w:sz w:val="20"/>
                <w:szCs w:val="20"/>
              </w:rPr>
            </m:ctrlPr>
          </m:e>
          <m:sub>
            <m:r>
              <w:rPr>
                <w:rFonts w:ascii="Cambria Math" w:hAnsi="Cambria Math" w:cs="Times New Roman"/>
                <w:sz w:val="20"/>
                <w:szCs w:val="20"/>
              </w:rPr>
              <m:t>n</m:t>
            </m:r>
          </m:sub>
        </m:sSub>
      </m:oMath>
      <w:r w:rsidR="00387172" w:rsidRPr="006B42CB">
        <w:rPr>
          <w:rFonts w:ascii="Times New Roman" w:hAnsi="Times New Roman" w:cs="Times New Roman"/>
          <w:sz w:val="20"/>
          <w:szCs w:val="20"/>
          <w:lang w:val="en-US"/>
        </w:rPr>
        <w:t xml:space="preserve">; </w:t>
      </w:r>
      <w:r w:rsidR="00387172" w:rsidRPr="006B42CB">
        <w:rPr>
          <w:rFonts w:ascii="Times New Roman" w:hAnsi="Times New Roman" w:cs="Times New Roman"/>
          <w:sz w:val="20"/>
          <w:szCs w:val="20"/>
        </w:rPr>
        <w:t xml:space="preserve">become suboptimally adherent and transition to stratum </w:t>
      </w:r>
      <m:oMath>
        <m:r>
          <w:rPr>
            <w:rFonts w:ascii="Cambria Math" w:hAnsi="Cambria Math" w:cs="Times New Roman"/>
            <w:sz w:val="20"/>
            <w:szCs w:val="20"/>
          </w:rPr>
          <m:t>X</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x</m:t>
            </m:r>
          </m:sub>
        </m:sSub>
      </m:oMath>
      <w:r w:rsidR="00387172" w:rsidRPr="006B42CB">
        <w:rPr>
          <w:rFonts w:ascii="Times New Roman" w:hAnsi="Times New Roman" w:cs="Times New Roman"/>
          <w:sz w:val="20"/>
          <w:szCs w:val="20"/>
        </w:rPr>
        <w:t xml:space="preserve">; or develop intolerance and transition to stratum </w:t>
      </w:r>
      <m:oMath>
        <m:r>
          <w:rPr>
            <w:rFonts w:ascii="Cambria Math" w:hAnsi="Cambria Math" w:cs="Times New Roman"/>
            <w:sz w:val="20"/>
            <w:szCs w:val="20"/>
          </w:rPr>
          <m:t>M</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m</m:t>
            </m:r>
          </m:sub>
        </m:sSub>
      </m:oMath>
      <w:r w:rsidR="00387172" w:rsidRPr="006B42CB">
        <w:rPr>
          <w:rFonts w:ascii="Times New Roman" w:hAnsi="Times New Roman" w:cs="Times New Roman"/>
          <w:sz w:val="20"/>
          <w:szCs w:val="20"/>
        </w:rPr>
        <w:t xml:space="preserve">. Individuals at stratum </w:t>
      </w:r>
      <m:oMath>
        <m:r>
          <w:rPr>
            <w:rFonts w:ascii="Cambria Math" w:hAnsi="Cambria Math" w:cs="Times New Roman"/>
            <w:sz w:val="20"/>
            <w:szCs w:val="20"/>
          </w:rPr>
          <m:t>X</m:t>
        </m:r>
      </m:oMath>
      <w:r w:rsidR="00387172" w:rsidRPr="006B42CB">
        <w:rPr>
          <w:rFonts w:ascii="Times New Roman" w:hAnsi="Times New Roman" w:cs="Times New Roman"/>
          <w:sz w:val="20"/>
          <w:szCs w:val="20"/>
        </w:rPr>
        <w:t xml:space="preserve"> may also </w:t>
      </w:r>
      <w:r w:rsidR="00387172" w:rsidRPr="006B42CB">
        <w:rPr>
          <w:rFonts w:ascii="Times New Roman" w:hAnsi="Times New Roman" w:cs="Times New Roman"/>
          <w:sz w:val="20"/>
          <w:szCs w:val="20"/>
          <w:lang w:val="en-US"/>
        </w:rPr>
        <w:t xml:space="preserve">discontinue doxy-PEP and return to </w:t>
      </w:r>
      <w:r w:rsidR="00387172" w:rsidRPr="006B42CB">
        <w:rPr>
          <w:rFonts w:ascii="Times New Roman" w:hAnsi="Times New Roman" w:cs="Times New Roman"/>
          <w:sz w:val="20"/>
          <w:szCs w:val="20"/>
        </w:rPr>
        <w:t xml:space="preserve">stratum </w:t>
      </w:r>
      <m:oMath>
        <m:r>
          <w:rPr>
            <w:rFonts w:ascii="Cambria Math" w:hAnsi="Cambria Math" w:cs="Times New Roman"/>
            <w:sz w:val="20"/>
            <w:szCs w:val="20"/>
          </w:rPr>
          <m:t>N</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xn</m:t>
            </m:r>
          </m:sub>
        </m:sSub>
      </m:oMath>
      <w:r w:rsidR="00387172" w:rsidRPr="006B42CB">
        <w:rPr>
          <w:rFonts w:ascii="Times New Roman" w:hAnsi="Times New Roman" w:cs="Times New Roman"/>
          <w:sz w:val="20"/>
          <w:szCs w:val="20"/>
        </w:rPr>
        <w:t xml:space="preserve">. </w:t>
      </w:r>
      <w:r w:rsidR="00387172" w:rsidRPr="006B42CB">
        <w:rPr>
          <w:rFonts w:ascii="Times New Roman" w:hAnsi="Times New Roman" w:cs="Times New Roman"/>
          <w:sz w:val="20"/>
          <w:szCs w:val="20"/>
          <w:lang w:val="en-US"/>
        </w:rPr>
        <w:t>Individuals at strata</w:t>
      </w:r>
      <w:r w:rsidR="00387172" w:rsidRPr="006B42CB">
        <w:rPr>
          <w:rFonts w:ascii="Times New Roman" w:hAnsi="Times New Roman" w:cs="Times New Roman"/>
          <w:sz w:val="20"/>
          <w:szCs w:val="20"/>
        </w:rPr>
        <w:t xml:space="preserve"> </w:t>
      </w:r>
      <m:oMath>
        <m:r>
          <w:rPr>
            <w:rFonts w:ascii="Cambria Math" w:hAnsi="Cambria Math" w:cs="Times New Roman"/>
            <w:sz w:val="20"/>
            <w:szCs w:val="20"/>
            <w:lang w:val="en-US"/>
          </w:rPr>
          <m:t>N</m:t>
        </m:r>
      </m:oMath>
      <w:r w:rsidR="00387172" w:rsidRPr="006B42CB">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00387172" w:rsidRPr="006B42CB">
        <w:rPr>
          <w:rFonts w:ascii="Times New Roman" w:hAnsi="Times New Roman" w:cs="Times New Roman"/>
          <w:sz w:val="20"/>
          <w:szCs w:val="20"/>
          <w:lang w:val="en-US"/>
        </w:rPr>
        <w:t xml:space="preserve"> may initiate doxy-PEP following a sexual health clinic visit </w:t>
      </w:r>
      <w:r w:rsidR="00B739EA">
        <w:rPr>
          <w:rFonts w:ascii="Times New Roman" w:hAnsi="Times New Roman" w:cs="Times New Roman"/>
          <w:sz w:val="20"/>
          <w:szCs w:val="20"/>
          <w:lang w:val="en-US"/>
        </w:rPr>
        <w:t>-</w:t>
      </w:r>
      <w:r w:rsidR="00387172" w:rsidRPr="006B42CB">
        <w:rPr>
          <w:rFonts w:ascii="Times New Roman" w:hAnsi="Times New Roman" w:cs="Times New Roman"/>
          <w:sz w:val="20"/>
          <w:szCs w:val="20"/>
          <w:lang w:val="en-US"/>
        </w:rPr>
        <w:t xml:space="preserve"> either through screening or diagnosis </w:t>
      </w:r>
      <w:r w:rsidR="00B739EA">
        <w:rPr>
          <w:rFonts w:ascii="Times New Roman" w:hAnsi="Times New Roman" w:cs="Times New Roman"/>
          <w:sz w:val="20"/>
          <w:szCs w:val="20"/>
          <w:lang w:val="en-US"/>
        </w:rPr>
        <w:t>-</w:t>
      </w:r>
      <w:r w:rsidR="00387172" w:rsidRPr="006B42CB">
        <w:rPr>
          <w:rFonts w:ascii="Times New Roman" w:hAnsi="Times New Roman" w:cs="Times New Roman"/>
          <w:sz w:val="20"/>
          <w:szCs w:val="20"/>
          <w:lang w:val="en-US"/>
        </w:rPr>
        <w:t xml:space="preserve"> with probabilities </w:t>
      </w:r>
      <m:oMath>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DoS</m:t>
            </m:r>
          </m:sup>
        </m:sSup>
      </m:oMath>
      <w:r w:rsidR="00387172" w:rsidRPr="006B42CB">
        <w:rPr>
          <w:rFonts w:ascii="Times New Roman" w:hAnsi="Times New Roman" w:cs="Times New Roman"/>
          <w:sz w:val="20"/>
          <w:szCs w:val="20"/>
        </w:rPr>
        <w:t xml:space="preserve"> and </w:t>
      </w:r>
      <m:oMath>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DoD</m:t>
            </m:r>
          </m:sup>
        </m:sSup>
      </m:oMath>
      <w:r w:rsidR="00387172" w:rsidRPr="006B42CB">
        <w:rPr>
          <w:rFonts w:ascii="Times New Roman" w:hAnsi="Times New Roman" w:cs="Times New Roman"/>
          <w:sz w:val="20"/>
          <w:szCs w:val="20"/>
        </w:rPr>
        <w:t xml:space="preserve">, respectively, and transition into stratum </w:t>
      </w:r>
      <m:oMath>
        <m:r>
          <w:rPr>
            <w:rFonts w:ascii="Cambria Math" w:hAnsi="Cambria Math" w:cs="Times New Roman"/>
            <w:sz w:val="20"/>
            <w:szCs w:val="20"/>
            <w:lang w:val="en-US"/>
          </w:rPr>
          <m:t>D</m:t>
        </m:r>
      </m:oMath>
      <w:r w:rsidR="00387172" w:rsidRPr="006B42CB">
        <w:rPr>
          <w:rFonts w:ascii="Times New Roman" w:hAnsi="Times New Roman" w:cs="Times New Roman"/>
          <w:sz w:val="20"/>
          <w:szCs w:val="20"/>
          <w:lang w:val="en-US"/>
        </w:rPr>
        <w:t>.</w:t>
      </w:r>
    </w:p>
    <w:p w14:paraId="5288C673" w14:textId="2D8120C7" w:rsidR="00F912AA" w:rsidRPr="0091436E" w:rsidRDefault="00F912AA" w:rsidP="0091436E">
      <w:pPr>
        <w:spacing w:line="276" w:lineRule="auto"/>
        <w:jc w:val="both"/>
        <w:rPr>
          <w:rFonts w:ascii="Times New Roman" w:hAnsi="Times New Roman" w:cs="Times New Roman"/>
          <w:b/>
          <w:bCs/>
          <w:sz w:val="20"/>
          <w:szCs w:val="20"/>
        </w:rPr>
        <w:sectPr w:rsidR="00F912AA" w:rsidRPr="0091436E" w:rsidSect="0091436E">
          <w:pgSz w:w="16838" w:h="11906" w:orient="landscape"/>
          <w:pgMar w:top="1440" w:right="1440" w:bottom="1440" w:left="1440" w:header="708" w:footer="708" w:gutter="0"/>
          <w:cols w:space="708"/>
          <w:docGrid w:linePitch="360"/>
        </w:sectPr>
      </w:pPr>
    </w:p>
    <w:p w14:paraId="6444D8D9" w14:textId="77777777" w:rsidR="00563E86" w:rsidRDefault="00563E86" w:rsidP="004D321E">
      <w:pPr>
        <w:pStyle w:val="NormalWeb"/>
        <w:numPr>
          <w:ilvl w:val="0"/>
          <w:numId w:val="31"/>
        </w:numPr>
        <w:spacing w:line="276" w:lineRule="auto"/>
        <w:jc w:val="both"/>
        <w:rPr>
          <w:b/>
          <w:bCs/>
          <w:sz w:val="20"/>
          <w:szCs w:val="20"/>
        </w:rPr>
      </w:pPr>
      <w:r w:rsidRPr="00563E86">
        <w:rPr>
          <w:b/>
          <w:bCs/>
          <w:sz w:val="20"/>
          <w:szCs w:val="20"/>
        </w:rPr>
        <w:lastRenderedPageBreak/>
        <w:t>Results</w:t>
      </w:r>
    </w:p>
    <w:p w14:paraId="18890FD1" w14:textId="1A637580" w:rsidR="00B20A02" w:rsidRPr="00B20A02" w:rsidRDefault="00B20A02" w:rsidP="00B20A02">
      <w:pPr>
        <w:pStyle w:val="NormalWeb"/>
        <w:spacing w:line="276" w:lineRule="auto"/>
        <w:jc w:val="both"/>
        <w:rPr>
          <w:sz w:val="20"/>
          <w:szCs w:val="20"/>
        </w:rPr>
      </w:pPr>
      <w:r w:rsidRPr="00B20A02">
        <w:rPr>
          <w:sz w:val="20"/>
          <w:szCs w:val="20"/>
        </w:rPr>
        <w:t xml:space="preserve">In </w:t>
      </w:r>
      <w:r w:rsidR="00EC6ADE">
        <w:rPr>
          <w:sz w:val="20"/>
          <w:szCs w:val="20"/>
        </w:rPr>
        <w:t>subs</w:t>
      </w:r>
      <w:r w:rsidRPr="00B20A02">
        <w:rPr>
          <w:sz w:val="20"/>
          <w:szCs w:val="20"/>
        </w:rPr>
        <w:t>ections 3.2 and 3.3, we present the results for Singapore’s main scenario (i.e., male syphilis incidence minus female incidence, assuming all male cases not attributable to heterosexual transmission occur among MSM) and for England, under the assumption that inferred time-varying behavioural trends stabilize. It is important to note that the conclusions drawn from these results are generalizable across all scenario settings, including Singapore’s lower and upper bound scenarios and the continued trend scenario, in which behavioural trends are assumed to evolve through to 2040 based on historical incidence. Full results for all scenarios and the sensitivity analyses are provided in Appendix D.</w:t>
      </w:r>
    </w:p>
    <w:p w14:paraId="723FA2DC" w14:textId="78094E5D" w:rsidR="00E157AE" w:rsidRDefault="0032009C" w:rsidP="0032009C">
      <w:pPr>
        <w:pStyle w:val="NormalWeb"/>
        <w:numPr>
          <w:ilvl w:val="1"/>
          <w:numId w:val="31"/>
        </w:numPr>
        <w:spacing w:line="276" w:lineRule="auto"/>
        <w:jc w:val="both"/>
        <w:rPr>
          <w:sz w:val="20"/>
          <w:szCs w:val="20"/>
          <w:lang w:val="en-US"/>
        </w:rPr>
      </w:pPr>
      <w:r>
        <w:rPr>
          <w:sz w:val="20"/>
          <w:szCs w:val="20"/>
          <w:lang w:val="en-US"/>
        </w:rPr>
        <w:t>Model calibration and estimated force of infection</w:t>
      </w:r>
    </w:p>
    <w:p w14:paraId="5E039FD5" w14:textId="394A1886" w:rsidR="00EC48A3" w:rsidRPr="00EC48A3" w:rsidRDefault="00EC6ADE" w:rsidP="0032009C">
      <w:pPr>
        <w:pStyle w:val="NormalWeb"/>
        <w:spacing w:line="276" w:lineRule="auto"/>
        <w:jc w:val="both"/>
        <w:rPr>
          <w:sz w:val="20"/>
          <w:szCs w:val="20"/>
        </w:rPr>
      </w:pPr>
      <w:r w:rsidRPr="00EC48A3">
        <w:rPr>
          <w:sz w:val="20"/>
          <w:szCs w:val="20"/>
          <w:lang w:val="en-US"/>
        </w:rPr>
        <w:t xml:space="preserve">Fig. 2 </w:t>
      </w:r>
      <w:r w:rsidR="0032009C" w:rsidRPr="00EC48A3">
        <w:rPr>
          <w:sz w:val="20"/>
          <w:szCs w:val="20"/>
        </w:rPr>
        <w:t xml:space="preserve">shows that the observed annual numbers of diagnosed syphilis cases predominantly lie within the interquartile range (IQR) of the posterior predictions from our calibrated model for both Singapore and England. This indicates that the calibration process successfully captures the slightly increasing trend in Singapore and the steeper upward trend observed in England. </w:t>
      </w:r>
      <w:r w:rsidR="00EC48A3" w:rsidRPr="00EC48A3">
        <w:rPr>
          <w:sz w:val="20"/>
          <w:szCs w:val="20"/>
        </w:rPr>
        <w:t>As expected in Bayesian calibration of time-series models, the widening of the interquartile range toward the end of the calibration period reflects the increasing uncertainty from parameter estimates propagating through the dynamic system. This is typical for Bayesian inference of time-varying processes, as the model describes the observed data probabilistically rather than deterministically. Rather than forcing the fit to pass through each point exactly, the model represents a plausible generative process consistent with both the data and the underlying epidemiological mechanisms.</w:t>
      </w:r>
    </w:p>
    <w:p w14:paraId="3B09B361" w14:textId="532064B1" w:rsidR="0032009C" w:rsidRPr="0032009C" w:rsidRDefault="0032009C" w:rsidP="0032009C">
      <w:pPr>
        <w:pStyle w:val="NormalWeb"/>
        <w:spacing w:line="276" w:lineRule="auto"/>
        <w:jc w:val="both"/>
        <w:rPr>
          <w:sz w:val="20"/>
          <w:szCs w:val="20"/>
        </w:rPr>
      </w:pPr>
      <w:r w:rsidRPr="0032009C">
        <w:rPr>
          <w:sz w:val="20"/>
          <w:szCs w:val="20"/>
        </w:rPr>
        <w:t>The model also reproduces the increasing force of infection in both settings, consistent with the rising number of diagnosed cases. Notably, the estimated force of infection is substantially higher for the high-risk MSM group compared to the low-risk group in both countries, highlighting the disproportionate contribution of high-risk individuals to overall transmission dynamics. Additionally, the force of infection for high-risk MSM in England is consistently higher than that in Singapore across the calibration period, aligning with the higher observed incidence in England.</w:t>
      </w:r>
      <w:r w:rsidR="00833417">
        <w:rPr>
          <w:sz w:val="20"/>
          <w:szCs w:val="20"/>
        </w:rPr>
        <w:t xml:space="preserve"> Moreover, t</w:t>
      </w:r>
      <w:r w:rsidRPr="0032009C">
        <w:rPr>
          <w:sz w:val="20"/>
          <w:szCs w:val="20"/>
        </w:rPr>
        <w:t>he force of infection for low-risk MSM remains minimal in both contexts, implying that including this group in doxy-PEP prescribing strategies would have limited impact on population-level transmission reduction. This finding supports the model’s subsequent projections showing that targeting high-risk MSM yields substantially greater efficiency and impact, as detailed in Sections 3.2 and 3.3 and confirmed by additional scenario and sensitivity analyses presented in Appendix D.</w:t>
      </w:r>
    </w:p>
    <w:p w14:paraId="23E7ECEC" w14:textId="7E3354F2" w:rsidR="00E65716" w:rsidRDefault="00E65716" w:rsidP="00E65716">
      <w:pPr>
        <w:pStyle w:val="NormalWeb"/>
        <w:spacing w:line="276" w:lineRule="auto"/>
        <w:jc w:val="both"/>
        <w:rPr>
          <w:sz w:val="20"/>
          <w:szCs w:val="20"/>
          <w:lang w:val="en-US"/>
        </w:rPr>
      </w:pPr>
    </w:p>
    <w:p w14:paraId="1FC7A528" w14:textId="77777777" w:rsidR="000B7F7B" w:rsidRPr="000B7F7B" w:rsidRDefault="000B7F7B" w:rsidP="000B7F7B">
      <w:pPr>
        <w:pStyle w:val="NormalWeb"/>
        <w:spacing w:line="276" w:lineRule="auto"/>
        <w:jc w:val="both"/>
        <w:rPr>
          <w:sz w:val="20"/>
          <w:szCs w:val="20"/>
          <w:lang w:val="en-US"/>
        </w:rPr>
      </w:pPr>
    </w:p>
    <w:p w14:paraId="6D54A80F" w14:textId="77777777" w:rsidR="00EB1EE7" w:rsidRDefault="00EB1EE7" w:rsidP="00EB1EE7">
      <w:pPr>
        <w:pStyle w:val="NormalWeb"/>
        <w:spacing w:line="276" w:lineRule="auto"/>
        <w:jc w:val="both"/>
        <w:rPr>
          <w:b/>
          <w:bCs/>
          <w:sz w:val="20"/>
          <w:szCs w:val="20"/>
        </w:rPr>
      </w:pPr>
    </w:p>
    <w:p w14:paraId="5E64F30F" w14:textId="77777777" w:rsidR="00EB1EE7" w:rsidRDefault="00EB1EE7" w:rsidP="00EB1EE7">
      <w:pPr>
        <w:pStyle w:val="NormalWeb"/>
        <w:spacing w:line="276" w:lineRule="auto"/>
        <w:jc w:val="both"/>
        <w:rPr>
          <w:b/>
          <w:bCs/>
          <w:sz w:val="20"/>
          <w:szCs w:val="20"/>
        </w:rPr>
      </w:pPr>
    </w:p>
    <w:p w14:paraId="4DFAE718" w14:textId="7FEC2ADA" w:rsidR="00EB1EE7" w:rsidRPr="00EB1EE7" w:rsidRDefault="00EB1EE7" w:rsidP="00EB1EE7">
      <w:pPr>
        <w:pStyle w:val="NormalWeb"/>
        <w:spacing w:line="276" w:lineRule="auto"/>
        <w:jc w:val="both"/>
        <w:rPr>
          <w:b/>
          <w:bCs/>
          <w:sz w:val="20"/>
          <w:szCs w:val="20"/>
        </w:rPr>
        <w:sectPr w:rsidR="00EB1EE7" w:rsidRPr="00EB1EE7" w:rsidSect="003A2824">
          <w:pgSz w:w="11906" w:h="16838"/>
          <w:pgMar w:top="1440" w:right="1440" w:bottom="1440" w:left="1440" w:header="709" w:footer="709" w:gutter="0"/>
          <w:cols w:space="708"/>
          <w:docGrid w:linePitch="360"/>
        </w:sectPr>
      </w:pPr>
    </w:p>
    <w:p w14:paraId="1B9273F3" w14:textId="77777777" w:rsidR="00563E86" w:rsidRDefault="00563E86" w:rsidP="00563E86">
      <w:pPr>
        <w:pStyle w:val="p1"/>
        <w:spacing w:line="276" w:lineRule="auto"/>
        <w:jc w:val="center"/>
        <w:rPr>
          <w:rFonts w:ascii="Times New Roman" w:hAnsi="Times New Roman"/>
          <w:sz w:val="20"/>
          <w:szCs w:val="20"/>
        </w:rPr>
      </w:pPr>
      <w:r>
        <w:rPr>
          <w:rFonts w:ascii="Times New Roman" w:hAnsi="Times New Roman"/>
          <w:noProof/>
          <w:sz w:val="20"/>
          <w:szCs w:val="20"/>
          <w14:ligatures w14:val="standardContextual"/>
        </w:rPr>
        <w:lastRenderedPageBreak/>
        <w:drawing>
          <wp:inline distT="0" distB="0" distL="0" distR="0" wp14:anchorId="594F24FB" wp14:editId="4C4A9896">
            <wp:extent cx="7020000" cy="4680000"/>
            <wp:effectExtent l="0" t="0" r="3175" b="6350"/>
            <wp:docPr id="15657450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10701" name="Picture 1696310701"/>
                    <pic:cNvPicPr/>
                  </pic:nvPicPr>
                  <pic:blipFill>
                    <a:blip r:embed="rId13"/>
                    <a:stretch>
                      <a:fillRect/>
                    </a:stretch>
                  </pic:blipFill>
                  <pic:spPr>
                    <a:xfrm>
                      <a:off x="0" y="0"/>
                      <a:ext cx="7020000" cy="4680000"/>
                    </a:xfrm>
                    <a:prstGeom prst="rect">
                      <a:avLst/>
                    </a:prstGeom>
                  </pic:spPr>
                </pic:pic>
              </a:graphicData>
            </a:graphic>
          </wp:inline>
        </w:drawing>
      </w:r>
    </w:p>
    <w:p w14:paraId="6A0695E9" w14:textId="77777777" w:rsidR="00E157AE" w:rsidRDefault="00563E86" w:rsidP="00563E86">
      <w:pPr>
        <w:pStyle w:val="NormalWeb"/>
        <w:spacing w:line="276" w:lineRule="auto"/>
        <w:jc w:val="both"/>
        <w:rPr>
          <w:sz w:val="20"/>
          <w:szCs w:val="20"/>
        </w:rPr>
        <w:sectPr w:rsidR="00E157AE" w:rsidSect="00563E86">
          <w:pgSz w:w="16838" w:h="11906" w:orient="landscape"/>
          <w:pgMar w:top="1440" w:right="1440" w:bottom="1440" w:left="1440" w:header="709" w:footer="709" w:gutter="0"/>
          <w:cols w:space="708"/>
          <w:docGrid w:linePitch="360"/>
        </w:sectPr>
      </w:pPr>
      <w:r w:rsidRPr="00784422">
        <w:rPr>
          <w:sz w:val="20"/>
          <w:szCs w:val="20"/>
        </w:rPr>
        <w:t xml:space="preserve">Fig. </w:t>
      </w:r>
      <w:r w:rsidR="00EB1EE7">
        <w:rPr>
          <w:sz w:val="20"/>
          <w:szCs w:val="20"/>
        </w:rPr>
        <w:t>2</w:t>
      </w:r>
      <w:r w:rsidRPr="00784422">
        <w:rPr>
          <w:sz w:val="20"/>
          <w:szCs w:val="20"/>
        </w:rPr>
        <w:t xml:space="preserve">: </w:t>
      </w:r>
      <w:r>
        <w:rPr>
          <w:sz w:val="20"/>
          <w:szCs w:val="20"/>
        </w:rPr>
        <w:t>Panel 1 shows s</w:t>
      </w:r>
      <w:r w:rsidRPr="00784422">
        <w:rPr>
          <w:sz w:val="20"/>
          <w:szCs w:val="20"/>
        </w:rPr>
        <w:t>imulated epidemic trajectories and observed syphilis incidence among MSM in England and Singapore</w:t>
      </w:r>
      <w:r>
        <w:rPr>
          <w:sz w:val="20"/>
          <w:szCs w:val="20"/>
        </w:rPr>
        <w:t xml:space="preserve"> (</w:t>
      </w:r>
      <w:r w:rsidRPr="00794004">
        <w:rPr>
          <w:color w:val="141413"/>
          <w:sz w:val="20"/>
          <w:szCs w:val="20"/>
        </w:rPr>
        <w:t>assuming all males not having sex with females are MSM</w:t>
      </w:r>
      <w:r>
        <w:rPr>
          <w:color w:val="141413"/>
          <w:sz w:val="20"/>
          <w:szCs w:val="20"/>
        </w:rPr>
        <w:t>)</w:t>
      </w:r>
      <w:r w:rsidRPr="00784422">
        <w:rPr>
          <w:sz w:val="20"/>
          <w:szCs w:val="20"/>
        </w:rPr>
        <w:t>. Each box represents the posterior distribution, with the median indicated by a horizontal line and the interquartile range represented by the upper and lower edges of the box. Observed annual syphilis incidence data are shown as square points.</w:t>
      </w:r>
      <w:r>
        <w:rPr>
          <w:sz w:val="20"/>
          <w:szCs w:val="20"/>
        </w:rPr>
        <w:t xml:space="preserve"> Panel 2 shows f</w:t>
      </w:r>
      <w:r w:rsidRPr="004D130D">
        <w:rPr>
          <w:sz w:val="20"/>
          <w:szCs w:val="20"/>
        </w:rPr>
        <w:t>orce of infection estimates based on Bayesian calibration for England and Singapore, stratified by high-risk and low-risk groups. For each box, the median is represented by a square point, while the interquartile range is indicated by the upper and lower edges of the box</w:t>
      </w:r>
      <w:r>
        <w:rPr>
          <w:sz w:val="20"/>
          <w:szCs w:val="20"/>
        </w:rPr>
        <w:t>.</w:t>
      </w:r>
    </w:p>
    <w:p w14:paraId="70CEBD13" w14:textId="55663B44" w:rsidR="00B20A02" w:rsidRPr="00B20A02" w:rsidRDefault="00E157AE" w:rsidP="00E157AE">
      <w:pPr>
        <w:pStyle w:val="NormalWeb"/>
        <w:numPr>
          <w:ilvl w:val="1"/>
          <w:numId w:val="31"/>
        </w:numPr>
        <w:spacing w:line="276" w:lineRule="auto"/>
        <w:jc w:val="both"/>
        <w:rPr>
          <w:sz w:val="20"/>
          <w:szCs w:val="20"/>
          <w:lang w:val="en-US"/>
        </w:rPr>
      </w:pPr>
      <w:r>
        <w:rPr>
          <w:sz w:val="20"/>
          <w:szCs w:val="20"/>
          <w:lang w:val="en-US"/>
        </w:rPr>
        <w:lastRenderedPageBreak/>
        <w:t xml:space="preserve">Impact and efficiency of </w:t>
      </w:r>
      <w:r w:rsidR="00752EF7">
        <w:rPr>
          <w:sz w:val="20"/>
          <w:szCs w:val="20"/>
          <w:lang w:val="en-US"/>
        </w:rPr>
        <w:t xml:space="preserve">alternative </w:t>
      </w:r>
      <w:r>
        <w:rPr>
          <w:sz w:val="20"/>
          <w:szCs w:val="20"/>
          <w:lang w:val="en-US"/>
        </w:rPr>
        <w:t>doxy-PEP strategies</w:t>
      </w:r>
    </w:p>
    <w:p w14:paraId="35504CD7" w14:textId="03EA66D5" w:rsidR="00900F9A" w:rsidRDefault="00900F9A" w:rsidP="00900F9A">
      <w:pPr>
        <w:pStyle w:val="NormalWeb"/>
        <w:spacing w:line="276" w:lineRule="auto"/>
        <w:jc w:val="both"/>
        <w:rPr>
          <w:sz w:val="20"/>
          <w:szCs w:val="20"/>
        </w:rPr>
      </w:pPr>
      <w:r w:rsidRPr="00900F9A">
        <w:rPr>
          <w:sz w:val="20"/>
          <w:szCs w:val="20"/>
        </w:rPr>
        <w:t>Fig</w:t>
      </w:r>
      <w:r>
        <w:rPr>
          <w:sz w:val="20"/>
          <w:szCs w:val="20"/>
        </w:rPr>
        <w:t>.</w:t>
      </w:r>
      <w:r w:rsidRPr="00900F9A">
        <w:rPr>
          <w:sz w:val="20"/>
          <w:szCs w:val="20"/>
        </w:rPr>
        <w:t xml:space="preserve"> 3 illustrates the projected long-term impact of alternative doxy-PEP strategies on syphilis incidence among MSM in Singapore and England. Across both settings, all evaluated strategies are projected to reduce syphilis incidence over time, with greater reductions achieved the longer doxy-PEP is implemented.</w:t>
      </w:r>
      <w:r>
        <w:rPr>
          <w:sz w:val="20"/>
          <w:szCs w:val="20"/>
        </w:rPr>
        <w:t xml:space="preserve"> </w:t>
      </w:r>
      <w:r w:rsidRPr="00900F9A">
        <w:rPr>
          <w:sz w:val="20"/>
          <w:szCs w:val="20"/>
        </w:rPr>
        <w:t>Strategies targeting high-risk MSM at diagnosis (</w:t>
      </w:r>
      <w:r w:rsidRPr="00900F9A">
        <w:rPr>
          <w:rStyle w:val="Emphasis"/>
          <w:rFonts w:eastAsiaTheme="majorEastAsia"/>
          <w:sz w:val="20"/>
          <w:szCs w:val="20"/>
        </w:rPr>
        <w:t>DoD(H)</w:t>
      </w:r>
      <w:r w:rsidRPr="00900F9A">
        <w:rPr>
          <w:sz w:val="20"/>
          <w:szCs w:val="20"/>
        </w:rPr>
        <w:t xml:space="preserve">) demonstrate a moderate but sustained impact, closely mirroring the results of </w:t>
      </w:r>
      <w:r w:rsidRPr="00900F9A">
        <w:rPr>
          <w:rStyle w:val="Emphasis"/>
          <w:rFonts w:eastAsiaTheme="majorEastAsia"/>
          <w:sz w:val="20"/>
          <w:szCs w:val="20"/>
        </w:rPr>
        <w:t>DoD</w:t>
      </w:r>
      <w:r w:rsidRPr="00900F9A">
        <w:rPr>
          <w:sz w:val="20"/>
          <w:szCs w:val="20"/>
        </w:rPr>
        <w:t xml:space="preserve"> overall. In contrast, broader strategies such as </w:t>
      </w:r>
      <w:proofErr w:type="spellStart"/>
      <w:r w:rsidRPr="00900F9A">
        <w:rPr>
          <w:rStyle w:val="Emphasis"/>
          <w:rFonts w:eastAsiaTheme="majorEastAsia"/>
          <w:sz w:val="20"/>
          <w:szCs w:val="20"/>
        </w:rPr>
        <w:t>DoA</w:t>
      </w:r>
      <w:proofErr w:type="spellEnd"/>
      <w:r w:rsidRPr="00900F9A">
        <w:rPr>
          <w:sz w:val="20"/>
          <w:szCs w:val="20"/>
        </w:rPr>
        <w:t xml:space="preserve">, </w:t>
      </w:r>
      <w:r w:rsidRPr="00900F9A">
        <w:rPr>
          <w:rStyle w:val="Emphasis"/>
          <w:rFonts w:eastAsiaTheme="majorEastAsia"/>
          <w:sz w:val="20"/>
          <w:szCs w:val="20"/>
        </w:rPr>
        <w:t>DoA(H)</w:t>
      </w:r>
      <w:r w:rsidRPr="00900F9A">
        <w:rPr>
          <w:sz w:val="20"/>
          <w:szCs w:val="20"/>
        </w:rPr>
        <w:t xml:space="preserve">, and </w:t>
      </w:r>
      <w:proofErr w:type="spellStart"/>
      <w:r w:rsidRPr="00900F9A">
        <w:rPr>
          <w:rStyle w:val="Emphasis"/>
          <w:rFonts w:eastAsiaTheme="majorEastAsia"/>
          <w:sz w:val="20"/>
          <w:szCs w:val="20"/>
        </w:rPr>
        <w:t>DaR</w:t>
      </w:r>
      <w:proofErr w:type="spellEnd"/>
      <w:r w:rsidRPr="00900F9A">
        <w:rPr>
          <w:sz w:val="20"/>
          <w:szCs w:val="20"/>
        </w:rPr>
        <w:t xml:space="preserve"> yield the greatest total reductions in incidence over the 15-year horizon. Notably, </w:t>
      </w:r>
      <w:proofErr w:type="spellStart"/>
      <w:r w:rsidRPr="00900F9A">
        <w:rPr>
          <w:rStyle w:val="Emphasis"/>
          <w:rFonts w:eastAsiaTheme="majorEastAsia"/>
          <w:sz w:val="20"/>
          <w:szCs w:val="20"/>
        </w:rPr>
        <w:t>DbE</w:t>
      </w:r>
      <w:proofErr w:type="spellEnd"/>
      <w:r w:rsidRPr="00900F9A">
        <w:rPr>
          <w:sz w:val="20"/>
          <w:szCs w:val="20"/>
        </w:rPr>
        <w:t xml:space="preserve"> </w:t>
      </w:r>
      <w:r>
        <w:rPr>
          <w:sz w:val="20"/>
          <w:szCs w:val="20"/>
        </w:rPr>
        <w:t>-</w:t>
      </w:r>
      <w:r w:rsidRPr="00900F9A">
        <w:rPr>
          <w:sz w:val="20"/>
          <w:szCs w:val="20"/>
        </w:rPr>
        <w:t xml:space="preserve"> which targets MSM before they enter the sexually active population </w:t>
      </w:r>
      <w:r>
        <w:rPr>
          <w:sz w:val="20"/>
          <w:szCs w:val="20"/>
        </w:rPr>
        <w:t>-</w:t>
      </w:r>
      <w:r w:rsidRPr="00900F9A">
        <w:rPr>
          <w:sz w:val="20"/>
          <w:szCs w:val="20"/>
        </w:rPr>
        <w:t xml:space="preserve"> produces the smallest overall reduction in incidence across years.</w:t>
      </w:r>
      <w:r>
        <w:rPr>
          <w:sz w:val="20"/>
          <w:szCs w:val="20"/>
        </w:rPr>
        <w:t xml:space="preserve"> </w:t>
      </w:r>
      <w:r w:rsidRPr="00900F9A">
        <w:rPr>
          <w:sz w:val="20"/>
          <w:szCs w:val="20"/>
        </w:rPr>
        <w:t xml:space="preserve">An important finding from the model is that under </w:t>
      </w:r>
      <w:proofErr w:type="spellStart"/>
      <w:r w:rsidRPr="00900F9A">
        <w:rPr>
          <w:rStyle w:val="Emphasis"/>
          <w:rFonts w:eastAsiaTheme="majorEastAsia"/>
          <w:sz w:val="20"/>
          <w:szCs w:val="20"/>
        </w:rPr>
        <w:t>DoA</w:t>
      </w:r>
      <w:proofErr w:type="spellEnd"/>
      <w:r w:rsidRPr="00900F9A">
        <w:rPr>
          <w:sz w:val="20"/>
          <w:szCs w:val="20"/>
        </w:rPr>
        <w:t xml:space="preserve">, </w:t>
      </w:r>
      <w:r w:rsidRPr="00900F9A">
        <w:rPr>
          <w:rStyle w:val="Emphasis"/>
          <w:rFonts w:eastAsiaTheme="majorEastAsia"/>
          <w:sz w:val="20"/>
          <w:szCs w:val="20"/>
        </w:rPr>
        <w:t>DoA(H)</w:t>
      </w:r>
      <w:r w:rsidRPr="00900F9A">
        <w:rPr>
          <w:sz w:val="20"/>
          <w:szCs w:val="20"/>
        </w:rPr>
        <w:t xml:space="preserve">, and </w:t>
      </w:r>
      <w:proofErr w:type="spellStart"/>
      <w:r w:rsidRPr="00900F9A">
        <w:rPr>
          <w:rStyle w:val="Emphasis"/>
          <w:rFonts w:eastAsiaTheme="majorEastAsia"/>
          <w:sz w:val="20"/>
          <w:szCs w:val="20"/>
        </w:rPr>
        <w:t>DaR</w:t>
      </w:r>
      <w:proofErr w:type="spellEnd"/>
      <w:r w:rsidRPr="00900F9A">
        <w:rPr>
          <w:sz w:val="20"/>
          <w:szCs w:val="20"/>
        </w:rPr>
        <w:t>, syphilis can be virtually eliminated in the long term in both regions. This occurs because these broad-coverage strategies result in a large proportion of high-risk MSM entering and remaining in the doxy-PEP-protected stratum. With a high efficacy for fully adherent users (approximately 80%), the force of infection declines towards zero, thereby interrupting transmission chains and leading to elimination thresholds being met.</w:t>
      </w:r>
    </w:p>
    <w:p w14:paraId="7AE89D5F" w14:textId="25DC74E9" w:rsidR="00900F9A" w:rsidRPr="00900F9A" w:rsidRDefault="00900F9A" w:rsidP="00900F9A">
      <w:pPr>
        <w:pStyle w:val="NormalWeb"/>
        <w:spacing w:line="276" w:lineRule="auto"/>
        <w:jc w:val="both"/>
        <w:rPr>
          <w:sz w:val="20"/>
          <w:szCs w:val="20"/>
        </w:rPr>
      </w:pPr>
      <w:r w:rsidRPr="00900F9A">
        <w:rPr>
          <w:sz w:val="20"/>
          <w:szCs w:val="20"/>
        </w:rPr>
        <w:t xml:space="preserve">However, these results also underscore a critical trade-off: looking at total impact alone does not provide a sufficient basis for recommending an optimal strategy. While broad-targeting strategies can achieve elimination, they do so at the cost of low efficiency, meaning substantially more prescriptions are required to avert each additional case. In contrast, more targeted approaches such as </w:t>
      </w:r>
      <w:r w:rsidRPr="00900F9A">
        <w:rPr>
          <w:rStyle w:val="Emphasis"/>
          <w:rFonts w:eastAsiaTheme="majorEastAsia"/>
          <w:sz w:val="20"/>
          <w:szCs w:val="20"/>
        </w:rPr>
        <w:t>DoD(H)</w:t>
      </w:r>
      <w:r w:rsidRPr="00900F9A">
        <w:rPr>
          <w:sz w:val="20"/>
          <w:szCs w:val="20"/>
        </w:rPr>
        <w:t xml:space="preserve"> </w:t>
      </w:r>
      <w:r>
        <w:rPr>
          <w:sz w:val="20"/>
          <w:szCs w:val="20"/>
        </w:rPr>
        <w:t xml:space="preserve">may </w:t>
      </w:r>
      <w:r w:rsidRPr="00900F9A">
        <w:rPr>
          <w:sz w:val="20"/>
          <w:szCs w:val="20"/>
        </w:rPr>
        <w:t>deliver a more favourable balance between impact and efficiency, avoiding unnecessary antibiotic use and reducing resource burden.</w:t>
      </w:r>
      <w:r>
        <w:rPr>
          <w:sz w:val="20"/>
          <w:szCs w:val="20"/>
        </w:rPr>
        <w:t xml:space="preserve"> </w:t>
      </w:r>
      <w:r w:rsidRPr="00900F9A">
        <w:rPr>
          <w:sz w:val="20"/>
          <w:szCs w:val="20"/>
        </w:rPr>
        <w:t>T</w:t>
      </w:r>
      <w:r w:rsidRPr="00900F9A">
        <w:rPr>
          <w:sz w:val="20"/>
          <w:szCs w:val="20"/>
        </w:rPr>
        <w:t xml:space="preserve">aken together, </w:t>
      </w:r>
      <w:r w:rsidR="00982127">
        <w:rPr>
          <w:sz w:val="20"/>
          <w:szCs w:val="20"/>
        </w:rPr>
        <w:t>we should</w:t>
      </w:r>
      <w:r w:rsidRPr="00900F9A">
        <w:rPr>
          <w:sz w:val="20"/>
          <w:szCs w:val="20"/>
        </w:rPr>
        <w:t xml:space="preserve"> weigh both total impact and implementation efficiency when designing sustainable, equitable doxy-PEP strategies to curb syphilis transmission in MSM populations.</w:t>
      </w:r>
    </w:p>
    <w:p w14:paraId="341C41EE" w14:textId="73322FEB" w:rsidR="00752EF7" w:rsidRPr="00752EF7" w:rsidRDefault="00752EF7" w:rsidP="00752EF7">
      <w:pPr>
        <w:pStyle w:val="NormalWeb"/>
        <w:spacing w:line="276" w:lineRule="auto"/>
        <w:jc w:val="both"/>
        <w:rPr>
          <w:sz w:val="20"/>
          <w:szCs w:val="20"/>
        </w:rPr>
      </w:pPr>
      <w:r w:rsidRPr="00752EF7">
        <w:rPr>
          <w:sz w:val="20"/>
          <w:szCs w:val="20"/>
        </w:rPr>
        <w:t>Table 2 and Table 3 summarize the estimated population-level impact and implementation efficiency of different doxy-PEP prescribing strategies among MSM in Singapore and England, assuming moderate uptake (33.0%), typical adherence patterns, and stabilization of inferred time-varying behavioural trends.</w:t>
      </w:r>
      <w:r>
        <w:rPr>
          <w:sz w:val="20"/>
          <w:szCs w:val="20"/>
        </w:rPr>
        <w:t xml:space="preserve"> </w:t>
      </w:r>
      <w:r w:rsidRPr="00752EF7">
        <w:rPr>
          <w:sz w:val="20"/>
          <w:szCs w:val="20"/>
        </w:rPr>
        <w:t xml:space="preserve">Overall, our results show that any strategy including the low-risk group is substantially less efficient. For example, comparing </w:t>
      </w:r>
      <w:r w:rsidRPr="00752EF7">
        <w:rPr>
          <w:rStyle w:val="Emphasis"/>
          <w:rFonts w:eastAsiaTheme="majorEastAsia"/>
          <w:sz w:val="20"/>
          <w:szCs w:val="20"/>
        </w:rPr>
        <w:t>DoD(H)</w:t>
      </w:r>
      <w:r w:rsidRPr="00752EF7">
        <w:rPr>
          <w:sz w:val="20"/>
          <w:szCs w:val="20"/>
        </w:rPr>
        <w:t xml:space="preserve"> with </w:t>
      </w:r>
      <w:r w:rsidRPr="00752EF7">
        <w:rPr>
          <w:rStyle w:val="Emphasis"/>
          <w:rFonts w:eastAsiaTheme="majorEastAsia"/>
          <w:sz w:val="20"/>
          <w:szCs w:val="20"/>
        </w:rPr>
        <w:t>DoD</w:t>
      </w:r>
      <w:r w:rsidRPr="00752EF7">
        <w:rPr>
          <w:sz w:val="20"/>
          <w:szCs w:val="20"/>
        </w:rPr>
        <w:t xml:space="preserve"> shows that adding the low-risk group has negligible additional impact on total cases averted but markedly lowers efficiency per prescription. Similarly, </w:t>
      </w:r>
      <w:r w:rsidRPr="00752EF7">
        <w:rPr>
          <w:rStyle w:val="Emphasis"/>
          <w:rFonts w:eastAsiaTheme="majorEastAsia"/>
          <w:sz w:val="20"/>
          <w:szCs w:val="20"/>
        </w:rPr>
        <w:t>DoA(H)</w:t>
      </w:r>
      <w:r w:rsidRPr="00752EF7">
        <w:rPr>
          <w:sz w:val="20"/>
          <w:szCs w:val="20"/>
        </w:rPr>
        <w:t xml:space="preserve"> versus </w:t>
      </w:r>
      <w:proofErr w:type="spellStart"/>
      <w:r w:rsidRPr="00752EF7">
        <w:rPr>
          <w:rStyle w:val="Emphasis"/>
          <w:rFonts w:eastAsiaTheme="majorEastAsia"/>
          <w:sz w:val="20"/>
          <w:szCs w:val="20"/>
        </w:rPr>
        <w:t>DoA</w:t>
      </w:r>
      <w:proofErr w:type="spellEnd"/>
      <w:r w:rsidRPr="00752EF7">
        <w:rPr>
          <w:sz w:val="20"/>
          <w:szCs w:val="20"/>
        </w:rPr>
        <w:t xml:space="preserve"> demonstrates that prescribing doxy-PEP after negative STI screening to low-risk MSM provides minimal benefit while greatly increasing the number of prescriptions needed per averted case.</w:t>
      </w:r>
    </w:p>
    <w:p w14:paraId="7151BD1D" w14:textId="3D042FD3" w:rsidR="00752EF7" w:rsidRPr="00061E6F" w:rsidRDefault="00752EF7" w:rsidP="00D23513">
      <w:pPr>
        <w:pStyle w:val="NormalWeb"/>
        <w:spacing w:line="276" w:lineRule="auto"/>
        <w:jc w:val="both"/>
        <w:rPr>
          <w:sz w:val="20"/>
          <w:szCs w:val="20"/>
        </w:rPr>
      </w:pPr>
      <w:r w:rsidRPr="00752EF7">
        <w:rPr>
          <w:sz w:val="20"/>
          <w:szCs w:val="20"/>
        </w:rPr>
        <w:t xml:space="preserve">Across settings, </w:t>
      </w:r>
      <w:r w:rsidRPr="00752EF7">
        <w:rPr>
          <w:rStyle w:val="Emphasis"/>
          <w:rFonts w:eastAsiaTheme="majorEastAsia"/>
          <w:sz w:val="20"/>
          <w:szCs w:val="20"/>
        </w:rPr>
        <w:t>DoD(H)</w:t>
      </w:r>
      <w:r w:rsidRPr="00752EF7">
        <w:rPr>
          <w:sz w:val="20"/>
          <w:szCs w:val="20"/>
        </w:rPr>
        <w:t xml:space="preserve"> consistently achieved the best balance between impact and efficiency. In Singapore, </w:t>
      </w:r>
      <w:r w:rsidRPr="00752EF7">
        <w:rPr>
          <w:rStyle w:val="Emphasis"/>
          <w:rFonts w:eastAsiaTheme="majorEastAsia"/>
          <w:sz w:val="20"/>
          <w:szCs w:val="20"/>
        </w:rPr>
        <w:t>DoD(H)</w:t>
      </w:r>
      <w:r w:rsidRPr="00752EF7">
        <w:rPr>
          <w:sz w:val="20"/>
          <w:szCs w:val="20"/>
        </w:rPr>
        <w:t xml:space="preserve"> is projected to avert 30,652 </w:t>
      </w:r>
      <w:r>
        <w:rPr>
          <w:sz w:val="20"/>
          <w:szCs w:val="20"/>
        </w:rPr>
        <w:t>(</w:t>
      </w:r>
      <w:r w:rsidRPr="00752EF7">
        <w:rPr>
          <w:sz w:val="20"/>
          <w:szCs w:val="20"/>
        </w:rPr>
        <w:t>3,507</w:t>
      </w:r>
      <w:r>
        <w:rPr>
          <w:sz w:val="20"/>
          <w:szCs w:val="20"/>
        </w:rPr>
        <w:t xml:space="preserve"> - </w:t>
      </w:r>
      <w:r w:rsidRPr="00752EF7">
        <w:rPr>
          <w:sz w:val="20"/>
          <w:szCs w:val="20"/>
        </w:rPr>
        <w:t>162,306</w:t>
      </w:r>
      <w:r>
        <w:rPr>
          <w:sz w:val="20"/>
          <w:szCs w:val="20"/>
        </w:rPr>
        <w:t>)</w:t>
      </w:r>
      <w:r w:rsidRPr="00752EF7">
        <w:rPr>
          <w:sz w:val="20"/>
          <w:szCs w:val="20"/>
        </w:rPr>
        <w:t xml:space="preserve"> total cases, with 7.61 (2.06</w:t>
      </w:r>
      <w:r>
        <w:rPr>
          <w:sz w:val="20"/>
          <w:szCs w:val="20"/>
        </w:rPr>
        <w:t xml:space="preserve"> - </w:t>
      </w:r>
      <w:r w:rsidRPr="00752EF7">
        <w:rPr>
          <w:sz w:val="20"/>
          <w:szCs w:val="20"/>
        </w:rPr>
        <w:t>18.12) cases prevented per prescription, compared to 6.33 (1.64</w:t>
      </w:r>
      <w:r>
        <w:rPr>
          <w:sz w:val="20"/>
          <w:szCs w:val="20"/>
        </w:rPr>
        <w:t xml:space="preserve"> - </w:t>
      </w:r>
      <w:r w:rsidRPr="00752EF7">
        <w:rPr>
          <w:sz w:val="20"/>
          <w:szCs w:val="20"/>
        </w:rPr>
        <w:t xml:space="preserve">14.89) for </w:t>
      </w:r>
      <w:r w:rsidRPr="00752EF7">
        <w:rPr>
          <w:rStyle w:val="Emphasis"/>
          <w:rFonts w:eastAsiaTheme="majorEastAsia"/>
          <w:sz w:val="20"/>
          <w:szCs w:val="20"/>
        </w:rPr>
        <w:t>DoD</w:t>
      </w:r>
      <w:r w:rsidRPr="00752EF7">
        <w:rPr>
          <w:sz w:val="20"/>
          <w:szCs w:val="20"/>
        </w:rPr>
        <w:t xml:space="preserve">. In England, </w:t>
      </w:r>
      <w:r w:rsidRPr="00752EF7">
        <w:rPr>
          <w:rStyle w:val="Emphasis"/>
          <w:rFonts w:eastAsiaTheme="majorEastAsia"/>
          <w:sz w:val="20"/>
          <w:szCs w:val="20"/>
        </w:rPr>
        <w:t>DoD(H)</w:t>
      </w:r>
      <w:r w:rsidRPr="00752EF7">
        <w:rPr>
          <w:sz w:val="20"/>
          <w:szCs w:val="20"/>
        </w:rPr>
        <w:t xml:space="preserve"> averts 503,320 </w:t>
      </w:r>
      <w:r>
        <w:rPr>
          <w:sz w:val="20"/>
          <w:szCs w:val="20"/>
        </w:rPr>
        <w:t>(</w:t>
      </w:r>
      <w:r w:rsidRPr="00752EF7">
        <w:rPr>
          <w:sz w:val="20"/>
          <w:szCs w:val="20"/>
        </w:rPr>
        <w:t>150,356</w:t>
      </w:r>
      <w:r>
        <w:rPr>
          <w:sz w:val="20"/>
          <w:szCs w:val="20"/>
        </w:rPr>
        <w:t xml:space="preserve"> - </w:t>
      </w:r>
      <w:r w:rsidRPr="00752EF7">
        <w:rPr>
          <w:sz w:val="20"/>
          <w:szCs w:val="20"/>
        </w:rPr>
        <w:t>1,536,342</w:t>
      </w:r>
      <w:r>
        <w:rPr>
          <w:sz w:val="20"/>
          <w:szCs w:val="20"/>
        </w:rPr>
        <w:t>)</w:t>
      </w:r>
      <w:r w:rsidRPr="00752EF7">
        <w:rPr>
          <w:sz w:val="20"/>
          <w:szCs w:val="20"/>
        </w:rPr>
        <w:t xml:space="preserve"> cases, with 14.02 (6.47</w:t>
      </w:r>
      <w:r>
        <w:rPr>
          <w:sz w:val="20"/>
          <w:szCs w:val="20"/>
        </w:rPr>
        <w:t xml:space="preserve"> - </w:t>
      </w:r>
      <w:r w:rsidRPr="00752EF7">
        <w:rPr>
          <w:sz w:val="20"/>
          <w:szCs w:val="20"/>
        </w:rPr>
        <w:t>23.76) cases per prescription, compared to 12.77 (5.86</w:t>
      </w:r>
      <w:r>
        <w:rPr>
          <w:sz w:val="20"/>
          <w:szCs w:val="20"/>
        </w:rPr>
        <w:t xml:space="preserve"> - </w:t>
      </w:r>
      <w:r w:rsidRPr="00752EF7">
        <w:rPr>
          <w:sz w:val="20"/>
          <w:szCs w:val="20"/>
        </w:rPr>
        <w:t xml:space="preserve">21.37) for </w:t>
      </w:r>
      <w:r w:rsidRPr="00752EF7">
        <w:rPr>
          <w:rStyle w:val="Emphasis"/>
          <w:rFonts w:eastAsiaTheme="majorEastAsia"/>
          <w:sz w:val="20"/>
          <w:szCs w:val="20"/>
        </w:rPr>
        <w:t>DoD</w:t>
      </w:r>
      <w:r w:rsidRPr="00752EF7">
        <w:rPr>
          <w:sz w:val="20"/>
          <w:szCs w:val="20"/>
        </w:rPr>
        <w:t>.</w:t>
      </w:r>
      <w:r>
        <w:rPr>
          <w:sz w:val="20"/>
          <w:szCs w:val="20"/>
        </w:rPr>
        <w:t xml:space="preserve"> </w:t>
      </w:r>
      <w:r w:rsidRPr="00752EF7">
        <w:rPr>
          <w:sz w:val="20"/>
          <w:szCs w:val="20"/>
        </w:rPr>
        <w:t xml:space="preserve">In contrast, broader strategies such as </w:t>
      </w:r>
      <w:proofErr w:type="spellStart"/>
      <w:r w:rsidRPr="00752EF7">
        <w:rPr>
          <w:rStyle w:val="Emphasis"/>
          <w:rFonts w:eastAsiaTheme="majorEastAsia"/>
          <w:sz w:val="20"/>
          <w:szCs w:val="20"/>
        </w:rPr>
        <w:t>DoA</w:t>
      </w:r>
      <w:proofErr w:type="spellEnd"/>
      <w:r w:rsidRPr="00752EF7">
        <w:rPr>
          <w:sz w:val="20"/>
          <w:szCs w:val="20"/>
        </w:rPr>
        <w:t xml:space="preserve">, </w:t>
      </w:r>
      <w:r w:rsidRPr="00752EF7">
        <w:rPr>
          <w:rStyle w:val="Emphasis"/>
          <w:rFonts w:eastAsiaTheme="majorEastAsia"/>
          <w:sz w:val="20"/>
          <w:szCs w:val="20"/>
        </w:rPr>
        <w:t>DoA(H)</w:t>
      </w:r>
      <w:r w:rsidRPr="00752EF7">
        <w:rPr>
          <w:sz w:val="20"/>
          <w:szCs w:val="20"/>
        </w:rPr>
        <w:t xml:space="preserve">, and </w:t>
      </w:r>
      <w:proofErr w:type="spellStart"/>
      <w:r w:rsidRPr="00752EF7">
        <w:rPr>
          <w:rStyle w:val="Emphasis"/>
          <w:rFonts w:eastAsiaTheme="majorEastAsia"/>
          <w:sz w:val="20"/>
          <w:szCs w:val="20"/>
        </w:rPr>
        <w:t>DaR</w:t>
      </w:r>
      <w:proofErr w:type="spellEnd"/>
      <w:r w:rsidRPr="00752EF7">
        <w:rPr>
          <w:sz w:val="20"/>
          <w:szCs w:val="20"/>
        </w:rPr>
        <w:t xml:space="preserve"> achieved greater total reductions in syphilis incidence </w:t>
      </w:r>
      <w:r>
        <w:rPr>
          <w:sz w:val="20"/>
          <w:szCs w:val="20"/>
        </w:rPr>
        <w:t>-</w:t>
      </w:r>
      <w:r w:rsidRPr="00752EF7">
        <w:rPr>
          <w:sz w:val="20"/>
          <w:szCs w:val="20"/>
        </w:rPr>
        <w:t xml:space="preserve"> e.g., up to 853,309 </w:t>
      </w:r>
      <w:r>
        <w:rPr>
          <w:sz w:val="20"/>
          <w:szCs w:val="20"/>
        </w:rPr>
        <w:t>(</w:t>
      </w:r>
      <w:r w:rsidRPr="00752EF7">
        <w:rPr>
          <w:sz w:val="20"/>
          <w:szCs w:val="20"/>
        </w:rPr>
        <w:t>332,929</w:t>
      </w:r>
      <w:r>
        <w:rPr>
          <w:sz w:val="20"/>
          <w:szCs w:val="20"/>
        </w:rPr>
        <w:t xml:space="preserve"> - </w:t>
      </w:r>
      <w:r w:rsidRPr="00752EF7">
        <w:rPr>
          <w:sz w:val="20"/>
          <w:szCs w:val="20"/>
        </w:rPr>
        <w:t>2,208,156</w:t>
      </w:r>
      <w:r>
        <w:rPr>
          <w:sz w:val="20"/>
          <w:szCs w:val="20"/>
        </w:rPr>
        <w:t>)</w:t>
      </w:r>
      <w:r w:rsidRPr="00752EF7">
        <w:rPr>
          <w:sz w:val="20"/>
          <w:szCs w:val="20"/>
        </w:rPr>
        <w:t xml:space="preserve"> cases in England under </w:t>
      </w:r>
      <w:proofErr w:type="spellStart"/>
      <w:r w:rsidRPr="00752EF7">
        <w:rPr>
          <w:rStyle w:val="Emphasis"/>
          <w:rFonts w:eastAsiaTheme="majorEastAsia"/>
          <w:sz w:val="20"/>
          <w:szCs w:val="20"/>
        </w:rPr>
        <w:t>DoA</w:t>
      </w:r>
      <w:proofErr w:type="spellEnd"/>
      <w:r w:rsidRPr="00752EF7">
        <w:rPr>
          <w:sz w:val="20"/>
          <w:szCs w:val="20"/>
        </w:rPr>
        <w:t xml:space="preserve"> </w:t>
      </w:r>
      <w:r>
        <w:rPr>
          <w:sz w:val="20"/>
          <w:szCs w:val="20"/>
        </w:rPr>
        <w:t>-</w:t>
      </w:r>
      <w:r w:rsidRPr="00752EF7">
        <w:rPr>
          <w:sz w:val="20"/>
          <w:szCs w:val="20"/>
        </w:rPr>
        <w:t xml:space="preserve"> but were much less efficient, yielding as few as 0.</w:t>
      </w:r>
      <w:r w:rsidR="00061E6F">
        <w:rPr>
          <w:sz w:val="20"/>
          <w:szCs w:val="20"/>
        </w:rPr>
        <w:t>13</w:t>
      </w:r>
      <w:r w:rsidRPr="00752EF7">
        <w:rPr>
          <w:sz w:val="20"/>
          <w:szCs w:val="20"/>
        </w:rPr>
        <w:t xml:space="preserve"> (0.0</w:t>
      </w:r>
      <w:r w:rsidR="00061E6F">
        <w:rPr>
          <w:sz w:val="20"/>
          <w:szCs w:val="20"/>
        </w:rPr>
        <w:t>42</w:t>
      </w:r>
      <w:r>
        <w:rPr>
          <w:sz w:val="20"/>
          <w:szCs w:val="20"/>
        </w:rPr>
        <w:t xml:space="preserve"> </w:t>
      </w:r>
      <w:r w:rsidR="00061E6F">
        <w:rPr>
          <w:sz w:val="20"/>
          <w:szCs w:val="20"/>
        </w:rPr>
        <w:t>–</w:t>
      </w:r>
      <w:r>
        <w:rPr>
          <w:sz w:val="20"/>
          <w:szCs w:val="20"/>
        </w:rPr>
        <w:t xml:space="preserve"> </w:t>
      </w:r>
      <w:r w:rsidR="00061E6F">
        <w:rPr>
          <w:sz w:val="20"/>
          <w:szCs w:val="20"/>
        </w:rPr>
        <w:t>1.41</w:t>
      </w:r>
      <w:r w:rsidRPr="00752EF7">
        <w:rPr>
          <w:sz w:val="20"/>
          <w:szCs w:val="20"/>
        </w:rPr>
        <w:t xml:space="preserve">) cases per prescription. The negligible impact of targeting the low-risk group also explains why </w:t>
      </w:r>
      <w:proofErr w:type="spellStart"/>
      <w:r w:rsidRPr="00752EF7">
        <w:rPr>
          <w:rStyle w:val="Emphasis"/>
          <w:rFonts w:eastAsiaTheme="majorEastAsia"/>
          <w:sz w:val="20"/>
          <w:szCs w:val="20"/>
        </w:rPr>
        <w:t>DaR</w:t>
      </w:r>
      <w:proofErr w:type="spellEnd"/>
      <w:r w:rsidRPr="00752EF7">
        <w:rPr>
          <w:sz w:val="20"/>
          <w:szCs w:val="20"/>
        </w:rPr>
        <w:t xml:space="preserve"> and </w:t>
      </w:r>
      <w:r w:rsidRPr="00752EF7">
        <w:rPr>
          <w:rStyle w:val="Emphasis"/>
          <w:rFonts w:eastAsiaTheme="majorEastAsia"/>
          <w:sz w:val="20"/>
          <w:szCs w:val="20"/>
        </w:rPr>
        <w:t>DoA(H)</w:t>
      </w:r>
      <w:r w:rsidRPr="00752EF7">
        <w:rPr>
          <w:sz w:val="20"/>
          <w:szCs w:val="20"/>
        </w:rPr>
        <w:t xml:space="preserve"> produce nearly identical outcomes.</w:t>
      </w:r>
      <w:r w:rsidR="00061E6F">
        <w:rPr>
          <w:sz w:val="20"/>
          <w:szCs w:val="20"/>
        </w:rPr>
        <w:t xml:space="preserve"> </w:t>
      </w:r>
      <w:r w:rsidR="00061E6F" w:rsidRPr="00061E6F">
        <w:rPr>
          <w:sz w:val="20"/>
          <w:szCs w:val="20"/>
        </w:rPr>
        <w:t xml:space="preserve">By comparison, </w:t>
      </w:r>
      <w:proofErr w:type="spellStart"/>
      <w:r w:rsidR="00061E6F" w:rsidRPr="00061E6F">
        <w:rPr>
          <w:rStyle w:val="Emphasis"/>
          <w:rFonts w:eastAsiaTheme="majorEastAsia"/>
          <w:sz w:val="20"/>
          <w:szCs w:val="20"/>
        </w:rPr>
        <w:t>DbE</w:t>
      </w:r>
      <w:proofErr w:type="spellEnd"/>
      <w:r w:rsidR="00061E6F" w:rsidRPr="00061E6F">
        <w:rPr>
          <w:sz w:val="20"/>
          <w:szCs w:val="20"/>
        </w:rPr>
        <w:t xml:space="preserve"> shows a more moderate impact</w:t>
      </w:r>
      <w:r w:rsidR="00061E6F">
        <w:rPr>
          <w:sz w:val="20"/>
          <w:szCs w:val="20"/>
        </w:rPr>
        <w:t xml:space="preserve"> - </w:t>
      </w:r>
      <w:r w:rsidR="00061E6F" w:rsidRPr="00061E6F">
        <w:rPr>
          <w:sz w:val="20"/>
          <w:szCs w:val="20"/>
        </w:rPr>
        <w:t>averting 22,386 (4,985</w:t>
      </w:r>
      <w:r w:rsidR="00061E6F">
        <w:rPr>
          <w:sz w:val="20"/>
          <w:szCs w:val="20"/>
        </w:rPr>
        <w:t xml:space="preserve"> - </w:t>
      </w:r>
      <w:r w:rsidR="00061E6F" w:rsidRPr="00061E6F">
        <w:rPr>
          <w:sz w:val="20"/>
          <w:szCs w:val="20"/>
        </w:rPr>
        <w:t>58,439) total cases in Singapore and 135,690 (62,906</w:t>
      </w:r>
      <w:r w:rsidR="00061E6F">
        <w:rPr>
          <w:sz w:val="20"/>
          <w:szCs w:val="20"/>
        </w:rPr>
        <w:t xml:space="preserve"> - </w:t>
      </w:r>
      <w:r w:rsidR="00061E6F" w:rsidRPr="00061E6F">
        <w:rPr>
          <w:sz w:val="20"/>
          <w:szCs w:val="20"/>
        </w:rPr>
        <w:t xml:space="preserve">227,587) in England </w:t>
      </w:r>
      <w:r w:rsidR="00061E6F">
        <w:rPr>
          <w:sz w:val="20"/>
          <w:szCs w:val="20"/>
        </w:rPr>
        <w:t xml:space="preserve">- </w:t>
      </w:r>
      <w:r w:rsidR="00061E6F" w:rsidRPr="00061E6F">
        <w:rPr>
          <w:sz w:val="20"/>
          <w:szCs w:val="20"/>
        </w:rPr>
        <w:t>and moderate efficiency: 1.79 (0.40</w:t>
      </w:r>
      <w:r w:rsidR="00061E6F">
        <w:rPr>
          <w:sz w:val="20"/>
          <w:szCs w:val="20"/>
        </w:rPr>
        <w:t xml:space="preserve"> - </w:t>
      </w:r>
      <w:r w:rsidR="00061E6F" w:rsidRPr="00061E6F">
        <w:rPr>
          <w:sz w:val="20"/>
          <w:szCs w:val="20"/>
        </w:rPr>
        <w:t>4.68) cases averted per prescription in Singapore and 2.28 (1.06</w:t>
      </w:r>
      <w:r w:rsidR="00061E6F">
        <w:rPr>
          <w:sz w:val="20"/>
          <w:szCs w:val="20"/>
        </w:rPr>
        <w:t xml:space="preserve"> - </w:t>
      </w:r>
      <w:r w:rsidR="00061E6F" w:rsidRPr="00061E6F">
        <w:rPr>
          <w:sz w:val="20"/>
          <w:szCs w:val="20"/>
        </w:rPr>
        <w:t xml:space="preserve">3.83) in England. This indicates that </w:t>
      </w:r>
      <w:proofErr w:type="spellStart"/>
      <w:r w:rsidR="00061E6F" w:rsidRPr="00061E6F">
        <w:rPr>
          <w:rStyle w:val="Emphasis"/>
          <w:rFonts w:eastAsiaTheme="majorEastAsia"/>
          <w:sz w:val="20"/>
          <w:szCs w:val="20"/>
        </w:rPr>
        <w:t>DbE</w:t>
      </w:r>
      <w:proofErr w:type="spellEnd"/>
      <w:r w:rsidR="00061E6F" w:rsidRPr="00061E6F">
        <w:rPr>
          <w:sz w:val="20"/>
          <w:szCs w:val="20"/>
        </w:rPr>
        <w:t xml:space="preserve"> is neither as impactful as the broader coverage strategies (</w:t>
      </w:r>
      <w:r w:rsidR="00061E6F" w:rsidRPr="00061E6F">
        <w:rPr>
          <w:rStyle w:val="Emphasis"/>
          <w:rFonts w:eastAsiaTheme="majorEastAsia"/>
          <w:sz w:val="20"/>
          <w:szCs w:val="20"/>
        </w:rPr>
        <w:t>DoA</w:t>
      </w:r>
      <w:r w:rsidR="00061E6F" w:rsidRPr="00061E6F">
        <w:rPr>
          <w:sz w:val="20"/>
          <w:szCs w:val="20"/>
        </w:rPr>
        <w:t xml:space="preserve">, </w:t>
      </w:r>
      <w:r w:rsidR="00061E6F" w:rsidRPr="00061E6F">
        <w:rPr>
          <w:rStyle w:val="Emphasis"/>
          <w:rFonts w:eastAsiaTheme="majorEastAsia"/>
          <w:sz w:val="20"/>
          <w:szCs w:val="20"/>
        </w:rPr>
        <w:t>DoA(H)</w:t>
      </w:r>
      <w:r w:rsidR="00061E6F" w:rsidRPr="00061E6F">
        <w:rPr>
          <w:sz w:val="20"/>
          <w:szCs w:val="20"/>
        </w:rPr>
        <w:t xml:space="preserve">, </w:t>
      </w:r>
      <w:proofErr w:type="spellStart"/>
      <w:r w:rsidR="00061E6F" w:rsidRPr="00061E6F">
        <w:rPr>
          <w:rStyle w:val="Emphasis"/>
          <w:rFonts w:eastAsiaTheme="majorEastAsia"/>
          <w:sz w:val="20"/>
          <w:szCs w:val="20"/>
        </w:rPr>
        <w:t>DaR</w:t>
      </w:r>
      <w:proofErr w:type="spellEnd"/>
      <w:r w:rsidR="00061E6F" w:rsidRPr="00061E6F">
        <w:rPr>
          <w:sz w:val="20"/>
          <w:szCs w:val="20"/>
        </w:rPr>
        <w:t xml:space="preserve">) in reducing total incidence nor as efficient as more targeted approaches like </w:t>
      </w:r>
      <w:r w:rsidR="00061E6F" w:rsidRPr="00061E6F">
        <w:rPr>
          <w:rStyle w:val="Emphasis"/>
          <w:rFonts w:eastAsiaTheme="majorEastAsia"/>
          <w:sz w:val="20"/>
          <w:szCs w:val="20"/>
        </w:rPr>
        <w:t>DoD(H)</w:t>
      </w:r>
      <w:r w:rsidR="00061E6F" w:rsidRPr="00061E6F">
        <w:rPr>
          <w:sz w:val="20"/>
          <w:szCs w:val="20"/>
        </w:rPr>
        <w:t xml:space="preserve"> and </w:t>
      </w:r>
      <w:r w:rsidR="00061E6F" w:rsidRPr="00061E6F">
        <w:rPr>
          <w:rStyle w:val="Emphasis"/>
          <w:rFonts w:eastAsiaTheme="majorEastAsia"/>
          <w:sz w:val="20"/>
          <w:szCs w:val="20"/>
        </w:rPr>
        <w:t>DoD</w:t>
      </w:r>
      <w:r w:rsidR="00061E6F" w:rsidRPr="00061E6F">
        <w:rPr>
          <w:sz w:val="20"/>
          <w:szCs w:val="20"/>
        </w:rPr>
        <w:t>.</w:t>
      </w:r>
      <w:r w:rsidR="00D23513">
        <w:rPr>
          <w:sz w:val="20"/>
          <w:szCs w:val="20"/>
        </w:rPr>
        <w:t xml:space="preserve"> </w:t>
      </w:r>
      <w:r w:rsidR="00D23513" w:rsidRPr="00D23513">
        <w:rPr>
          <w:sz w:val="20"/>
          <w:szCs w:val="20"/>
        </w:rPr>
        <w:t>These findings reinforce the importance of targeting high-risk MSM at diagnosis to maximize impact and efficiency while minimizing unnecessary prescriptions.</w:t>
      </w:r>
    </w:p>
    <w:p w14:paraId="30704CDA" w14:textId="578AED9E" w:rsidR="00061E6F" w:rsidRPr="00061E6F" w:rsidRDefault="00061E6F" w:rsidP="00061E6F">
      <w:pPr>
        <w:pStyle w:val="NormalWeb"/>
        <w:spacing w:line="276" w:lineRule="auto"/>
        <w:jc w:val="both"/>
        <w:rPr>
          <w:sz w:val="20"/>
          <w:szCs w:val="20"/>
        </w:rPr>
      </w:pPr>
      <w:r w:rsidRPr="00061E6F">
        <w:rPr>
          <w:sz w:val="20"/>
          <w:szCs w:val="20"/>
        </w:rPr>
        <w:t xml:space="preserve">Stage-specific results (Table 3) show that the majority of infections averted occur at the primary syphilis stage, highlighting the potential for doxy-PEP to interrupt early transmission chains and reduce onward spread. For example, under </w:t>
      </w:r>
      <w:r w:rsidRPr="00061E6F">
        <w:rPr>
          <w:rStyle w:val="Emphasis"/>
          <w:rFonts w:eastAsiaTheme="majorEastAsia"/>
          <w:sz w:val="20"/>
          <w:szCs w:val="20"/>
        </w:rPr>
        <w:t>DoD(H)</w:t>
      </w:r>
      <w:r w:rsidRPr="00061E6F">
        <w:rPr>
          <w:sz w:val="20"/>
          <w:szCs w:val="20"/>
        </w:rPr>
        <w:t xml:space="preserve"> in Singapore, most averted cases are in the primary stage </w:t>
      </w:r>
      <w:r>
        <w:rPr>
          <w:sz w:val="20"/>
          <w:szCs w:val="20"/>
        </w:rPr>
        <w:t>-</w:t>
      </w:r>
      <w:r w:rsidRPr="00061E6F">
        <w:rPr>
          <w:sz w:val="20"/>
          <w:szCs w:val="20"/>
        </w:rPr>
        <w:t xml:space="preserve"> 10,073 (1,149</w:t>
      </w:r>
      <w:r>
        <w:rPr>
          <w:sz w:val="20"/>
          <w:szCs w:val="20"/>
        </w:rPr>
        <w:t xml:space="preserve"> - </w:t>
      </w:r>
      <w:r w:rsidRPr="00061E6F">
        <w:rPr>
          <w:sz w:val="20"/>
          <w:szCs w:val="20"/>
        </w:rPr>
        <w:t xml:space="preserve">53,611) </w:t>
      </w:r>
      <w:r>
        <w:rPr>
          <w:sz w:val="20"/>
          <w:szCs w:val="20"/>
        </w:rPr>
        <w:t xml:space="preserve">- </w:t>
      </w:r>
      <w:r w:rsidRPr="00061E6F">
        <w:rPr>
          <w:sz w:val="20"/>
          <w:szCs w:val="20"/>
        </w:rPr>
        <w:t>compared to 472 (38</w:t>
      </w:r>
      <w:r>
        <w:rPr>
          <w:sz w:val="20"/>
          <w:szCs w:val="20"/>
        </w:rPr>
        <w:t xml:space="preserve"> - </w:t>
      </w:r>
      <w:r w:rsidRPr="00061E6F">
        <w:rPr>
          <w:sz w:val="20"/>
          <w:szCs w:val="20"/>
        </w:rPr>
        <w:t>4,044) at the secondary stage and only 5 (0</w:t>
      </w:r>
      <w:r>
        <w:rPr>
          <w:sz w:val="20"/>
          <w:szCs w:val="20"/>
        </w:rPr>
        <w:t xml:space="preserve"> - </w:t>
      </w:r>
      <w:r w:rsidRPr="00061E6F">
        <w:rPr>
          <w:sz w:val="20"/>
          <w:szCs w:val="20"/>
        </w:rPr>
        <w:t>83) at later stages</w:t>
      </w:r>
      <w:r>
        <w:rPr>
          <w:sz w:val="20"/>
          <w:szCs w:val="20"/>
        </w:rPr>
        <w:t xml:space="preserve"> (i.e., early and late latent, and tertiary stage)</w:t>
      </w:r>
      <w:r w:rsidRPr="00061E6F">
        <w:rPr>
          <w:sz w:val="20"/>
          <w:szCs w:val="20"/>
        </w:rPr>
        <w:t xml:space="preserve">. Similar patterns hold in England: </w:t>
      </w:r>
      <w:r w:rsidRPr="00061E6F">
        <w:rPr>
          <w:rStyle w:val="Emphasis"/>
          <w:rFonts w:eastAsiaTheme="majorEastAsia"/>
          <w:sz w:val="20"/>
          <w:szCs w:val="20"/>
        </w:rPr>
        <w:t>DoD(H)</w:t>
      </w:r>
      <w:r w:rsidRPr="00061E6F">
        <w:rPr>
          <w:sz w:val="20"/>
          <w:szCs w:val="20"/>
        </w:rPr>
        <w:t xml:space="preserve"> averts an estimated 164,808 (48,598</w:t>
      </w:r>
      <w:r>
        <w:rPr>
          <w:sz w:val="20"/>
          <w:szCs w:val="20"/>
        </w:rPr>
        <w:t xml:space="preserve"> - </w:t>
      </w:r>
      <w:r w:rsidRPr="00061E6F">
        <w:rPr>
          <w:sz w:val="20"/>
          <w:szCs w:val="20"/>
        </w:rPr>
        <w:t xml:space="preserve">506,959) </w:t>
      </w:r>
      <w:r w:rsidRPr="00061E6F">
        <w:rPr>
          <w:sz w:val="20"/>
          <w:szCs w:val="20"/>
        </w:rPr>
        <w:lastRenderedPageBreak/>
        <w:t>primary stage cases, 8,395 (1,337</w:t>
      </w:r>
      <w:r>
        <w:rPr>
          <w:sz w:val="20"/>
          <w:szCs w:val="20"/>
        </w:rPr>
        <w:t xml:space="preserve"> - </w:t>
      </w:r>
      <w:r w:rsidRPr="00061E6F">
        <w:rPr>
          <w:sz w:val="20"/>
          <w:szCs w:val="20"/>
        </w:rPr>
        <w:t xml:space="preserve">40,946) secondary stage cases, and negligible numbers at later stages </w:t>
      </w:r>
      <w:r>
        <w:rPr>
          <w:sz w:val="20"/>
          <w:szCs w:val="20"/>
        </w:rPr>
        <w:t>-</w:t>
      </w:r>
      <w:r w:rsidRPr="00061E6F">
        <w:rPr>
          <w:sz w:val="20"/>
          <w:szCs w:val="20"/>
        </w:rPr>
        <w:t xml:space="preserve"> 90 (7</w:t>
      </w:r>
      <w:r>
        <w:rPr>
          <w:sz w:val="20"/>
          <w:szCs w:val="20"/>
        </w:rPr>
        <w:t xml:space="preserve"> - </w:t>
      </w:r>
      <w:r w:rsidRPr="00061E6F">
        <w:rPr>
          <w:sz w:val="20"/>
          <w:szCs w:val="20"/>
        </w:rPr>
        <w:t>1,161).</w:t>
      </w:r>
    </w:p>
    <w:p w14:paraId="74E43300" w14:textId="1D646B2D" w:rsidR="00E157AE" w:rsidRPr="00386083" w:rsidRDefault="00E157AE" w:rsidP="00752EF7">
      <w:pPr>
        <w:pStyle w:val="NormalWeb"/>
        <w:spacing w:line="276" w:lineRule="auto"/>
        <w:jc w:val="both"/>
        <w:rPr>
          <w:sz w:val="20"/>
          <w:szCs w:val="20"/>
        </w:rPr>
      </w:pPr>
      <w:r w:rsidRPr="00477A5E">
        <w:rPr>
          <w:sz w:val="20"/>
          <w:szCs w:val="20"/>
          <w:lang w:val="en-US"/>
        </w:rPr>
        <w:t xml:space="preserve">Table </w:t>
      </w:r>
      <w:r>
        <w:rPr>
          <w:sz w:val="20"/>
          <w:szCs w:val="20"/>
          <w:lang w:val="en-US"/>
        </w:rPr>
        <w:t>2</w:t>
      </w:r>
      <w:r w:rsidRPr="00477A5E">
        <w:rPr>
          <w:sz w:val="20"/>
          <w:szCs w:val="20"/>
          <w:lang w:val="en-US"/>
        </w:rPr>
        <w:t xml:space="preserve">: </w:t>
      </w:r>
      <w:r>
        <w:rPr>
          <w:sz w:val="20"/>
          <w:szCs w:val="20"/>
        </w:rPr>
        <w:t>E</w:t>
      </w:r>
      <w:r w:rsidRPr="00477A5E">
        <w:rPr>
          <w:sz w:val="20"/>
          <w:szCs w:val="20"/>
        </w:rPr>
        <w:t xml:space="preserve">stimated impact </w:t>
      </w:r>
      <w:r>
        <w:rPr>
          <w:sz w:val="20"/>
          <w:szCs w:val="20"/>
        </w:rPr>
        <w:t xml:space="preserve">and efficiency </w:t>
      </w:r>
      <w:r w:rsidRPr="00477A5E">
        <w:rPr>
          <w:sz w:val="20"/>
          <w:szCs w:val="20"/>
        </w:rPr>
        <w:t>of doxy-PEP strategies among MSM</w:t>
      </w:r>
      <w:r>
        <w:rPr>
          <w:sz w:val="20"/>
          <w:szCs w:val="20"/>
        </w:rPr>
        <w:t xml:space="preserve"> </w:t>
      </w:r>
      <w:r w:rsidRPr="00657E82">
        <w:rPr>
          <w:sz w:val="20"/>
          <w:szCs w:val="20"/>
        </w:rPr>
        <w:t>(uptake rate of 33.0%)</w:t>
      </w:r>
      <w:r>
        <w:rPr>
          <w:sz w:val="20"/>
          <w:szCs w:val="20"/>
        </w:rPr>
        <w:t>, where</w:t>
      </w:r>
      <w:r w:rsidRPr="005A4C0F">
        <w:rPr>
          <w:sz w:val="20"/>
          <w:szCs w:val="20"/>
        </w:rPr>
        <w:t xml:space="preserve"> protection is reduced to 33.0% of the baseline efficacy </w:t>
      </w:r>
      <w:r>
        <w:rPr>
          <w:sz w:val="20"/>
          <w:szCs w:val="20"/>
        </w:rPr>
        <w:t>for suboptimal adherence strata</w:t>
      </w:r>
      <w:r w:rsidRPr="005A4C0F">
        <w:rPr>
          <w:sz w:val="20"/>
          <w:szCs w:val="20"/>
        </w:rPr>
        <w:t xml:space="preserve"> (i.e., </w:t>
      </w:r>
      <m:oMath>
        <m:r>
          <w:rPr>
            <w:rFonts w:ascii="Cambria Math" w:eastAsia="DengXian" w:hAnsi="Cambria Math"/>
            <w:sz w:val="20"/>
            <w:szCs w:val="20"/>
          </w:rPr>
          <m:t>ζ</m:t>
        </m:r>
      </m:oMath>
      <w:r w:rsidRPr="005A4C0F">
        <w:rPr>
          <w:rFonts w:eastAsia="DengXian"/>
          <w:iCs/>
          <w:sz w:val="20"/>
          <w:szCs w:val="20"/>
        </w:rPr>
        <w:t xml:space="preserve"> = 33.0%)</w:t>
      </w:r>
      <w:r>
        <w:rPr>
          <w:rFonts w:eastAsia="DengXian"/>
          <w:iCs/>
          <w:sz w:val="20"/>
          <w:szCs w:val="20"/>
        </w:rPr>
        <w:t xml:space="preserve"> and a normal adherence behavioural pattern (i.e., </w:t>
      </w:r>
      <m:oMath>
        <m:r>
          <w:rPr>
            <w:rFonts w:ascii="Cambria Math" w:eastAsia="DengXian" w:hAnsi="Cambria Math"/>
            <w:sz w:val="20"/>
            <w:szCs w:val="20"/>
          </w:rPr>
          <m:t>u</m:t>
        </m:r>
      </m:oMath>
      <w:r>
        <w:rPr>
          <w:rFonts w:eastAsia="DengXian"/>
          <w:iCs/>
          <w:sz w:val="20"/>
          <w:szCs w:val="20"/>
        </w:rPr>
        <w:t xml:space="preserve"> = 1</w:t>
      </w:r>
      <w:r w:rsidR="00B20A02">
        <w:rPr>
          <w:rFonts w:eastAsia="DengXian"/>
          <w:iCs/>
          <w:sz w:val="20"/>
          <w:szCs w:val="20"/>
        </w:rPr>
        <w:t>)</w:t>
      </w:r>
      <w:r w:rsidR="00B20A02" w:rsidRPr="005A4C0F">
        <w:rPr>
          <w:rFonts w:eastAsia="DengXian"/>
          <w:iCs/>
          <w:sz w:val="20"/>
          <w:szCs w:val="20"/>
        </w:rPr>
        <w:t xml:space="preserve">, </w:t>
      </w:r>
      <w:r w:rsidR="00B20A02" w:rsidRPr="00477A5E">
        <w:rPr>
          <w:rFonts w:eastAsia="DengXian"/>
          <w:iCs/>
          <w:sz w:val="20"/>
          <w:szCs w:val="20"/>
        </w:rPr>
        <w:t>assuming</w:t>
      </w:r>
      <w:r w:rsidRPr="00477A5E">
        <w:rPr>
          <w:sz w:val="20"/>
          <w:szCs w:val="20"/>
        </w:rPr>
        <w:t xml:space="preserve"> stabilization of inferred time-varying behavioural trends. Results are presented as median (95% </w:t>
      </w:r>
      <w:r>
        <w:rPr>
          <w:sz w:val="20"/>
          <w:szCs w:val="20"/>
        </w:rPr>
        <w:t>credible interval</w:t>
      </w:r>
      <w:r w:rsidRPr="00477A5E">
        <w:rPr>
          <w:sz w:val="20"/>
          <w:szCs w:val="20"/>
        </w:rPr>
        <w:t xml:space="preserve">), assuming a high screening rate </w:t>
      </w:r>
      <w:r>
        <w:rPr>
          <w:sz w:val="20"/>
          <w:szCs w:val="20"/>
        </w:rPr>
        <w:t>(taken from</w:t>
      </w:r>
      <w:r w:rsidRPr="00477A5E">
        <w:rPr>
          <w:sz w:val="20"/>
          <w:szCs w:val="20"/>
        </w:rPr>
        <w:t xml:space="preserve"> our calibratio</w:t>
      </w:r>
      <w:r>
        <w:rPr>
          <w:sz w:val="20"/>
          <w:szCs w:val="20"/>
        </w:rPr>
        <w:t xml:space="preserve">n, </w:t>
      </w:r>
      <w:r w:rsidRPr="00477A5E">
        <w:rPr>
          <w:sz w:val="20"/>
          <w:szCs w:val="20"/>
        </w:rPr>
        <w:t xml:space="preserve">aligned with CDC-recommended levels </w:t>
      </w:r>
      <w:r w:rsidRPr="00477A5E">
        <w:rPr>
          <w:sz w:val="20"/>
          <w:szCs w:val="20"/>
        </w:rPr>
        <w:fldChar w:fldCharType="begin"/>
      </w:r>
      <w:r w:rsidR="00EF4218">
        <w:rPr>
          <w:sz w:val="20"/>
          <w:szCs w:val="20"/>
        </w:rPr>
        <w:instrText xml:space="preserve"> ADDIN ZOTERO_ITEM CSL_CITATION {"citationID":"QKH6vHin","properties":{"formattedCitation":"[33]","plainCitation":"[33]","noteIndex":0},"citationItems":[{"id":155,"uris":["http://zotero.org/users/9663344/items/M53GFMXN"],"itemData":{"id":155,"type":"webpage","abstract":"Screening Recommendations and Considerations Referenced in Treatment Guidelines and Original Sources","container-title":"Centers for Disease Control and Prevention","language":"en-us","title":"STI Screening Recommendations","URL":"https://www.cdc.gov/std/treatment-guidelines/screening-recommendations.htm","accessed":{"date-parts":[["2025",6,8]]},"issued":{"date-parts":[["2025",3,13]]}}}],"schema":"https://github.com/citation-style-language/schema/raw/master/csl-citation.json"} </w:instrText>
      </w:r>
      <w:r w:rsidRPr="00477A5E">
        <w:rPr>
          <w:sz w:val="20"/>
          <w:szCs w:val="20"/>
        </w:rPr>
        <w:fldChar w:fldCharType="separate"/>
      </w:r>
      <w:r w:rsidR="00EF4218">
        <w:rPr>
          <w:noProof/>
          <w:sz w:val="20"/>
          <w:szCs w:val="20"/>
        </w:rPr>
        <w:t>[33]</w:t>
      </w:r>
      <w:r w:rsidRPr="00477A5E">
        <w:rPr>
          <w:sz w:val="20"/>
          <w:szCs w:val="20"/>
        </w:rPr>
        <w:fldChar w:fldCharType="end"/>
      </w:r>
      <w:r>
        <w:rPr>
          <w:sz w:val="20"/>
          <w:szCs w:val="20"/>
        </w:rPr>
        <w:t>)</w:t>
      </w:r>
      <w:r w:rsidRPr="00477A5E">
        <w:rPr>
          <w:sz w:val="20"/>
          <w:szCs w:val="20"/>
        </w:rPr>
        <w:t>.</w:t>
      </w:r>
    </w:p>
    <w:tbl>
      <w:tblPr>
        <w:tblStyle w:val="TableGrid"/>
        <w:tblW w:w="0" w:type="auto"/>
        <w:tblLook w:val="04A0" w:firstRow="1" w:lastRow="0" w:firstColumn="1" w:lastColumn="0" w:noHBand="0" w:noVBand="1"/>
      </w:tblPr>
      <w:tblGrid>
        <w:gridCol w:w="883"/>
        <w:gridCol w:w="1811"/>
        <w:gridCol w:w="2126"/>
        <w:gridCol w:w="138"/>
        <w:gridCol w:w="1846"/>
        <w:gridCol w:w="2222"/>
      </w:tblGrid>
      <w:tr w:rsidR="00E157AE" w:rsidRPr="00EB1EE7" w14:paraId="2C1EB62E" w14:textId="77777777" w:rsidTr="0079009B">
        <w:tc>
          <w:tcPr>
            <w:tcW w:w="883" w:type="dxa"/>
            <w:tcBorders>
              <w:top w:val="single" w:sz="4" w:space="0" w:color="auto"/>
              <w:bottom w:val="nil"/>
            </w:tcBorders>
          </w:tcPr>
          <w:p w14:paraId="718589AC" w14:textId="77777777" w:rsidR="00E157AE" w:rsidRPr="008A57D0" w:rsidRDefault="00E157AE" w:rsidP="0079009B">
            <w:pPr>
              <w:pStyle w:val="NormalWeb"/>
              <w:spacing w:line="276" w:lineRule="auto"/>
              <w:rPr>
                <w:b/>
                <w:bCs/>
                <w:szCs w:val="20"/>
              </w:rPr>
            </w:pPr>
          </w:p>
        </w:tc>
        <w:tc>
          <w:tcPr>
            <w:tcW w:w="4075" w:type="dxa"/>
            <w:gridSpan w:val="3"/>
            <w:tcBorders>
              <w:top w:val="single" w:sz="4" w:space="0" w:color="auto"/>
              <w:bottom w:val="nil"/>
            </w:tcBorders>
          </w:tcPr>
          <w:p w14:paraId="2AFF834C" w14:textId="77777777" w:rsidR="00E157AE" w:rsidRPr="008A57D0" w:rsidRDefault="00E157AE" w:rsidP="0079009B">
            <w:pPr>
              <w:pStyle w:val="NormalWeb"/>
              <w:spacing w:line="276" w:lineRule="auto"/>
              <w:rPr>
                <w:szCs w:val="20"/>
              </w:rPr>
            </w:pPr>
            <w:r w:rsidRPr="008A57D0">
              <w:rPr>
                <w:szCs w:val="20"/>
              </w:rPr>
              <w:t>Singapore (main scenario)</w:t>
            </w:r>
          </w:p>
        </w:tc>
        <w:tc>
          <w:tcPr>
            <w:tcW w:w="4068" w:type="dxa"/>
            <w:gridSpan w:val="2"/>
            <w:tcBorders>
              <w:top w:val="single" w:sz="4" w:space="0" w:color="auto"/>
              <w:bottom w:val="nil"/>
            </w:tcBorders>
          </w:tcPr>
          <w:p w14:paraId="275CBF2C" w14:textId="77777777" w:rsidR="00E157AE" w:rsidRPr="008A57D0" w:rsidRDefault="00E157AE" w:rsidP="0079009B">
            <w:pPr>
              <w:pStyle w:val="NormalWeb"/>
              <w:spacing w:line="276" w:lineRule="auto"/>
              <w:rPr>
                <w:szCs w:val="20"/>
              </w:rPr>
            </w:pPr>
            <w:r w:rsidRPr="008A57D0">
              <w:rPr>
                <w:szCs w:val="20"/>
              </w:rPr>
              <w:t>England</w:t>
            </w:r>
          </w:p>
        </w:tc>
      </w:tr>
      <w:tr w:rsidR="00E157AE" w14:paraId="077FAB93" w14:textId="77777777" w:rsidTr="0079009B">
        <w:tc>
          <w:tcPr>
            <w:tcW w:w="883" w:type="dxa"/>
            <w:tcBorders>
              <w:top w:val="nil"/>
              <w:bottom w:val="single" w:sz="4" w:space="0" w:color="auto"/>
            </w:tcBorders>
          </w:tcPr>
          <w:p w14:paraId="313FC938" w14:textId="77777777" w:rsidR="00E157AE" w:rsidRPr="008A57D0" w:rsidRDefault="00E157AE" w:rsidP="0079009B">
            <w:pPr>
              <w:pStyle w:val="NormalWeb"/>
              <w:spacing w:line="276" w:lineRule="auto"/>
              <w:rPr>
                <w:b/>
                <w:bCs/>
                <w:szCs w:val="20"/>
              </w:rPr>
            </w:pPr>
          </w:p>
        </w:tc>
        <w:tc>
          <w:tcPr>
            <w:tcW w:w="1811" w:type="dxa"/>
            <w:tcBorders>
              <w:top w:val="nil"/>
              <w:bottom w:val="single" w:sz="4" w:space="0" w:color="auto"/>
            </w:tcBorders>
          </w:tcPr>
          <w:p w14:paraId="77174042" w14:textId="77777777" w:rsidR="00E157AE" w:rsidRPr="008A57D0" w:rsidRDefault="00E157AE" w:rsidP="0079009B">
            <w:pPr>
              <w:pStyle w:val="NormalWeb"/>
              <w:spacing w:line="276" w:lineRule="auto"/>
              <w:rPr>
                <w:b/>
                <w:bCs/>
                <w:szCs w:val="20"/>
              </w:rPr>
            </w:pPr>
            <w:r w:rsidRPr="008A57D0">
              <w:rPr>
                <w:szCs w:val="20"/>
                <w:lang w:val="en-US"/>
              </w:rPr>
              <w:t>Total number of averted cases</w:t>
            </w:r>
          </w:p>
        </w:tc>
        <w:tc>
          <w:tcPr>
            <w:tcW w:w="2126" w:type="dxa"/>
            <w:tcBorders>
              <w:top w:val="nil"/>
              <w:bottom w:val="single" w:sz="4" w:space="0" w:color="auto"/>
            </w:tcBorders>
          </w:tcPr>
          <w:p w14:paraId="520918CA" w14:textId="77777777" w:rsidR="00E157AE" w:rsidRPr="008A57D0" w:rsidRDefault="00E157AE" w:rsidP="0079009B">
            <w:pPr>
              <w:pStyle w:val="NormalWeb"/>
              <w:spacing w:line="276" w:lineRule="auto"/>
              <w:rPr>
                <w:szCs w:val="20"/>
                <w:lang w:val="en-US"/>
              </w:rPr>
            </w:pPr>
            <w:r w:rsidRPr="008A57D0">
              <w:rPr>
                <w:szCs w:val="20"/>
                <w:lang w:val="en-US"/>
              </w:rPr>
              <w:t>Number of averted cases per prescription</w:t>
            </w:r>
          </w:p>
        </w:tc>
        <w:tc>
          <w:tcPr>
            <w:tcW w:w="1984" w:type="dxa"/>
            <w:gridSpan w:val="2"/>
            <w:tcBorders>
              <w:top w:val="nil"/>
              <w:bottom w:val="single" w:sz="4" w:space="0" w:color="auto"/>
            </w:tcBorders>
          </w:tcPr>
          <w:p w14:paraId="4208DE1E" w14:textId="77777777" w:rsidR="00E157AE" w:rsidRPr="008A57D0" w:rsidRDefault="00E157AE" w:rsidP="0079009B">
            <w:pPr>
              <w:pStyle w:val="NormalWeb"/>
              <w:spacing w:line="276" w:lineRule="auto"/>
              <w:rPr>
                <w:b/>
                <w:bCs/>
                <w:szCs w:val="20"/>
              </w:rPr>
            </w:pPr>
            <w:r w:rsidRPr="008A57D0">
              <w:rPr>
                <w:szCs w:val="20"/>
                <w:lang w:val="en-US"/>
              </w:rPr>
              <w:t>Total number of averted cases</w:t>
            </w:r>
          </w:p>
        </w:tc>
        <w:tc>
          <w:tcPr>
            <w:tcW w:w="2222" w:type="dxa"/>
            <w:tcBorders>
              <w:top w:val="nil"/>
              <w:bottom w:val="single" w:sz="4" w:space="0" w:color="auto"/>
            </w:tcBorders>
          </w:tcPr>
          <w:p w14:paraId="693DEB7B" w14:textId="77777777" w:rsidR="00E157AE" w:rsidRPr="008A57D0" w:rsidRDefault="00E157AE" w:rsidP="0079009B">
            <w:pPr>
              <w:pStyle w:val="NormalWeb"/>
              <w:spacing w:line="276" w:lineRule="auto"/>
              <w:rPr>
                <w:b/>
                <w:bCs/>
                <w:szCs w:val="20"/>
              </w:rPr>
            </w:pPr>
            <w:r w:rsidRPr="008A57D0">
              <w:rPr>
                <w:szCs w:val="20"/>
                <w:lang w:val="en-US"/>
              </w:rPr>
              <w:t xml:space="preserve">Number of averted </w:t>
            </w:r>
            <w:r>
              <w:rPr>
                <w:szCs w:val="20"/>
                <w:lang w:val="en-US"/>
              </w:rPr>
              <w:t xml:space="preserve"> </w:t>
            </w:r>
            <w:r w:rsidRPr="008A57D0">
              <w:rPr>
                <w:szCs w:val="20"/>
                <w:lang w:val="en-US"/>
              </w:rPr>
              <w:t>cases per prescription</w:t>
            </w:r>
          </w:p>
        </w:tc>
      </w:tr>
      <w:tr w:rsidR="00E157AE" w14:paraId="6665CCAC" w14:textId="77777777" w:rsidTr="0079009B">
        <w:tc>
          <w:tcPr>
            <w:tcW w:w="883" w:type="dxa"/>
            <w:tcBorders>
              <w:top w:val="single" w:sz="4" w:space="0" w:color="auto"/>
            </w:tcBorders>
          </w:tcPr>
          <w:p w14:paraId="47E5CA5E" w14:textId="77777777" w:rsidR="00E157AE" w:rsidRPr="008A57D0" w:rsidRDefault="00E157AE" w:rsidP="0079009B">
            <w:pPr>
              <w:pStyle w:val="NormalWeb"/>
              <w:spacing w:line="276" w:lineRule="auto"/>
              <w:rPr>
                <w:b/>
                <w:bCs/>
                <w:szCs w:val="20"/>
              </w:rPr>
            </w:pPr>
            <w:proofErr w:type="spellStart"/>
            <w:r w:rsidRPr="008A57D0">
              <w:rPr>
                <w:szCs w:val="20"/>
              </w:rPr>
              <w:t>DbE</w:t>
            </w:r>
            <w:proofErr w:type="spellEnd"/>
          </w:p>
        </w:tc>
        <w:tc>
          <w:tcPr>
            <w:tcW w:w="1811" w:type="dxa"/>
            <w:tcBorders>
              <w:top w:val="single" w:sz="4" w:space="0" w:color="auto"/>
            </w:tcBorders>
          </w:tcPr>
          <w:p w14:paraId="5591592E" w14:textId="77777777" w:rsidR="00E157AE" w:rsidRPr="008A57D0" w:rsidRDefault="00E157AE" w:rsidP="0079009B">
            <w:pPr>
              <w:pStyle w:val="NormalWeb"/>
              <w:spacing w:line="276" w:lineRule="auto"/>
              <w:rPr>
                <w:b/>
                <w:bCs/>
                <w:szCs w:val="20"/>
              </w:rPr>
            </w:pPr>
            <w:r w:rsidRPr="008A57D0">
              <w:rPr>
                <w:szCs w:val="20"/>
              </w:rPr>
              <w:t>22</w:t>
            </w:r>
            <w:r>
              <w:rPr>
                <w:szCs w:val="20"/>
              </w:rPr>
              <w:t>,</w:t>
            </w:r>
            <w:r w:rsidRPr="008A57D0">
              <w:rPr>
                <w:szCs w:val="20"/>
              </w:rPr>
              <w:t>386                                             (4</w:t>
            </w:r>
            <w:r>
              <w:rPr>
                <w:szCs w:val="20"/>
              </w:rPr>
              <w:t>,</w:t>
            </w:r>
            <w:r w:rsidRPr="008A57D0">
              <w:rPr>
                <w:szCs w:val="20"/>
              </w:rPr>
              <w:t>985</w:t>
            </w:r>
            <w:r>
              <w:rPr>
                <w:szCs w:val="20"/>
              </w:rPr>
              <w:t xml:space="preserve"> - </w:t>
            </w:r>
            <w:r w:rsidRPr="008A57D0">
              <w:rPr>
                <w:szCs w:val="20"/>
              </w:rPr>
              <w:t>58</w:t>
            </w:r>
            <w:r>
              <w:rPr>
                <w:szCs w:val="20"/>
              </w:rPr>
              <w:t>,</w:t>
            </w:r>
            <w:r w:rsidRPr="008A57D0">
              <w:rPr>
                <w:szCs w:val="20"/>
              </w:rPr>
              <w:t>439)</w:t>
            </w:r>
          </w:p>
        </w:tc>
        <w:tc>
          <w:tcPr>
            <w:tcW w:w="2126" w:type="dxa"/>
            <w:tcBorders>
              <w:top w:val="single" w:sz="4" w:space="0" w:color="auto"/>
            </w:tcBorders>
          </w:tcPr>
          <w:p w14:paraId="44171C2B" w14:textId="77777777" w:rsidR="00E157AE" w:rsidRPr="008A57D0" w:rsidRDefault="00E157AE" w:rsidP="0079009B">
            <w:pPr>
              <w:pStyle w:val="NormalWeb"/>
              <w:spacing w:line="276" w:lineRule="auto"/>
              <w:rPr>
                <w:b/>
                <w:bCs/>
                <w:szCs w:val="20"/>
              </w:rPr>
            </w:pPr>
            <w:r w:rsidRPr="008A57D0">
              <w:rPr>
                <w:szCs w:val="20"/>
              </w:rPr>
              <w:t>1.79                                                                       (0.40, 4.68)</w:t>
            </w:r>
          </w:p>
        </w:tc>
        <w:tc>
          <w:tcPr>
            <w:tcW w:w="1984" w:type="dxa"/>
            <w:gridSpan w:val="2"/>
            <w:tcBorders>
              <w:top w:val="single" w:sz="4" w:space="0" w:color="auto"/>
            </w:tcBorders>
          </w:tcPr>
          <w:p w14:paraId="45A06B06" w14:textId="77777777" w:rsidR="00E157AE" w:rsidRPr="008A57D0" w:rsidRDefault="00E157AE" w:rsidP="0079009B">
            <w:pPr>
              <w:pStyle w:val="NormalWeb"/>
              <w:spacing w:line="276" w:lineRule="auto"/>
              <w:rPr>
                <w:b/>
                <w:bCs/>
                <w:szCs w:val="20"/>
              </w:rPr>
            </w:pPr>
            <w:r w:rsidRPr="008A57D0">
              <w:rPr>
                <w:szCs w:val="20"/>
              </w:rPr>
              <w:t>135</w:t>
            </w:r>
            <w:r>
              <w:rPr>
                <w:szCs w:val="20"/>
              </w:rPr>
              <w:t>,</w:t>
            </w:r>
            <w:r w:rsidRPr="008A57D0">
              <w:rPr>
                <w:szCs w:val="20"/>
              </w:rPr>
              <w:t>690                                                (62</w:t>
            </w:r>
            <w:r>
              <w:rPr>
                <w:szCs w:val="20"/>
              </w:rPr>
              <w:t>,</w:t>
            </w:r>
            <w:r w:rsidRPr="008A57D0">
              <w:rPr>
                <w:szCs w:val="20"/>
              </w:rPr>
              <w:t>906</w:t>
            </w:r>
            <w:r>
              <w:rPr>
                <w:szCs w:val="20"/>
              </w:rPr>
              <w:t xml:space="preserve"> - </w:t>
            </w:r>
            <w:r w:rsidRPr="008A57D0">
              <w:rPr>
                <w:szCs w:val="20"/>
              </w:rPr>
              <w:t>227</w:t>
            </w:r>
            <w:r>
              <w:rPr>
                <w:szCs w:val="20"/>
              </w:rPr>
              <w:t>,</w:t>
            </w:r>
            <w:r w:rsidRPr="008A57D0">
              <w:rPr>
                <w:szCs w:val="20"/>
              </w:rPr>
              <w:t>587)</w:t>
            </w:r>
          </w:p>
        </w:tc>
        <w:tc>
          <w:tcPr>
            <w:tcW w:w="2222" w:type="dxa"/>
            <w:tcBorders>
              <w:top w:val="single" w:sz="4" w:space="0" w:color="auto"/>
            </w:tcBorders>
          </w:tcPr>
          <w:p w14:paraId="36369102" w14:textId="77777777" w:rsidR="00E157AE" w:rsidRPr="008A57D0" w:rsidRDefault="00E157AE" w:rsidP="0079009B">
            <w:pPr>
              <w:pStyle w:val="NormalWeb"/>
              <w:spacing w:line="276" w:lineRule="auto"/>
              <w:rPr>
                <w:b/>
                <w:bCs/>
                <w:szCs w:val="20"/>
              </w:rPr>
            </w:pPr>
            <w:r w:rsidRPr="008A57D0">
              <w:rPr>
                <w:szCs w:val="20"/>
              </w:rPr>
              <w:t>2.28                                                                       (1.06, 3.83)</w:t>
            </w:r>
          </w:p>
        </w:tc>
      </w:tr>
      <w:tr w:rsidR="00E157AE" w14:paraId="228A7333" w14:textId="77777777" w:rsidTr="0079009B">
        <w:tc>
          <w:tcPr>
            <w:tcW w:w="883" w:type="dxa"/>
          </w:tcPr>
          <w:p w14:paraId="6A69BF3E" w14:textId="77777777" w:rsidR="00E157AE" w:rsidRPr="008A57D0" w:rsidRDefault="00E157AE" w:rsidP="0079009B">
            <w:pPr>
              <w:pStyle w:val="NormalWeb"/>
              <w:spacing w:line="276" w:lineRule="auto"/>
              <w:rPr>
                <w:b/>
                <w:bCs/>
                <w:szCs w:val="20"/>
              </w:rPr>
            </w:pPr>
            <w:r w:rsidRPr="008A57D0">
              <w:rPr>
                <w:szCs w:val="20"/>
              </w:rPr>
              <w:t>DoD(H)</w:t>
            </w:r>
          </w:p>
        </w:tc>
        <w:tc>
          <w:tcPr>
            <w:tcW w:w="1811" w:type="dxa"/>
          </w:tcPr>
          <w:p w14:paraId="75DAA8C7" w14:textId="77777777" w:rsidR="00E157AE" w:rsidRPr="008A57D0" w:rsidRDefault="00E157AE" w:rsidP="0079009B">
            <w:pPr>
              <w:pStyle w:val="NormalWeb"/>
              <w:spacing w:line="276" w:lineRule="auto"/>
              <w:rPr>
                <w:b/>
                <w:bCs/>
                <w:szCs w:val="20"/>
              </w:rPr>
            </w:pPr>
            <w:r w:rsidRPr="008A57D0">
              <w:rPr>
                <w:szCs w:val="20"/>
              </w:rPr>
              <w:t>30</w:t>
            </w:r>
            <w:r>
              <w:rPr>
                <w:szCs w:val="20"/>
              </w:rPr>
              <w:t>,</w:t>
            </w:r>
            <w:r w:rsidRPr="008A57D0">
              <w:rPr>
                <w:szCs w:val="20"/>
              </w:rPr>
              <w:t>652                                             (3</w:t>
            </w:r>
            <w:r>
              <w:rPr>
                <w:szCs w:val="20"/>
              </w:rPr>
              <w:t>,</w:t>
            </w:r>
            <w:r w:rsidRPr="008A57D0">
              <w:rPr>
                <w:szCs w:val="20"/>
              </w:rPr>
              <w:t>507</w:t>
            </w:r>
            <w:r>
              <w:rPr>
                <w:szCs w:val="20"/>
              </w:rPr>
              <w:t xml:space="preserve"> - </w:t>
            </w:r>
            <w:r w:rsidRPr="008A57D0">
              <w:rPr>
                <w:szCs w:val="20"/>
              </w:rPr>
              <w:t>162</w:t>
            </w:r>
            <w:r>
              <w:rPr>
                <w:szCs w:val="20"/>
              </w:rPr>
              <w:t>,</w:t>
            </w:r>
            <w:r w:rsidRPr="008A57D0">
              <w:rPr>
                <w:szCs w:val="20"/>
              </w:rPr>
              <w:t>306)</w:t>
            </w:r>
          </w:p>
        </w:tc>
        <w:tc>
          <w:tcPr>
            <w:tcW w:w="2126" w:type="dxa"/>
          </w:tcPr>
          <w:p w14:paraId="6089D2C7" w14:textId="77777777" w:rsidR="00E157AE" w:rsidRPr="008A57D0" w:rsidRDefault="00E157AE" w:rsidP="0079009B">
            <w:pPr>
              <w:pStyle w:val="NormalWeb"/>
              <w:spacing w:line="276" w:lineRule="auto"/>
              <w:rPr>
                <w:b/>
                <w:bCs/>
                <w:szCs w:val="20"/>
              </w:rPr>
            </w:pPr>
            <w:r w:rsidRPr="008A57D0">
              <w:rPr>
                <w:szCs w:val="20"/>
              </w:rPr>
              <w:t>7.61                                                                       (2.06, 18.12)</w:t>
            </w:r>
          </w:p>
        </w:tc>
        <w:tc>
          <w:tcPr>
            <w:tcW w:w="1984" w:type="dxa"/>
            <w:gridSpan w:val="2"/>
          </w:tcPr>
          <w:p w14:paraId="2267F922" w14:textId="77777777" w:rsidR="00E157AE" w:rsidRPr="008A57D0" w:rsidRDefault="00E157AE" w:rsidP="0079009B">
            <w:pPr>
              <w:pStyle w:val="NormalWeb"/>
              <w:spacing w:line="276" w:lineRule="auto"/>
              <w:rPr>
                <w:b/>
                <w:bCs/>
                <w:szCs w:val="20"/>
              </w:rPr>
            </w:pPr>
            <w:r w:rsidRPr="008A57D0">
              <w:rPr>
                <w:szCs w:val="20"/>
              </w:rPr>
              <w:t>503</w:t>
            </w:r>
            <w:r>
              <w:rPr>
                <w:szCs w:val="20"/>
              </w:rPr>
              <w:t>,</w:t>
            </w:r>
            <w:r w:rsidRPr="008A57D0">
              <w:rPr>
                <w:szCs w:val="20"/>
              </w:rPr>
              <w:t>320                                                  (150</w:t>
            </w:r>
            <w:r>
              <w:rPr>
                <w:szCs w:val="20"/>
              </w:rPr>
              <w:t>,</w:t>
            </w:r>
            <w:r w:rsidRPr="008A57D0">
              <w:rPr>
                <w:szCs w:val="20"/>
              </w:rPr>
              <w:t>356</w:t>
            </w:r>
            <w:r>
              <w:rPr>
                <w:szCs w:val="20"/>
              </w:rPr>
              <w:t xml:space="preserve"> - </w:t>
            </w:r>
            <w:r w:rsidRPr="008A57D0">
              <w:rPr>
                <w:szCs w:val="20"/>
              </w:rPr>
              <w:t>1</w:t>
            </w:r>
            <w:r>
              <w:rPr>
                <w:szCs w:val="20"/>
              </w:rPr>
              <w:t>,</w:t>
            </w:r>
            <w:r w:rsidRPr="008A57D0">
              <w:rPr>
                <w:szCs w:val="20"/>
              </w:rPr>
              <w:t>536</w:t>
            </w:r>
            <w:r>
              <w:rPr>
                <w:szCs w:val="20"/>
              </w:rPr>
              <w:t>,</w:t>
            </w:r>
            <w:r w:rsidRPr="008A57D0">
              <w:rPr>
                <w:szCs w:val="20"/>
              </w:rPr>
              <w:t>342)</w:t>
            </w:r>
          </w:p>
        </w:tc>
        <w:tc>
          <w:tcPr>
            <w:tcW w:w="2222" w:type="dxa"/>
          </w:tcPr>
          <w:p w14:paraId="09CD42DB" w14:textId="77777777" w:rsidR="00E157AE" w:rsidRPr="008A57D0" w:rsidRDefault="00E157AE" w:rsidP="0079009B">
            <w:pPr>
              <w:pStyle w:val="NormalWeb"/>
              <w:spacing w:line="276" w:lineRule="auto"/>
              <w:rPr>
                <w:b/>
                <w:bCs/>
                <w:szCs w:val="20"/>
              </w:rPr>
            </w:pPr>
            <w:r w:rsidRPr="008A57D0">
              <w:rPr>
                <w:szCs w:val="20"/>
              </w:rPr>
              <w:t>14.02                                                                       (6.47, 23.76)</w:t>
            </w:r>
          </w:p>
        </w:tc>
      </w:tr>
      <w:tr w:rsidR="00E157AE" w14:paraId="476F27B8" w14:textId="77777777" w:rsidTr="0079009B">
        <w:tc>
          <w:tcPr>
            <w:tcW w:w="883" w:type="dxa"/>
          </w:tcPr>
          <w:p w14:paraId="34722260" w14:textId="77777777" w:rsidR="00E157AE" w:rsidRPr="008A57D0" w:rsidRDefault="00E157AE" w:rsidP="0079009B">
            <w:pPr>
              <w:pStyle w:val="NormalWeb"/>
              <w:spacing w:line="276" w:lineRule="auto"/>
              <w:rPr>
                <w:b/>
                <w:bCs/>
                <w:szCs w:val="20"/>
              </w:rPr>
            </w:pPr>
            <w:r w:rsidRPr="008A57D0">
              <w:rPr>
                <w:szCs w:val="20"/>
              </w:rPr>
              <w:t>DoD</w:t>
            </w:r>
          </w:p>
        </w:tc>
        <w:tc>
          <w:tcPr>
            <w:tcW w:w="1811" w:type="dxa"/>
          </w:tcPr>
          <w:p w14:paraId="199D9538" w14:textId="77777777" w:rsidR="00E157AE" w:rsidRPr="008A57D0" w:rsidRDefault="00E157AE" w:rsidP="0079009B">
            <w:pPr>
              <w:pStyle w:val="NormalWeb"/>
              <w:spacing w:line="276" w:lineRule="auto"/>
              <w:rPr>
                <w:b/>
                <w:bCs/>
                <w:szCs w:val="20"/>
              </w:rPr>
            </w:pPr>
            <w:r w:rsidRPr="008A57D0">
              <w:rPr>
                <w:szCs w:val="20"/>
                <w:lang w:val="en-US"/>
              </w:rPr>
              <w:t>30</w:t>
            </w:r>
            <w:r>
              <w:rPr>
                <w:szCs w:val="20"/>
                <w:lang w:val="en-US"/>
              </w:rPr>
              <w:t>,</w:t>
            </w:r>
            <w:r w:rsidRPr="008A57D0">
              <w:rPr>
                <w:szCs w:val="20"/>
                <w:lang w:val="en-US"/>
              </w:rPr>
              <w:t xml:space="preserve">705         </w:t>
            </w:r>
            <w:r w:rsidRPr="008A57D0">
              <w:rPr>
                <w:szCs w:val="20"/>
              </w:rPr>
              <w:t xml:space="preserve">                                     </w:t>
            </w:r>
            <w:proofErr w:type="gramStart"/>
            <w:r w:rsidRPr="008A57D0">
              <w:rPr>
                <w:szCs w:val="20"/>
              </w:rPr>
              <w:t xml:space="preserve"> </w:t>
            </w:r>
            <w:r w:rsidRPr="008A57D0">
              <w:rPr>
                <w:szCs w:val="20"/>
                <w:lang w:val="en-US"/>
              </w:rPr>
              <w:t xml:space="preserve">  (</w:t>
            </w:r>
            <w:proofErr w:type="gramEnd"/>
            <w:r w:rsidRPr="008A57D0">
              <w:rPr>
                <w:szCs w:val="20"/>
                <w:lang w:val="en-US"/>
              </w:rPr>
              <w:t>3</w:t>
            </w:r>
            <w:r>
              <w:rPr>
                <w:szCs w:val="20"/>
                <w:lang w:val="en-US"/>
              </w:rPr>
              <w:t>,</w:t>
            </w:r>
            <w:r w:rsidRPr="008A57D0">
              <w:rPr>
                <w:szCs w:val="20"/>
                <w:lang w:val="en-US"/>
              </w:rPr>
              <w:t>526</w:t>
            </w:r>
            <w:r>
              <w:rPr>
                <w:szCs w:val="20"/>
                <w:lang w:val="en-US"/>
              </w:rPr>
              <w:t xml:space="preserve"> - </w:t>
            </w:r>
            <w:r w:rsidRPr="008A57D0">
              <w:rPr>
                <w:szCs w:val="20"/>
                <w:lang w:val="en-US"/>
              </w:rPr>
              <w:t>162</w:t>
            </w:r>
            <w:r>
              <w:rPr>
                <w:szCs w:val="20"/>
                <w:lang w:val="en-US"/>
              </w:rPr>
              <w:t>,</w:t>
            </w:r>
            <w:r w:rsidRPr="008A57D0">
              <w:rPr>
                <w:szCs w:val="20"/>
                <w:lang w:val="en-US"/>
              </w:rPr>
              <w:t>368)</w:t>
            </w:r>
          </w:p>
        </w:tc>
        <w:tc>
          <w:tcPr>
            <w:tcW w:w="2126" w:type="dxa"/>
          </w:tcPr>
          <w:p w14:paraId="4D723EBD" w14:textId="77777777" w:rsidR="00E157AE" w:rsidRPr="008A57D0" w:rsidRDefault="00E157AE" w:rsidP="0079009B">
            <w:pPr>
              <w:pStyle w:val="NormalWeb"/>
              <w:spacing w:line="276" w:lineRule="auto"/>
              <w:rPr>
                <w:b/>
                <w:bCs/>
                <w:szCs w:val="20"/>
              </w:rPr>
            </w:pPr>
            <w:r w:rsidRPr="008A57D0">
              <w:rPr>
                <w:szCs w:val="20"/>
              </w:rPr>
              <w:t>6.33                                                                       (1.64, 14.89)</w:t>
            </w:r>
          </w:p>
        </w:tc>
        <w:tc>
          <w:tcPr>
            <w:tcW w:w="1984" w:type="dxa"/>
            <w:gridSpan w:val="2"/>
          </w:tcPr>
          <w:p w14:paraId="32DDB7BF" w14:textId="77777777" w:rsidR="00E157AE" w:rsidRPr="008A57D0" w:rsidRDefault="00E157AE" w:rsidP="0079009B">
            <w:pPr>
              <w:pStyle w:val="NormalWeb"/>
              <w:spacing w:line="276" w:lineRule="auto"/>
              <w:rPr>
                <w:b/>
                <w:bCs/>
                <w:szCs w:val="20"/>
              </w:rPr>
            </w:pPr>
            <w:r w:rsidRPr="008A57D0">
              <w:rPr>
                <w:szCs w:val="20"/>
                <w:lang w:val="en-US"/>
              </w:rPr>
              <w:t>503</w:t>
            </w:r>
            <w:r>
              <w:rPr>
                <w:szCs w:val="20"/>
                <w:lang w:val="en-US"/>
              </w:rPr>
              <w:t>,</w:t>
            </w:r>
            <w:r w:rsidRPr="008A57D0">
              <w:rPr>
                <w:szCs w:val="20"/>
                <w:lang w:val="en-US"/>
              </w:rPr>
              <w:t xml:space="preserve">329        </w:t>
            </w:r>
            <w:r w:rsidRPr="008A57D0">
              <w:rPr>
                <w:szCs w:val="20"/>
              </w:rPr>
              <w:t xml:space="preserve">                                      </w:t>
            </w:r>
            <w:proofErr w:type="gramStart"/>
            <w:r w:rsidRPr="008A57D0">
              <w:rPr>
                <w:szCs w:val="20"/>
                <w:lang w:val="en-US"/>
              </w:rPr>
              <w:t xml:space="preserve">   (</w:t>
            </w:r>
            <w:proofErr w:type="gramEnd"/>
            <w:r w:rsidRPr="008A57D0">
              <w:rPr>
                <w:szCs w:val="20"/>
                <w:lang w:val="en-US"/>
              </w:rPr>
              <w:t>150</w:t>
            </w:r>
            <w:r>
              <w:rPr>
                <w:szCs w:val="20"/>
                <w:lang w:val="en-US"/>
              </w:rPr>
              <w:t>,</w:t>
            </w:r>
            <w:r w:rsidRPr="008A57D0">
              <w:rPr>
                <w:szCs w:val="20"/>
                <w:lang w:val="en-US"/>
              </w:rPr>
              <w:t>375</w:t>
            </w:r>
            <w:r>
              <w:rPr>
                <w:szCs w:val="20"/>
                <w:lang w:val="en-US"/>
              </w:rPr>
              <w:t xml:space="preserve"> - </w:t>
            </w:r>
            <w:r w:rsidRPr="008A57D0">
              <w:rPr>
                <w:szCs w:val="20"/>
                <w:lang w:val="en-US"/>
              </w:rPr>
              <w:t>1</w:t>
            </w:r>
            <w:r>
              <w:rPr>
                <w:szCs w:val="20"/>
                <w:lang w:val="en-US"/>
              </w:rPr>
              <w:t>,</w:t>
            </w:r>
            <w:r w:rsidRPr="008A57D0">
              <w:rPr>
                <w:szCs w:val="20"/>
                <w:lang w:val="en-US"/>
              </w:rPr>
              <w:t>536</w:t>
            </w:r>
            <w:r>
              <w:rPr>
                <w:szCs w:val="20"/>
                <w:lang w:val="en-US"/>
              </w:rPr>
              <w:t>,</w:t>
            </w:r>
            <w:r w:rsidRPr="008A57D0">
              <w:rPr>
                <w:szCs w:val="20"/>
                <w:lang w:val="en-US"/>
              </w:rPr>
              <w:t>394)</w:t>
            </w:r>
          </w:p>
        </w:tc>
        <w:tc>
          <w:tcPr>
            <w:tcW w:w="2222" w:type="dxa"/>
          </w:tcPr>
          <w:p w14:paraId="7EDEE11E" w14:textId="77777777" w:rsidR="00E157AE" w:rsidRPr="008A57D0" w:rsidRDefault="00E157AE" w:rsidP="0079009B">
            <w:pPr>
              <w:pStyle w:val="NormalWeb"/>
              <w:spacing w:line="276" w:lineRule="auto"/>
              <w:rPr>
                <w:b/>
                <w:bCs/>
                <w:szCs w:val="20"/>
              </w:rPr>
            </w:pPr>
            <w:r w:rsidRPr="008A57D0">
              <w:rPr>
                <w:szCs w:val="20"/>
              </w:rPr>
              <w:t>12.77                                                                       (5.86, 21.37)</w:t>
            </w:r>
          </w:p>
        </w:tc>
      </w:tr>
      <w:tr w:rsidR="00E157AE" w14:paraId="7A611FAD" w14:textId="77777777" w:rsidTr="0079009B">
        <w:tc>
          <w:tcPr>
            <w:tcW w:w="883" w:type="dxa"/>
          </w:tcPr>
          <w:p w14:paraId="0E53A65F" w14:textId="77777777" w:rsidR="00E157AE" w:rsidRPr="008A57D0" w:rsidRDefault="00E157AE" w:rsidP="0079009B">
            <w:pPr>
              <w:pStyle w:val="NormalWeb"/>
              <w:spacing w:line="276" w:lineRule="auto"/>
              <w:rPr>
                <w:b/>
                <w:bCs/>
                <w:szCs w:val="20"/>
              </w:rPr>
            </w:pPr>
            <w:r w:rsidRPr="008A57D0">
              <w:rPr>
                <w:szCs w:val="20"/>
              </w:rPr>
              <w:t>DoA(H)</w:t>
            </w:r>
          </w:p>
        </w:tc>
        <w:tc>
          <w:tcPr>
            <w:tcW w:w="1811" w:type="dxa"/>
          </w:tcPr>
          <w:p w14:paraId="3A224CE6" w14:textId="77777777" w:rsidR="00E157AE" w:rsidRPr="008A57D0" w:rsidRDefault="00E157AE" w:rsidP="0079009B">
            <w:pPr>
              <w:pStyle w:val="NormalWeb"/>
              <w:spacing w:line="276" w:lineRule="auto"/>
              <w:rPr>
                <w:b/>
                <w:bCs/>
                <w:szCs w:val="20"/>
              </w:rPr>
            </w:pPr>
            <w:r w:rsidRPr="008A57D0">
              <w:rPr>
                <w:szCs w:val="20"/>
              </w:rPr>
              <w:t>75</w:t>
            </w:r>
            <w:r>
              <w:rPr>
                <w:szCs w:val="20"/>
              </w:rPr>
              <w:t>,</w:t>
            </w:r>
            <w:r w:rsidRPr="008A57D0">
              <w:rPr>
                <w:szCs w:val="20"/>
              </w:rPr>
              <w:t>471                                             (20</w:t>
            </w:r>
            <w:r>
              <w:rPr>
                <w:szCs w:val="20"/>
              </w:rPr>
              <w:t>,</w:t>
            </w:r>
            <w:r w:rsidRPr="008A57D0">
              <w:rPr>
                <w:szCs w:val="20"/>
              </w:rPr>
              <w:t>720</w:t>
            </w:r>
            <w:r>
              <w:rPr>
                <w:szCs w:val="20"/>
              </w:rPr>
              <w:t xml:space="preserve"> - </w:t>
            </w:r>
            <w:r w:rsidRPr="008A57D0">
              <w:rPr>
                <w:szCs w:val="20"/>
              </w:rPr>
              <w:t>283</w:t>
            </w:r>
            <w:r>
              <w:rPr>
                <w:szCs w:val="20"/>
              </w:rPr>
              <w:t>,</w:t>
            </w:r>
            <w:r w:rsidRPr="008A57D0">
              <w:rPr>
                <w:szCs w:val="20"/>
              </w:rPr>
              <w:t>972)</w:t>
            </w:r>
          </w:p>
        </w:tc>
        <w:tc>
          <w:tcPr>
            <w:tcW w:w="2126" w:type="dxa"/>
          </w:tcPr>
          <w:p w14:paraId="50ECEAD8" w14:textId="77777777" w:rsidR="00E157AE" w:rsidRPr="008A57D0" w:rsidRDefault="00E157AE" w:rsidP="0079009B">
            <w:pPr>
              <w:pStyle w:val="NormalWeb"/>
              <w:spacing w:line="276" w:lineRule="auto"/>
              <w:rPr>
                <w:b/>
                <w:bCs/>
                <w:szCs w:val="20"/>
              </w:rPr>
            </w:pPr>
            <w:r w:rsidRPr="008A57D0">
              <w:rPr>
                <w:szCs w:val="20"/>
              </w:rPr>
              <w:t>0.23                                                                   (0.051, 1.92)</w:t>
            </w:r>
          </w:p>
        </w:tc>
        <w:tc>
          <w:tcPr>
            <w:tcW w:w="1984" w:type="dxa"/>
            <w:gridSpan w:val="2"/>
          </w:tcPr>
          <w:p w14:paraId="2BFA51C3" w14:textId="77777777" w:rsidR="00E157AE" w:rsidRPr="008A57D0" w:rsidRDefault="00E157AE" w:rsidP="0079009B">
            <w:pPr>
              <w:pStyle w:val="NormalWeb"/>
              <w:spacing w:line="276" w:lineRule="auto"/>
              <w:rPr>
                <w:b/>
                <w:bCs/>
                <w:szCs w:val="20"/>
              </w:rPr>
            </w:pPr>
            <w:r w:rsidRPr="008A57D0">
              <w:rPr>
                <w:szCs w:val="20"/>
              </w:rPr>
              <w:t>853</w:t>
            </w:r>
            <w:r>
              <w:rPr>
                <w:szCs w:val="20"/>
              </w:rPr>
              <w:t>,</w:t>
            </w:r>
            <w:r w:rsidRPr="008A57D0">
              <w:rPr>
                <w:szCs w:val="20"/>
              </w:rPr>
              <w:t>239                                              (332</w:t>
            </w:r>
            <w:r>
              <w:rPr>
                <w:szCs w:val="20"/>
              </w:rPr>
              <w:t>,</w:t>
            </w:r>
            <w:r w:rsidRPr="008A57D0">
              <w:rPr>
                <w:szCs w:val="20"/>
              </w:rPr>
              <w:t>906</w:t>
            </w:r>
            <w:r>
              <w:rPr>
                <w:szCs w:val="20"/>
              </w:rPr>
              <w:t xml:space="preserve"> - </w:t>
            </w:r>
            <w:r w:rsidRPr="008A57D0">
              <w:rPr>
                <w:szCs w:val="20"/>
              </w:rPr>
              <w:t>2</w:t>
            </w:r>
            <w:r>
              <w:rPr>
                <w:szCs w:val="20"/>
              </w:rPr>
              <w:t>,</w:t>
            </w:r>
            <w:r w:rsidRPr="008A57D0">
              <w:rPr>
                <w:szCs w:val="20"/>
              </w:rPr>
              <w:t>208</w:t>
            </w:r>
            <w:r>
              <w:rPr>
                <w:szCs w:val="20"/>
              </w:rPr>
              <w:t>,</w:t>
            </w:r>
            <w:r w:rsidRPr="008A57D0">
              <w:rPr>
                <w:szCs w:val="20"/>
              </w:rPr>
              <w:t>156)</w:t>
            </w:r>
          </w:p>
        </w:tc>
        <w:tc>
          <w:tcPr>
            <w:tcW w:w="2222" w:type="dxa"/>
          </w:tcPr>
          <w:p w14:paraId="3D1F71E4" w14:textId="77777777" w:rsidR="00E157AE" w:rsidRPr="008A57D0" w:rsidRDefault="00E157AE" w:rsidP="0079009B">
            <w:pPr>
              <w:pStyle w:val="NormalWeb"/>
              <w:spacing w:line="276" w:lineRule="auto"/>
              <w:rPr>
                <w:b/>
                <w:bCs/>
                <w:szCs w:val="20"/>
              </w:rPr>
            </w:pPr>
            <w:r w:rsidRPr="008A57D0">
              <w:rPr>
                <w:szCs w:val="20"/>
              </w:rPr>
              <w:t>0.65                                                                    (0.20, 4.21)</w:t>
            </w:r>
          </w:p>
        </w:tc>
      </w:tr>
      <w:tr w:rsidR="00E157AE" w14:paraId="61953679" w14:textId="77777777" w:rsidTr="0079009B">
        <w:tc>
          <w:tcPr>
            <w:tcW w:w="883" w:type="dxa"/>
          </w:tcPr>
          <w:p w14:paraId="7B09269B" w14:textId="77777777" w:rsidR="00E157AE" w:rsidRPr="008A57D0" w:rsidRDefault="00E157AE" w:rsidP="0079009B">
            <w:pPr>
              <w:pStyle w:val="NormalWeb"/>
              <w:spacing w:line="276" w:lineRule="auto"/>
              <w:rPr>
                <w:b/>
                <w:bCs/>
                <w:szCs w:val="20"/>
              </w:rPr>
            </w:pPr>
            <w:proofErr w:type="spellStart"/>
            <w:r w:rsidRPr="008A57D0">
              <w:rPr>
                <w:szCs w:val="20"/>
              </w:rPr>
              <w:t>DoA</w:t>
            </w:r>
            <w:proofErr w:type="spellEnd"/>
          </w:p>
        </w:tc>
        <w:tc>
          <w:tcPr>
            <w:tcW w:w="1811" w:type="dxa"/>
          </w:tcPr>
          <w:p w14:paraId="291B04C4" w14:textId="77777777" w:rsidR="00E157AE" w:rsidRPr="008A57D0" w:rsidRDefault="00E157AE" w:rsidP="0079009B">
            <w:pPr>
              <w:pStyle w:val="NormalWeb"/>
              <w:spacing w:line="276" w:lineRule="auto"/>
              <w:rPr>
                <w:b/>
                <w:bCs/>
                <w:szCs w:val="20"/>
              </w:rPr>
            </w:pPr>
            <w:r w:rsidRPr="008A57D0">
              <w:rPr>
                <w:szCs w:val="20"/>
              </w:rPr>
              <w:t>75</w:t>
            </w:r>
            <w:r>
              <w:rPr>
                <w:szCs w:val="20"/>
              </w:rPr>
              <w:t>,</w:t>
            </w:r>
            <w:r w:rsidRPr="008A57D0">
              <w:rPr>
                <w:szCs w:val="20"/>
              </w:rPr>
              <w:t>484                                             (20</w:t>
            </w:r>
            <w:r>
              <w:rPr>
                <w:szCs w:val="20"/>
              </w:rPr>
              <w:t>,</w:t>
            </w:r>
            <w:r w:rsidRPr="008A57D0">
              <w:rPr>
                <w:szCs w:val="20"/>
              </w:rPr>
              <w:t>721</w:t>
            </w:r>
            <w:r>
              <w:rPr>
                <w:szCs w:val="20"/>
              </w:rPr>
              <w:t xml:space="preserve"> - </w:t>
            </w:r>
            <w:r w:rsidRPr="008A57D0">
              <w:rPr>
                <w:szCs w:val="20"/>
              </w:rPr>
              <w:t>283</w:t>
            </w:r>
            <w:r>
              <w:rPr>
                <w:szCs w:val="20"/>
              </w:rPr>
              <w:t>,</w:t>
            </w:r>
            <w:r w:rsidRPr="008A57D0">
              <w:rPr>
                <w:szCs w:val="20"/>
              </w:rPr>
              <w:t>976)</w:t>
            </w:r>
          </w:p>
        </w:tc>
        <w:tc>
          <w:tcPr>
            <w:tcW w:w="2126" w:type="dxa"/>
          </w:tcPr>
          <w:p w14:paraId="0C92A1CE" w14:textId="77777777" w:rsidR="00E157AE" w:rsidRPr="008A57D0" w:rsidRDefault="00E157AE" w:rsidP="0079009B">
            <w:pPr>
              <w:pStyle w:val="NormalWeb"/>
              <w:spacing w:line="276" w:lineRule="auto"/>
              <w:rPr>
                <w:b/>
                <w:bCs/>
                <w:szCs w:val="20"/>
              </w:rPr>
            </w:pPr>
            <w:r w:rsidRPr="008A57D0">
              <w:rPr>
                <w:szCs w:val="20"/>
              </w:rPr>
              <w:t>0.062                                                                   (0.013, 0.69)</w:t>
            </w:r>
          </w:p>
        </w:tc>
        <w:tc>
          <w:tcPr>
            <w:tcW w:w="1984" w:type="dxa"/>
            <w:gridSpan w:val="2"/>
          </w:tcPr>
          <w:p w14:paraId="70562410" w14:textId="77777777" w:rsidR="00E157AE" w:rsidRPr="008A57D0" w:rsidRDefault="00E157AE" w:rsidP="0079009B">
            <w:pPr>
              <w:pStyle w:val="NormalWeb"/>
              <w:spacing w:line="276" w:lineRule="auto"/>
              <w:rPr>
                <w:b/>
                <w:bCs/>
                <w:szCs w:val="20"/>
              </w:rPr>
            </w:pPr>
            <w:r w:rsidRPr="008A57D0">
              <w:rPr>
                <w:szCs w:val="20"/>
              </w:rPr>
              <w:t>853</w:t>
            </w:r>
            <w:r>
              <w:rPr>
                <w:szCs w:val="20"/>
              </w:rPr>
              <w:t>,</w:t>
            </w:r>
            <w:r w:rsidRPr="008A57D0">
              <w:rPr>
                <w:szCs w:val="20"/>
              </w:rPr>
              <w:t>309                                              (332</w:t>
            </w:r>
            <w:r>
              <w:rPr>
                <w:szCs w:val="20"/>
              </w:rPr>
              <w:t>,</w:t>
            </w:r>
            <w:r w:rsidRPr="008A57D0">
              <w:rPr>
                <w:szCs w:val="20"/>
              </w:rPr>
              <w:t>929</w:t>
            </w:r>
            <w:r>
              <w:rPr>
                <w:szCs w:val="20"/>
              </w:rPr>
              <w:t xml:space="preserve"> - </w:t>
            </w:r>
            <w:r w:rsidRPr="008A57D0">
              <w:rPr>
                <w:szCs w:val="20"/>
              </w:rPr>
              <w:t>2</w:t>
            </w:r>
            <w:r>
              <w:rPr>
                <w:szCs w:val="20"/>
              </w:rPr>
              <w:t>,</w:t>
            </w:r>
            <w:r w:rsidRPr="008A57D0">
              <w:rPr>
                <w:szCs w:val="20"/>
              </w:rPr>
              <w:t>208</w:t>
            </w:r>
            <w:r>
              <w:rPr>
                <w:szCs w:val="20"/>
              </w:rPr>
              <w:t>,</w:t>
            </w:r>
            <w:r w:rsidRPr="008A57D0">
              <w:rPr>
                <w:szCs w:val="20"/>
              </w:rPr>
              <w:t>156)</w:t>
            </w:r>
          </w:p>
        </w:tc>
        <w:tc>
          <w:tcPr>
            <w:tcW w:w="2222" w:type="dxa"/>
          </w:tcPr>
          <w:p w14:paraId="33B27DEA" w14:textId="77777777" w:rsidR="00E157AE" w:rsidRPr="008A57D0" w:rsidRDefault="00E157AE" w:rsidP="0079009B">
            <w:pPr>
              <w:pStyle w:val="NormalWeb"/>
              <w:spacing w:line="276" w:lineRule="auto"/>
              <w:rPr>
                <w:b/>
                <w:bCs/>
                <w:szCs w:val="20"/>
              </w:rPr>
            </w:pPr>
            <w:r w:rsidRPr="008A57D0">
              <w:rPr>
                <w:szCs w:val="20"/>
              </w:rPr>
              <w:t>0.13                                                                   (0.042, 1.41)</w:t>
            </w:r>
          </w:p>
        </w:tc>
      </w:tr>
      <w:tr w:rsidR="00E157AE" w14:paraId="0B7F4BE5" w14:textId="77777777" w:rsidTr="0079009B">
        <w:tc>
          <w:tcPr>
            <w:tcW w:w="883" w:type="dxa"/>
          </w:tcPr>
          <w:p w14:paraId="3457B033" w14:textId="77777777" w:rsidR="00E157AE" w:rsidRPr="008A57D0" w:rsidRDefault="00E157AE" w:rsidP="0079009B">
            <w:pPr>
              <w:pStyle w:val="NormalWeb"/>
              <w:spacing w:line="276" w:lineRule="auto"/>
              <w:rPr>
                <w:b/>
                <w:bCs/>
                <w:szCs w:val="20"/>
              </w:rPr>
            </w:pPr>
            <w:proofErr w:type="spellStart"/>
            <w:r w:rsidRPr="008A57D0">
              <w:rPr>
                <w:szCs w:val="20"/>
              </w:rPr>
              <w:t>DaR</w:t>
            </w:r>
            <w:proofErr w:type="spellEnd"/>
          </w:p>
        </w:tc>
        <w:tc>
          <w:tcPr>
            <w:tcW w:w="1811" w:type="dxa"/>
          </w:tcPr>
          <w:p w14:paraId="230F721D" w14:textId="77777777" w:rsidR="00E157AE" w:rsidRPr="008A57D0" w:rsidRDefault="00E157AE" w:rsidP="0079009B">
            <w:pPr>
              <w:pStyle w:val="NormalWeb"/>
              <w:spacing w:line="276" w:lineRule="auto"/>
              <w:rPr>
                <w:b/>
                <w:bCs/>
                <w:szCs w:val="20"/>
              </w:rPr>
            </w:pPr>
            <w:r w:rsidRPr="008A57D0">
              <w:rPr>
                <w:szCs w:val="20"/>
              </w:rPr>
              <w:t>75</w:t>
            </w:r>
            <w:r>
              <w:rPr>
                <w:szCs w:val="20"/>
              </w:rPr>
              <w:t>,</w:t>
            </w:r>
            <w:r w:rsidRPr="008A57D0">
              <w:rPr>
                <w:szCs w:val="20"/>
              </w:rPr>
              <w:t>471                                             (20</w:t>
            </w:r>
            <w:r>
              <w:rPr>
                <w:szCs w:val="20"/>
              </w:rPr>
              <w:t>,</w:t>
            </w:r>
            <w:r w:rsidRPr="008A57D0">
              <w:rPr>
                <w:szCs w:val="20"/>
              </w:rPr>
              <w:t>720</w:t>
            </w:r>
            <w:r>
              <w:rPr>
                <w:szCs w:val="20"/>
              </w:rPr>
              <w:t xml:space="preserve"> - </w:t>
            </w:r>
            <w:r w:rsidRPr="008A57D0">
              <w:rPr>
                <w:szCs w:val="20"/>
              </w:rPr>
              <w:t>283</w:t>
            </w:r>
            <w:r>
              <w:rPr>
                <w:szCs w:val="20"/>
              </w:rPr>
              <w:t>,</w:t>
            </w:r>
            <w:r w:rsidRPr="008A57D0">
              <w:rPr>
                <w:szCs w:val="20"/>
              </w:rPr>
              <w:t>972)</w:t>
            </w:r>
          </w:p>
        </w:tc>
        <w:tc>
          <w:tcPr>
            <w:tcW w:w="2126" w:type="dxa"/>
          </w:tcPr>
          <w:p w14:paraId="2299975B" w14:textId="77777777" w:rsidR="00E157AE" w:rsidRPr="008A57D0" w:rsidRDefault="00E157AE" w:rsidP="0079009B">
            <w:pPr>
              <w:pStyle w:val="NormalWeb"/>
              <w:spacing w:line="276" w:lineRule="auto"/>
              <w:rPr>
                <w:b/>
                <w:bCs/>
                <w:szCs w:val="20"/>
              </w:rPr>
            </w:pPr>
            <w:r w:rsidRPr="008A57D0">
              <w:rPr>
                <w:szCs w:val="20"/>
              </w:rPr>
              <w:t>0.23                                                                   (0.05, 1.91)</w:t>
            </w:r>
          </w:p>
        </w:tc>
        <w:tc>
          <w:tcPr>
            <w:tcW w:w="1984" w:type="dxa"/>
            <w:gridSpan w:val="2"/>
          </w:tcPr>
          <w:p w14:paraId="79504935" w14:textId="77777777" w:rsidR="00E157AE" w:rsidRPr="008A57D0" w:rsidRDefault="00E157AE" w:rsidP="0079009B">
            <w:pPr>
              <w:pStyle w:val="NormalWeb"/>
              <w:spacing w:line="276" w:lineRule="auto"/>
              <w:rPr>
                <w:b/>
                <w:bCs/>
                <w:szCs w:val="20"/>
              </w:rPr>
            </w:pPr>
            <w:r w:rsidRPr="008A57D0">
              <w:rPr>
                <w:szCs w:val="20"/>
              </w:rPr>
              <w:t>853</w:t>
            </w:r>
            <w:r>
              <w:rPr>
                <w:szCs w:val="20"/>
              </w:rPr>
              <w:t>,</w:t>
            </w:r>
            <w:r w:rsidRPr="008A57D0">
              <w:rPr>
                <w:szCs w:val="20"/>
              </w:rPr>
              <w:t>239                                              (332</w:t>
            </w:r>
            <w:r>
              <w:rPr>
                <w:szCs w:val="20"/>
              </w:rPr>
              <w:t>,</w:t>
            </w:r>
            <w:r w:rsidRPr="008A57D0">
              <w:rPr>
                <w:szCs w:val="20"/>
              </w:rPr>
              <w:t>906</w:t>
            </w:r>
            <w:r>
              <w:rPr>
                <w:szCs w:val="20"/>
              </w:rPr>
              <w:t xml:space="preserve"> - </w:t>
            </w:r>
            <w:r w:rsidRPr="008A57D0">
              <w:rPr>
                <w:szCs w:val="20"/>
              </w:rPr>
              <w:t>2</w:t>
            </w:r>
            <w:r>
              <w:rPr>
                <w:szCs w:val="20"/>
              </w:rPr>
              <w:t>,</w:t>
            </w:r>
            <w:r w:rsidRPr="008A57D0">
              <w:rPr>
                <w:szCs w:val="20"/>
              </w:rPr>
              <w:t>208</w:t>
            </w:r>
            <w:r>
              <w:rPr>
                <w:szCs w:val="20"/>
              </w:rPr>
              <w:t>,</w:t>
            </w:r>
            <w:r w:rsidRPr="008A57D0">
              <w:rPr>
                <w:szCs w:val="20"/>
              </w:rPr>
              <w:t>156)</w:t>
            </w:r>
          </w:p>
        </w:tc>
        <w:tc>
          <w:tcPr>
            <w:tcW w:w="2222" w:type="dxa"/>
          </w:tcPr>
          <w:p w14:paraId="18157D94" w14:textId="77777777" w:rsidR="00E157AE" w:rsidRPr="008A57D0" w:rsidRDefault="00E157AE" w:rsidP="0079009B">
            <w:pPr>
              <w:pStyle w:val="NormalWeb"/>
              <w:spacing w:line="276" w:lineRule="auto"/>
              <w:rPr>
                <w:b/>
                <w:bCs/>
                <w:szCs w:val="20"/>
              </w:rPr>
            </w:pPr>
            <w:r w:rsidRPr="008A57D0">
              <w:rPr>
                <w:szCs w:val="20"/>
              </w:rPr>
              <w:t>0.65                                                                    (0.20, 4.21)</w:t>
            </w:r>
          </w:p>
        </w:tc>
      </w:tr>
    </w:tbl>
    <w:p w14:paraId="19B1E842" w14:textId="77777777" w:rsidR="00E157AE" w:rsidRDefault="00E157AE" w:rsidP="00563E86">
      <w:pPr>
        <w:pStyle w:val="NormalWeb"/>
        <w:spacing w:line="276" w:lineRule="auto"/>
        <w:jc w:val="both"/>
        <w:rPr>
          <w:sz w:val="20"/>
          <w:szCs w:val="20"/>
        </w:rPr>
        <w:sectPr w:rsidR="00E157AE" w:rsidSect="00E157AE">
          <w:pgSz w:w="11906" w:h="16838"/>
          <w:pgMar w:top="1440" w:right="1440" w:bottom="1440" w:left="1440" w:header="709" w:footer="709" w:gutter="0"/>
          <w:cols w:space="708"/>
          <w:docGrid w:linePitch="360"/>
        </w:sectPr>
      </w:pPr>
    </w:p>
    <w:p w14:paraId="2A187E23" w14:textId="42C0A2CB" w:rsidR="00EB1EE7" w:rsidRDefault="00EB1EE7" w:rsidP="00563E86">
      <w:pPr>
        <w:pStyle w:val="NormalWeb"/>
        <w:spacing w:line="276" w:lineRule="auto"/>
        <w:jc w:val="both"/>
        <w:rPr>
          <w:sz w:val="20"/>
          <w:szCs w:val="20"/>
        </w:rPr>
      </w:pPr>
    </w:p>
    <w:tbl>
      <w:tblPr>
        <w:tblStyle w:val="TableGrid"/>
        <w:tblW w:w="0" w:type="auto"/>
        <w:tblLook w:val="04A0" w:firstRow="1" w:lastRow="0" w:firstColumn="1" w:lastColumn="0" w:noHBand="0" w:noVBand="1"/>
      </w:tblPr>
      <w:tblGrid>
        <w:gridCol w:w="883"/>
        <w:gridCol w:w="1811"/>
        <w:gridCol w:w="1559"/>
        <w:gridCol w:w="1559"/>
        <w:gridCol w:w="1559"/>
        <w:gridCol w:w="1843"/>
        <w:gridCol w:w="1559"/>
        <w:gridCol w:w="1276"/>
        <w:gridCol w:w="1909"/>
      </w:tblGrid>
      <w:tr w:rsidR="00EB1EE7" w14:paraId="7B5D446C" w14:textId="77777777" w:rsidTr="007A7A80">
        <w:tc>
          <w:tcPr>
            <w:tcW w:w="883" w:type="dxa"/>
            <w:tcBorders>
              <w:top w:val="single" w:sz="4" w:space="0" w:color="auto"/>
              <w:bottom w:val="nil"/>
            </w:tcBorders>
          </w:tcPr>
          <w:p w14:paraId="3AFDAA4D" w14:textId="77777777" w:rsidR="00EB1EE7" w:rsidRPr="00EB1EE7" w:rsidRDefault="00EB1EE7" w:rsidP="00EB1EE7">
            <w:pPr>
              <w:pStyle w:val="NormalWeb"/>
              <w:spacing w:line="276" w:lineRule="auto"/>
              <w:rPr>
                <w:b/>
                <w:bCs/>
                <w:szCs w:val="20"/>
              </w:rPr>
            </w:pPr>
          </w:p>
        </w:tc>
        <w:tc>
          <w:tcPr>
            <w:tcW w:w="6488" w:type="dxa"/>
            <w:gridSpan w:val="4"/>
            <w:tcBorders>
              <w:top w:val="single" w:sz="4" w:space="0" w:color="auto"/>
              <w:bottom w:val="nil"/>
            </w:tcBorders>
          </w:tcPr>
          <w:p w14:paraId="2FB2B4A6" w14:textId="2142AE13" w:rsidR="00EB1EE7" w:rsidRPr="00EB1EE7" w:rsidRDefault="00EB1EE7" w:rsidP="00EB1EE7">
            <w:pPr>
              <w:pStyle w:val="NormalWeb"/>
              <w:spacing w:line="276" w:lineRule="auto"/>
              <w:rPr>
                <w:szCs w:val="20"/>
              </w:rPr>
            </w:pPr>
            <w:r w:rsidRPr="00EB1EE7">
              <w:rPr>
                <w:szCs w:val="20"/>
              </w:rPr>
              <w:t>Singapore (main scenario)</w:t>
            </w:r>
          </w:p>
        </w:tc>
        <w:tc>
          <w:tcPr>
            <w:tcW w:w="6587" w:type="dxa"/>
            <w:gridSpan w:val="4"/>
            <w:tcBorders>
              <w:top w:val="single" w:sz="4" w:space="0" w:color="auto"/>
              <w:bottom w:val="nil"/>
            </w:tcBorders>
          </w:tcPr>
          <w:p w14:paraId="3D6C35EB" w14:textId="4B648DFF" w:rsidR="00EB1EE7" w:rsidRPr="00EB1EE7" w:rsidRDefault="00EB1EE7" w:rsidP="00EB1EE7">
            <w:pPr>
              <w:pStyle w:val="NormalWeb"/>
              <w:spacing w:line="276" w:lineRule="auto"/>
              <w:rPr>
                <w:szCs w:val="20"/>
              </w:rPr>
            </w:pPr>
            <w:r w:rsidRPr="00EB1EE7">
              <w:rPr>
                <w:szCs w:val="20"/>
              </w:rPr>
              <w:t>England</w:t>
            </w:r>
          </w:p>
        </w:tc>
      </w:tr>
      <w:tr w:rsidR="00EB1EE7" w14:paraId="580B8EA8" w14:textId="77777777" w:rsidTr="007A7A80">
        <w:tc>
          <w:tcPr>
            <w:tcW w:w="883" w:type="dxa"/>
            <w:tcBorders>
              <w:top w:val="nil"/>
              <w:bottom w:val="single" w:sz="4" w:space="0" w:color="auto"/>
            </w:tcBorders>
          </w:tcPr>
          <w:p w14:paraId="15FCA435" w14:textId="77777777" w:rsidR="00EB1EE7" w:rsidRPr="00EB1EE7" w:rsidRDefault="00EB1EE7" w:rsidP="00EB1EE7">
            <w:pPr>
              <w:pStyle w:val="NormalWeb"/>
              <w:spacing w:line="276" w:lineRule="auto"/>
              <w:rPr>
                <w:b/>
                <w:bCs/>
                <w:szCs w:val="20"/>
              </w:rPr>
            </w:pPr>
          </w:p>
        </w:tc>
        <w:tc>
          <w:tcPr>
            <w:tcW w:w="1811" w:type="dxa"/>
            <w:tcBorders>
              <w:top w:val="nil"/>
              <w:bottom w:val="single" w:sz="4" w:space="0" w:color="auto"/>
            </w:tcBorders>
          </w:tcPr>
          <w:p w14:paraId="183437C2" w14:textId="7601ED35" w:rsidR="00EB1EE7" w:rsidRPr="00EB1EE7" w:rsidRDefault="00EB1EE7" w:rsidP="00EB1EE7">
            <w:pPr>
              <w:pStyle w:val="NormalWeb"/>
              <w:spacing w:line="276" w:lineRule="auto"/>
              <w:rPr>
                <w:b/>
                <w:bCs/>
                <w:szCs w:val="20"/>
              </w:rPr>
            </w:pPr>
            <w:r w:rsidRPr="00EB1EE7">
              <w:rPr>
                <w:szCs w:val="20"/>
                <w:lang w:val="en-US"/>
              </w:rPr>
              <w:t>Primary stage</w:t>
            </w:r>
          </w:p>
        </w:tc>
        <w:tc>
          <w:tcPr>
            <w:tcW w:w="1559" w:type="dxa"/>
            <w:tcBorders>
              <w:top w:val="nil"/>
              <w:bottom w:val="single" w:sz="4" w:space="0" w:color="auto"/>
            </w:tcBorders>
          </w:tcPr>
          <w:p w14:paraId="264BD14A" w14:textId="240301E8" w:rsidR="00EB1EE7" w:rsidRPr="00EB1EE7" w:rsidRDefault="00EB1EE7" w:rsidP="00EB1EE7">
            <w:pPr>
              <w:pStyle w:val="NormalWeb"/>
              <w:spacing w:line="276" w:lineRule="auto"/>
              <w:rPr>
                <w:b/>
                <w:bCs/>
                <w:szCs w:val="20"/>
              </w:rPr>
            </w:pPr>
            <w:r w:rsidRPr="00EB1EE7">
              <w:rPr>
                <w:szCs w:val="20"/>
                <w:lang w:val="en-US"/>
              </w:rPr>
              <w:t>Secondary stage</w:t>
            </w:r>
          </w:p>
        </w:tc>
        <w:tc>
          <w:tcPr>
            <w:tcW w:w="1559" w:type="dxa"/>
            <w:tcBorders>
              <w:top w:val="nil"/>
              <w:bottom w:val="single" w:sz="4" w:space="0" w:color="auto"/>
            </w:tcBorders>
          </w:tcPr>
          <w:p w14:paraId="45A8C61F" w14:textId="5A4A4558" w:rsidR="00EB1EE7" w:rsidRPr="00EB1EE7" w:rsidRDefault="00EB1EE7" w:rsidP="00EB1EE7">
            <w:pPr>
              <w:pStyle w:val="NormalWeb"/>
              <w:spacing w:line="276" w:lineRule="auto"/>
              <w:rPr>
                <w:b/>
                <w:bCs/>
                <w:szCs w:val="20"/>
              </w:rPr>
            </w:pPr>
            <w:r w:rsidRPr="00EB1EE7">
              <w:rPr>
                <w:szCs w:val="20"/>
                <w:lang w:val="en-US"/>
              </w:rPr>
              <w:t>Other stages</w:t>
            </w:r>
          </w:p>
        </w:tc>
        <w:tc>
          <w:tcPr>
            <w:tcW w:w="1559" w:type="dxa"/>
            <w:tcBorders>
              <w:top w:val="nil"/>
              <w:bottom w:val="single" w:sz="4" w:space="0" w:color="auto"/>
            </w:tcBorders>
          </w:tcPr>
          <w:p w14:paraId="76C55C9D" w14:textId="36841602" w:rsidR="00EB1EE7" w:rsidRPr="00EB1EE7" w:rsidRDefault="00EB1EE7" w:rsidP="00EB1EE7">
            <w:pPr>
              <w:pStyle w:val="NormalWeb"/>
              <w:spacing w:line="276" w:lineRule="auto"/>
              <w:rPr>
                <w:b/>
                <w:bCs/>
                <w:szCs w:val="20"/>
              </w:rPr>
            </w:pPr>
            <w:r w:rsidRPr="00EB1EE7">
              <w:rPr>
                <w:szCs w:val="20"/>
                <w:lang w:val="en-US"/>
              </w:rPr>
              <w:t>Diagnosed</w:t>
            </w:r>
          </w:p>
        </w:tc>
        <w:tc>
          <w:tcPr>
            <w:tcW w:w="1843" w:type="dxa"/>
            <w:tcBorders>
              <w:top w:val="nil"/>
              <w:bottom w:val="single" w:sz="4" w:space="0" w:color="auto"/>
            </w:tcBorders>
          </w:tcPr>
          <w:p w14:paraId="0C7EEC93" w14:textId="47CD1EA0" w:rsidR="00EB1EE7" w:rsidRPr="00EB1EE7" w:rsidRDefault="00EB1EE7" w:rsidP="00EB1EE7">
            <w:pPr>
              <w:pStyle w:val="NormalWeb"/>
              <w:spacing w:line="276" w:lineRule="auto"/>
              <w:rPr>
                <w:b/>
                <w:bCs/>
                <w:szCs w:val="20"/>
              </w:rPr>
            </w:pPr>
            <w:r w:rsidRPr="00EB1EE7">
              <w:rPr>
                <w:szCs w:val="20"/>
                <w:lang w:val="en-US"/>
              </w:rPr>
              <w:t>Primary stage</w:t>
            </w:r>
          </w:p>
        </w:tc>
        <w:tc>
          <w:tcPr>
            <w:tcW w:w="1559" w:type="dxa"/>
            <w:tcBorders>
              <w:top w:val="nil"/>
              <w:bottom w:val="single" w:sz="4" w:space="0" w:color="auto"/>
            </w:tcBorders>
          </w:tcPr>
          <w:p w14:paraId="7C466857" w14:textId="231CB65F" w:rsidR="00EB1EE7" w:rsidRPr="00EB1EE7" w:rsidRDefault="00EB1EE7" w:rsidP="00EB1EE7">
            <w:pPr>
              <w:pStyle w:val="NormalWeb"/>
              <w:spacing w:line="276" w:lineRule="auto"/>
              <w:rPr>
                <w:b/>
                <w:bCs/>
                <w:szCs w:val="20"/>
              </w:rPr>
            </w:pPr>
            <w:r w:rsidRPr="00EB1EE7">
              <w:rPr>
                <w:szCs w:val="20"/>
                <w:lang w:val="en-US"/>
              </w:rPr>
              <w:t>Secondary stage</w:t>
            </w:r>
          </w:p>
        </w:tc>
        <w:tc>
          <w:tcPr>
            <w:tcW w:w="1276" w:type="dxa"/>
            <w:tcBorders>
              <w:top w:val="nil"/>
              <w:bottom w:val="single" w:sz="4" w:space="0" w:color="auto"/>
            </w:tcBorders>
          </w:tcPr>
          <w:p w14:paraId="341DC080" w14:textId="1F8D109D" w:rsidR="00EB1EE7" w:rsidRPr="00EB1EE7" w:rsidRDefault="00EB1EE7" w:rsidP="00EB1EE7">
            <w:pPr>
              <w:pStyle w:val="NormalWeb"/>
              <w:spacing w:line="276" w:lineRule="auto"/>
              <w:rPr>
                <w:b/>
                <w:bCs/>
                <w:szCs w:val="20"/>
              </w:rPr>
            </w:pPr>
            <w:r w:rsidRPr="00EB1EE7">
              <w:rPr>
                <w:szCs w:val="20"/>
                <w:lang w:val="en-US"/>
              </w:rPr>
              <w:t>Other stages</w:t>
            </w:r>
          </w:p>
        </w:tc>
        <w:tc>
          <w:tcPr>
            <w:tcW w:w="1909" w:type="dxa"/>
            <w:tcBorders>
              <w:top w:val="nil"/>
              <w:bottom w:val="single" w:sz="4" w:space="0" w:color="auto"/>
            </w:tcBorders>
          </w:tcPr>
          <w:p w14:paraId="746EC1BE" w14:textId="01C3100F" w:rsidR="00EB1EE7" w:rsidRPr="00EB1EE7" w:rsidRDefault="00EB1EE7" w:rsidP="00EB1EE7">
            <w:pPr>
              <w:pStyle w:val="NormalWeb"/>
              <w:spacing w:line="276" w:lineRule="auto"/>
              <w:rPr>
                <w:b/>
                <w:bCs/>
                <w:szCs w:val="20"/>
              </w:rPr>
            </w:pPr>
            <w:r w:rsidRPr="00EB1EE7">
              <w:rPr>
                <w:szCs w:val="20"/>
                <w:lang w:val="en-US"/>
              </w:rPr>
              <w:t>Diagnosed</w:t>
            </w:r>
          </w:p>
        </w:tc>
      </w:tr>
      <w:tr w:rsidR="00EB1EE7" w14:paraId="481B4BDB" w14:textId="77777777" w:rsidTr="007A7A80">
        <w:tc>
          <w:tcPr>
            <w:tcW w:w="883" w:type="dxa"/>
            <w:tcBorders>
              <w:top w:val="single" w:sz="4" w:space="0" w:color="auto"/>
            </w:tcBorders>
          </w:tcPr>
          <w:p w14:paraId="4416CB16" w14:textId="4ACE6785" w:rsidR="00EB1EE7" w:rsidRPr="00EB1EE7" w:rsidRDefault="00EB1EE7" w:rsidP="00EB1EE7">
            <w:pPr>
              <w:pStyle w:val="NormalWeb"/>
              <w:spacing w:line="276" w:lineRule="auto"/>
              <w:rPr>
                <w:b/>
                <w:bCs/>
                <w:szCs w:val="20"/>
              </w:rPr>
            </w:pPr>
            <w:r w:rsidRPr="00EB1EE7">
              <w:rPr>
                <w:szCs w:val="20"/>
              </w:rPr>
              <w:t>DbE</w:t>
            </w:r>
          </w:p>
        </w:tc>
        <w:tc>
          <w:tcPr>
            <w:tcW w:w="1811" w:type="dxa"/>
            <w:tcBorders>
              <w:top w:val="single" w:sz="4" w:space="0" w:color="auto"/>
            </w:tcBorders>
          </w:tcPr>
          <w:p w14:paraId="3979DB64" w14:textId="037FA15B" w:rsidR="00EB1EE7" w:rsidRPr="00EB1EE7" w:rsidRDefault="00EB1EE7" w:rsidP="00EB1EE7">
            <w:pPr>
              <w:pStyle w:val="NormalWeb"/>
              <w:spacing w:line="276" w:lineRule="auto"/>
              <w:rPr>
                <w:b/>
                <w:bCs/>
                <w:szCs w:val="20"/>
              </w:rPr>
            </w:pPr>
            <w:r w:rsidRPr="00EB1EE7">
              <w:rPr>
                <w:szCs w:val="20"/>
              </w:rPr>
              <w:t>7</w:t>
            </w:r>
            <w:r w:rsidR="009A5193">
              <w:rPr>
                <w:szCs w:val="20"/>
              </w:rPr>
              <w:t>,</w:t>
            </w:r>
            <w:r w:rsidRPr="00EB1EE7">
              <w:rPr>
                <w:szCs w:val="20"/>
              </w:rPr>
              <w:t xml:space="preserve">359      </w:t>
            </w:r>
            <w:r>
              <w:rPr>
                <w:szCs w:val="20"/>
              </w:rPr>
              <w:t xml:space="preserve">        </w:t>
            </w:r>
            <w:r w:rsidRPr="00EB1EE7">
              <w:rPr>
                <w:szCs w:val="20"/>
              </w:rPr>
              <w:t xml:space="preserve">   (1</w:t>
            </w:r>
            <w:r w:rsidR="009A5193">
              <w:rPr>
                <w:szCs w:val="20"/>
              </w:rPr>
              <w:t>,</w:t>
            </w:r>
            <w:r w:rsidRPr="00EB1EE7">
              <w:rPr>
                <w:szCs w:val="20"/>
              </w:rPr>
              <w:t>627</w:t>
            </w:r>
            <w:r w:rsidR="009A5193">
              <w:rPr>
                <w:szCs w:val="20"/>
              </w:rPr>
              <w:t xml:space="preserve"> - </w:t>
            </w:r>
            <w:r w:rsidRPr="00EB1EE7">
              <w:rPr>
                <w:szCs w:val="20"/>
              </w:rPr>
              <w:t>17</w:t>
            </w:r>
            <w:r w:rsidR="009A5193">
              <w:rPr>
                <w:szCs w:val="20"/>
              </w:rPr>
              <w:t>,</w:t>
            </w:r>
            <w:r w:rsidRPr="00EB1EE7">
              <w:rPr>
                <w:szCs w:val="20"/>
              </w:rPr>
              <w:t>176)</w:t>
            </w:r>
          </w:p>
        </w:tc>
        <w:tc>
          <w:tcPr>
            <w:tcW w:w="1559" w:type="dxa"/>
            <w:tcBorders>
              <w:top w:val="single" w:sz="4" w:space="0" w:color="auto"/>
            </w:tcBorders>
          </w:tcPr>
          <w:p w14:paraId="12E26159" w14:textId="3212876E" w:rsidR="00EB1EE7" w:rsidRPr="00EB1EE7" w:rsidRDefault="00EB1EE7" w:rsidP="00EB1EE7">
            <w:pPr>
              <w:pStyle w:val="NormalWeb"/>
              <w:spacing w:line="276" w:lineRule="auto"/>
              <w:rPr>
                <w:b/>
                <w:bCs/>
                <w:szCs w:val="20"/>
              </w:rPr>
            </w:pPr>
            <w:r w:rsidRPr="00EB1EE7">
              <w:rPr>
                <w:szCs w:val="20"/>
              </w:rPr>
              <w:t xml:space="preserve">339       </w:t>
            </w:r>
            <w:r>
              <w:rPr>
                <w:szCs w:val="20"/>
              </w:rPr>
              <w:t xml:space="preserve">       </w:t>
            </w:r>
            <w:r w:rsidRPr="00EB1EE7">
              <w:rPr>
                <w:szCs w:val="20"/>
              </w:rPr>
              <w:t xml:space="preserve">    (51</w:t>
            </w:r>
            <w:r w:rsidR="009A5193">
              <w:rPr>
                <w:szCs w:val="20"/>
              </w:rPr>
              <w:t xml:space="preserve"> - </w:t>
            </w:r>
            <w:r w:rsidRPr="00EB1EE7">
              <w:rPr>
                <w:szCs w:val="20"/>
              </w:rPr>
              <w:t>796)</w:t>
            </w:r>
          </w:p>
        </w:tc>
        <w:tc>
          <w:tcPr>
            <w:tcW w:w="1559" w:type="dxa"/>
            <w:tcBorders>
              <w:top w:val="single" w:sz="4" w:space="0" w:color="auto"/>
            </w:tcBorders>
          </w:tcPr>
          <w:p w14:paraId="11BD5AE4" w14:textId="12387302" w:rsidR="00EB1EE7" w:rsidRPr="00EB1EE7" w:rsidRDefault="00EB1EE7" w:rsidP="00EB1EE7">
            <w:pPr>
              <w:pStyle w:val="NormalWeb"/>
              <w:spacing w:line="276" w:lineRule="auto"/>
              <w:rPr>
                <w:b/>
                <w:bCs/>
                <w:szCs w:val="20"/>
              </w:rPr>
            </w:pPr>
            <w:r w:rsidRPr="00EB1EE7">
              <w:rPr>
                <w:szCs w:val="20"/>
              </w:rPr>
              <w:t xml:space="preserve">3         </w:t>
            </w:r>
            <w:r>
              <w:rPr>
                <w:szCs w:val="20"/>
              </w:rPr>
              <w:t xml:space="preserve">                    </w:t>
            </w:r>
            <w:r w:rsidRPr="00EB1EE7">
              <w:rPr>
                <w:szCs w:val="20"/>
              </w:rPr>
              <w:t xml:space="preserve">   (0, 42)</w:t>
            </w:r>
          </w:p>
        </w:tc>
        <w:tc>
          <w:tcPr>
            <w:tcW w:w="1559" w:type="dxa"/>
            <w:tcBorders>
              <w:top w:val="single" w:sz="4" w:space="0" w:color="auto"/>
            </w:tcBorders>
          </w:tcPr>
          <w:p w14:paraId="2854A237" w14:textId="091240B9" w:rsidR="00EB1EE7" w:rsidRPr="00EB1EE7" w:rsidRDefault="00EB1EE7" w:rsidP="00EB1EE7">
            <w:pPr>
              <w:pStyle w:val="NormalWeb"/>
              <w:spacing w:line="276" w:lineRule="auto"/>
              <w:rPr>
                <w:b/>
                <w:bCs/>
                <w:szCs w:val="20"/>
              </w:rPr>
            </w:pPr>
            <w:r w:rsidRPr="00EB1EE7">
              <w:rPr>
                <w:szCs w:val="20"/>
              </w:rPr>
              <w:t>7</w:t>
            </w:r>
            <w:r w:rsidR="007A7A80">
              <w:rPr>
                <w:szCs w:val="20"/>
              </w:rPr>
              <w:t>,</w:t>
            </w:r>
            <w:r w:rsidRPr="00EB1EE7">
              <w:rPr>
                <w:szCs w:val="20"/>
              </w:rPr>
              <w:t>287            (1</w:t>
            </w:r>
            <w:r w:rsidR="007A7A80">
              <w:rPr>
                <w:szCs w:val="20"/>
              </w:rPr>
              <w:t>,</w:t>
            </w:r>
            <w:r w:rsidRPr="00EB1EE7">
              <w:rPr>
                <w:szCs w:val="20"/>
              </w:rPr>
              <w:t>615</w:t>
            </w:r>
            <w:r w:rsidR="007A7A80">
              <w:rPr>
                <w:szCs w:val="20"/>
              </w:rPr>
              <w:t xml:space="preserve"> - </w:t>
            </w:r>
            <w:r w:rsidRPr="00EB1EE7">
              <w:rPr>
                <w:szCs w:val="20"/>
              </w:rPr>
              <w:t>19</w:t>
            </w:r>
            <w:r w:rsidR="007A7A80">
              <w:rPr>
                <w:szCs w:val="20"/>
              </w:rPr>
              <w:t>,</w:t>
            </w:r>
            <w:r w:rsidRPr="00EB1EE7">
              <w:rPr>
                <w:szCs w:val="20"/>
              </w:rPr>
              <w:t>049)</w:t>
            </w:r>
          </w:p>
        </w:tc>
        <w:tc>
          <w:tcPr>
            <w:tcW w:w="1843" w:type="dxa"/>
            <w:tcBorders>
              <w:top w:val="single" w:sz="4" w:space="0" w:color="auto"/>
            </w:tcBorders>
          </w:tcPr>
          <w:p w14:paraId="51DFD319" w14:textId="5EBA4827" w:rsidR="00EB1EE7" w:rsidRPr="00EB1EE7" w:rsidRDefault="00EB1EE7" w:rsidP="00EB1EE7">
            <w:pPr>
              <w:pStyle w:val="NormalWeb"/>
              <w:spacing w:line="276" w:lineRule="auto"/>
              <w:rPr>
                <w:b/>
                <w:bCs/>
                <w:szCs w:val="20"/>
              </w:rPr>
            </w:pPr>
            <w:r w:rsidRPr="00EB1EE7">
              <w:rPr>
                <w:szCs w:val="20"/>
              </w:rPr>
              <w:t>44</w:t>
            </w:r>
            <w:r w:rsidR="007A7A80">
              <w:rPr>
                <w:szCs w:val="20"/>
              </w:rPr>
              <w:t>,</w:t>
            </w:r>
            <w:r w:rsidRPr="00EB1EE7">
              <w:rPr>
                <w:szCs w:val="20"/>
              </w:rPr>
              <w:t>362               (20</w:t>
            </w:r>
            <w:r w:rsidR="007A7A80">
              <w:rPr>
                <w:szCs w:val="20"/>
              </w:rPr>
              <w:t>,</w:t>
            </w:r>
            <w:r w:rsidRPr="00EB1EE7">
              <w:rPr>
                <w:szCs w:val="20"/>
              </w:rPr>
              <w:t>473</w:t>
            </w:r>
            <w:r w:rsidR="007A7A80">
              <w:rPr>
                <w:szCs w:val="20"/>
              </w:rPr>
              <w:t xml:space="preserve"> - </w:t>
            </w:r>
            <w:r w:rsidRPr="00EB1EE7">
              <w:rPr>
                <w:szCs w:val="20"/>
              </w:rPr>
              <w:t>74</w:t>
            </w:r>
            <w:r w:rsidR="007A7A80">
              <w:rPr>
                <w:szCs w:val="20"/>
              </w:rPr>
              <w:t>,</w:t>
            </w:r>
            <w:r w:rsidRPr="00EB1EE7">
              <w:rPr>
                <w:szCs w:val="20"/>
              </w:rPr>
              <w:t>567)</w:t>
            </w:r>
          </w:p>
        </w:tc>
        <w:tc>
          <w:tcPr>
            <w:tcW w:w="1559" w:type="dxa"/>
            <w:tcBorders>
              <w:top w:val="single" w:sz="4" w:space="0" w:color="auto"/>
            </w:tcBorders>
          </w:tcPr>
          <w:p w14:paraId="12B24BFD" w14:textId="741F0ABD" w:rsidR="00EB1EE7" w:rsidRPr="00EB1EE7" w:rsidRDefault="00EB1EE7" w:rsidP="00EB1EE7">
            <w:pPr>
              <w:pStyle w:val="NormalWeb"/>
              <w:spacing w:line="276" w:lineRule="auto"/>
              <w:rPr>
                <w:b/>
                <w:bCs/>
                <w:szCs w:val="20"/>
              </w:rPr>
            </w:pPr>
            <w:r w:rsidRPr="00EB1EE7">
              <w:rPr>
                <w:szCs w:val="20"/>
              </w:rPr>
              <w:t>2</w:t>
            </w:r>
            <w:r w:rsidR="007A7A80">
              <w:rPr>
                <w:szCs w:val="20"/>
              </w:rPr>
              <w:t>,</w:t>
            </w:r>
            <w:r w:rsidRPr="00EB1EE7">
              <w:rPr>
                <w:szCs w:val="20"/>
              </w:rPr>
              <w:t>252                     (529</w:t>
            </w:r>
            <w:r w:rsidR="007A7A80">
              <w:rPr>
                <w:szCs w:val="20"/>
              </w:rPr>
              <w:t xml:space="preserve"> - </w:t>
            </w:r>
            <w:r w:rsidRPr="00EB1EE7">
              <w:rPr>
                <w:szCs w:val="20"/>
              </w:rPr>
              <w:t>7</w:t>
            </w:r>
            <w:r w:rsidR="007A7A80">
              <w:rPr>
                <w:szCs w:val="20"/>
              </w:rPr>
              <w:t>,</w:t>
            </w:r>
            <w:r w:rsidRPr="00EB1EE7">
              <w:rPr>
                <w:szCs w:val="20"/>
              </w:rPr>
              <w:t>811)</w:t>
            </w:r>
          </w:p>
        </w:tc>
        <w:tc>
          <w:tcPr>
            <w:tcW w:w="1276" w:type="dxa"/>
            <w:tcBorders>
              <w:top w:val="single" w:sz="4" w:space="0" w:color="auto"/>
            </w:tcBorders>
          </w:tcPr>
          <w:p w14:paraId="5D19DD95" w14:textId="7EB27A54" w:rsidR="00EB1EE7" w:rsidRPr="00EB1EE7" w:rsidRDefault="00EB1EE7" w:rsidP="00EB1EE7">
            <w:pPr>
              <w:pStyle w:val="NormalWeb"/>
              <w:spacing w:line="276" w:lineRule="auto"/>
              <w:rPr>
                <w:b/>
                <w:bCs/>
                <w:szCs w:val="20"/>
              </w:rPr>
            </w:pPr>
            <w:r w:rsidRPr="00EB1EE7">
              <w:rPr>
                <w:szCs w:val="20"/>
              </w:rPr>
              <w:t>25                          (2, 260)</w:t>
            </w:r>
          </w:p>
        </w:tc>
        <w:tc>
          <w:tcPr>
            <w:tcW w:w="1909" w:type="dxa"/>
            <w:tcBorders>
              <w:top w:val="single" w:sz="4" w:space="0" w:color="auto"/>
            </w:tcBorders>
          </w:tcPr>
          <w:p w14:paraId="44569191" w14:textId="4517FCA5" w:rsidR="00EB1EE7" w:rsidRPr="00EB1EE7" w:rsidRDefault="00EB1EE7" w:rsidP="00EB1EE7">
            <w:pPr>
              <w:pStyle w:val="NormalWeb"/>
              <w:spacing w:line="276" w:lineRule="auto"/>
              <w:rPr>
                <w:b/>
                <w:bCs/>
                <w:szCs w:val="20"/>
              </w:rPr>
            </w:pPr>
            <w:r w:rsidRPr="00EB1EE7">
              <w:rPr>
                <w:szCs w:val="20"/>
              </w:rPr>
              <w:t>43</w:t>
            </w:r>
            <w:r w:rsidR="007A7A80">
              <w:rPr>
                <w:szCs w:val="20"/>
              </w:rPr>
              <w:t>,</w:t>
            </w:r>
            <w:r w:rsidRPr="00EB1EE7">
              <w:rPr>
                <w:szCs w:val="20"/>
              </w:rPr>
              <w:t>995            (20</w:t>
            </w:r>
            <w:r w:rsidR="007A7A80">
              <w:rPr>
                <w:szCs w:val="20"/>
              </w:rPr>
              <w:t>,</w:t>
            </w:r>
            <w:r w:rsidRPr="00EB1EE7">
              <w:rPr>
                <w:szCs w:val="20"/>
              </w:rPr>
              <w:t>342</w:t>
            </w:r>
            <w:r w:rsidR="007A7A80">
              <w:rPr>
                <w:szCs w:val="20"/>
              </w:rPr>
              <w:t xml:space="preserve"> - </w:t>
            </w:r>
            <w:r w:rsidRPr="00EB1EE7">
              <w:rPr>
                <w:szCs w:val="20"/>
              </w:rPr>
              <w:t>74</w:t>
            </w:r>
            <w:r w:rsidR="007A7A80">
              <w:rPr>
                <w:szCs w:val="20"/>
              </w:rPr>
              <w:t>,</w:t>
            </w:r>
            <w:r w:rsidRPr="00EB1EE7">
              <w:rPr>
                <w:szCs w:val="20"/>
              </w:rPr>
              <w:t>223)</w:t>
            </w:r>
          </w:p>
        </w:tc>
      </w:tr>
      <w:tr w:rsidR="00EB1EE7" w14:paraId="1776922D" w14:textId="77777777" w:rsidTr="007A7A80">
        <w:tc>
          <w:tcPr>
            <w:tcW w:w="883" w:type="dxa"/>
          </w:tcPr>
          <w:p w14:paraId="5A39E4C7" w14:textId="6B66260A" w:rsidR="00EB1EE7" w:rsidRPr="00EB1EE7" w:rsidRDefault="00EB1EE7" w:rsidP="00EB1EE7">
            <w:pPr>
              <w:pStyle w:val="NormalWeb"/>
              <w:spacing w:line="276" w:lineRule="auto"/>
              <w:rPr>
                <w:b/>
                <w:bCs/>
                <w:szCs w:val="20"/>
              </w:rPr>
            </w:pPr>
            <w:r w:rsidRPr="00EB1EE7">
              <w:rPr>
                <w:szCs w:val="20"/>
              </w:rPr>
              <w:t>DoD(H)</w:t>
            </w:r>
          </w:p>
        </w:tc>
        <w:tc>
          <w:tcPr>
            <w:tcW w:w="1811" w:type="dxa"/>
          </w:tcPr>
          <w:p w14:paraId="7A0A866C" w14:textId="0A338980" w:rsidR="00EB1EE7" w:rsidRPr="00EB1EE7" w:rsidRDefault="00EB1EE7" w:rsidP="00EB1EE7">
            <w:pPr>
              <w:pStyle w:val="NormalWeb"/>
              <w:spacing w:line="276" w:lineRule="auto"/>
              <w:rPr>
                <w:b/>
                <w:bCs/>
                <w:szCs w:val="20"/>
              </w:rPr>
            </w:pPr>
            <w:r w:rsidRPr="00EB1EE7">
              <w:rPr>
                <w:szCs w:val="20"/>
              </w:rPr>
              <w:t>10</w:t>
            </w:r>
            <w:r w:rsidR="009A5193">
              <w:rPr>
                <w:szCs w:val="20"/>
              </w:rPr>
              <w:t>,</w:t>
            </w:r>
            <w:r w:rsidRPr="00EB1EE7">
              <w:rPr>
                <w:szCs w:val="20"/>
              </w:rPr>
              <w:t xml:space="preserve">073     </w:t>
            </w:r>
            <w:r>
              <w:rPr>
                <w:szCs w:val="20"/>
              </w:rPr>
              <w:t xml:space="preserve">       </w:t>
            </w:r>
            <w:r w:rsidRPr="00EB1EE7">
              <w:rPr>
                <w:szCs w:val="20"/>
              </w:rPr>
              <w:t xml:space="preserve">   (1</w:t>
            </w:r>
            <w:r w:rsidR="009A5193">
              <w:rPr>
                <w:szCs w:val="20"/>
              </w:rPr>
              <w:t>,</w:t>
            </w:r>
            <w:r w:rsidRPr="00EB1EE7">
              <w:rPr>
                <w:szCs w:val="20"/>
              </w:rPr>
              <w:t>149</w:t>
            </w:r>
            <w:r w:rsidR="009A5193">
              <w:rPr>
                <w:szCs w:val="20"/>
              </w:rPr>
              <w:t xml:space="preserve"> - </w:t>
            </w:r>
            <w:r w:rsidRPr="00EB1EE7">
              <w:rPr>
                <w:szCs w:val="20"/>
              </w:rPr>
              <w:t>53</w:t>
            </w:r>
            <w:r w:rsidR="009A5193">
              <w:rPr>
                <w:szCs w:val="20"/>
              </w:rPr>
              <w:t>,</w:t>
            </w:r>
            <w:r w:rsidRPr="00EB1EE7">
              <w:rPr>
                <w:szCs w:val="20"/>
              </w:rPr>
              <w:t>611)</w:t>
            </w:r>
          </w:p>
        </w:tc>
        <w:tc>
          <w:tcPr>
            <w:tcW w:w="1559" w:type="dxa"/>
          </w:tcPr>
          <w:p w14:paraId="00D3DF2A" w14:textId="2A5977D3" w:rsidR="00EB1EE7" w:rsidRPr="00EB1EE7" w:rsidRDefault="00EB1EE7" w:rsidP="00EB1EE7">
            <w:pPr>
              <w:pStyle w:val="NormalWeb"/>
              <w:spacing w:line="276" w:lineRule="auto"/>
              <w:rPr>
                <w:b/>
                <w:bCs/>
                <w:szCs w:val="20"/>
              </w:rPr>
            </w:pPr>
            <w:r w:rsidRPr="00EB1EE7">
              <w:rPr>
                <w:szCs w:val="20"/>
              </w:rPr>
              <w:t xml:space="preserve">472      </w:t>
            </w:r>
            <w:r>
              <w:rPr>
                <w:szCs w:val="20"/>
              </w:rPr>
              <w:t xml:space="preserve">       </w:t>
            </w:r>
            <w:r w:rsidRPr="00EB1EE7">
              <w:rPr>
                <w:szCs w:val="20"/>
              </w:rPr>
              <w:t xml:space="preserve">      (38</w:t>
            </w:r>
            <w:r w:rsidR="009A5193">
              <w:rPr>
                <w:szCs w:val="20"/>
              </w:rPr>
              <w:t xml:space="preserve"> - </w:t>
            </w:r>
            <w:r w:rsidRPr="00EB1EE7">
              <w:rPr>
                <w:szCs w:val="20"/>
              </w:rPr>
              <w:t>4044)</w:t>
            </w:r>
          </w:p>
        </w:tc>
        <w:tc>
          <w:tcPr>
            <w:tcW w:w="1559" w:type="dxa"/>
          </w:tcPr>
          <w:p w14:paraId="5B250062" w14:textId="149D1568" w:rsidR="00EB1EE7" w:rsidRPr="00EB1EE7" w:rsidRDefault="00EB1EE7" w:rsidP="00EB1EE7">
            <w:pPr>
              <w:pStyle w:val="NormalWeb"/>
              <w:spacing w:line="276" w:lineRule="auto"/>
              <w:rPr>
                <w:b/>
                <w:bCs/>
                <w:szCs w:val="20"/>
              </w:rPr>
            </w:pPr>
            <w:r w:rsidRPr="00EB1EE7">
              <w:rPr>
                <w:szCs w:val="20"/>
              </w:rPr>
              <w:t xml:space="preserve">5         </w:t>
            </w:r>
            <w:r>
              <w:rPr>
                <w:szCs w:val="20"/>
              </w:rPr>
              <w:t xml:space="preserve">                     </w:t>
            </w:r>
            <w:r w:rsidRPr="00EB1EE7">
              <w:rPr>
                <w:szCs w:val="20"/>
              </w:rPr>
              <w:t xml:space="preserve">   (0, 83)</w:t>
            </w:r>
          </w:p>
        </w:tc>
        <w:tc>
          <w:tcPr>
            <w:tcW w:w="1559" w:type="dxa"/>
          </w:tcPr>
          <w:p w14:paraId="358C9D4C" w14:textId="390A172B" w:rsidR="00EB1EE7" w:rsidRPr="00EB1EE7" w:rsidRDefault="00EB1EE7" w:rsidP="00EB1EE7">
            <w:pPr>
              <w:pStyle w:val="NormalWeb"/>
              <w:spacing w:line="276" w:lineRule="auto"/>
              <w:rPr>
                <w:b/>
                <w:bCs/>
                <w:szCs w:val="20"/>
              </w:rPr>
            </w:pPr>
            <w:r w:rsidRPr="00EB1EE7">
              <w:rPr>
                <w:szCs w:val="20"/>
              </w:rPr>
              <w:t>9</w:t>
            </w:r>
            <w:r w:rsidR="007A7A80">
              <w:rPr>
                <w:szCs w:val="20"/>
              </w:rPr>
              <w:t>,</w:t>
            </w:r>
            <w:r w:rsidRPr="00EB1EE7">
              <w:rPr>
                <w:szCs w:val="20"/>
              </w:rPr>
              <w:t>973            (1</w:t>
            </w:r>
            <w:r w:rsidR="007A7A80">
              <w:rPr>
                <w:szCs w:val="20"/>
              </w:rPr>
              <w:t>,</w:t>
            </w:r>
            <w:r w:rsidRPr="00EB1EE7">
              <w:rPr>
                <w:szCs w:val="20"/>
              </w:rPr>
              <w:t>140</w:t>
            </w:r>
            <w:r w:rsidR="007A7A80">
              <w:rPr>
                <w:szCs w:val="20"/>
              </w:rPr>
              <w:t xml:space="preserve"> - </w:t>
            </w:r>
            <w:r w:rsidRPr="00EB1EE7">
              <w:rPr>
                <w:szCs w:val="20"/>
              </w:rPr>
              <w:t>53</w:t>
            </w:r>
            <w:r w:rsidR="007A7A80">
              <w:rPr>
                <w:szCs w:val="20"/>
              </w:rPr>
              <w:t>,</w:t>
            </w:r>
            <w:r w:rsidRPr="00EB1EE7">
              <w:rPr>
                <w:szCs w:val="20"/>
              </w:rPr>
              <w:t>127)</w:t>
            </w:r>
          </w:p>
        </w:tc>
        <w:tc>
          <w:tcPr>
            <w:tcW w:w="1843" w:type="dxa"/>
          </w:tcPr>
          <w:p w14:paraId="6E7B4EEA" w14:textId="25A610DC" w:rsidR="00EB1EE7" w:rsidRPr="00EB1EE7" w:rsidRDefault="00EB1EE7" w:rsidP="00EB1EE7">
            <w:pPr>
              <w:pStyle w:val="NormalWeb"/>
              <w:spacing w:line="276" w:lineRule="auto"/>
              <w:rPr>
                <w:b/>
                <w:bCs/>
                <w:szCs w:val="20"/>
              </w:rPr>
            </w:pPr>
            <w:r w:rsidRPr="00EB1EE7">
              <w:rPr>
                <w:szCs w:val="20"/>
              </w:rPr>
              <w:t>164</w:t>
            </w:r>
            <w:r w:rsidR="007A7A80">
              <w:rPr>
                <w:szCs w:val="20"/>
              </w:rPr>
              <w:t>,</w:t>
            </w:r>
            <w:r w:rsidRPr="00EB1EE7">
              <w:rPr>
                <w:szCs w:val="20"/>
              </w:rPr>
              <w:t>808            (48</w:t>
            </w:r>
            <w:r w:rsidR="007A7A80">
              <w:rPr>
                <w:szCs w:val="20"/>
              </w:rPr>
              <w:t>,</w:t>
            </w:r>
            <w:r w:rsidRPr="00EB1EE7">
              <w:rPr>
                <w:szCs w:val="20"/>
              </w:rPr>
              <w:t>598</w:t>
            </w:r>
            <w:r w:rsidR="007A7A80">
              <w:rPr>
                <w:szCs w:val="20"/>
              </w:rPr>
              <w:t xml:space="preserve"> - </w:t>
            </w:r>
            <w:r w:rsidRPr="00EB1EE7">
              <w:rPr>
                <w:szCs w:val="20"/>
              </w:rPr>
              <w:t>506</w:t>
            </w:r>
            <w:r w:rsidR="007A7A80">
              <w:rPr>
                <w:szCs w:val="20"/>
              </w:rPr>
              <w:t>,</w:t>
            </w:r>
            <w:r w:rsidRPr="00EB1EE7">
              <w:rPr>
                <w:szCs w:val="20"/>
              </w:rPr>
              <w:t>959)</w:t>
            </w:r>
          </w:p>
        </w:tc>
        <w:tc>
          <w:tcPr>
            <w:tcW w:w="1559" w:type="dxa"/>
          </w:tcPr>
          <w:p w14:paraId="0B8F4CD7" w14:textId="0CB44E14" w:rsidR="00EB1EE7" w:rsidRPr="00EB1EE7" w:rsidRDefault="00EB1EE7" w:rsidP="00EB1EE7">
            <w:pPr>
              <w:pStyle w:val="NormalWeb"/>
              <w:spacing w:line="276" w:lineRule="auto"/>
              <w:rPr>
                <w:b/>
                <w:bCs/>
                <w:szCs w:val="20"/>
              </w:rPr>
            </w:pPr>
            <w:r w:rsidRPr="00EB1EE7">
              <w:rPr>
                <w:szCs w:val="20"/>
              </w:rPr>
              <w:t>8</w:t>
            </w:r>
            <w:r w:rsidR="007A7A80">
              <w:rPr>
                <w:szCs w:val="20"/>
              </w:rPr>
              <w:t>,</w:t>
            </w:r>
            <w:r w:rsidRPr="00EB1EE7">
              <w:rPr>
                <w:szCs w:val="20"/>
              </w:rPr>
              <w:t>395                      (1</w:t>
            </w:r>
            <w:r w:rsidR="007A7A80">
              <w:rPr>
                <w:szCs w:val="20"/>
              </w:rPr>
              <w:t>,</w:t>
            </w:r>
            <w:r w:rsidRPr="00EB1EE7">
              <w:rPr>
                <w:szCs w:val="20"/>
              </w:rPr>
              <w:t>337</w:t>
            </w:r>
            <w:r w:rsidR="007A7A80">
              <w:rPr>
                <w:szCs w:val="20"/>
              </w:rPr>
              <w:t xml:space="preserve"> - </w:t>
            </w:r>
            <w:r w:rsidRPr="00EB1EE7">
              <w:rPr>
                <w:szCs w:val="20"/>
              </w:rPr>
              <w:t>40</w:t>
            </w:r>
            <w:r w:rsidR="007A7A80">
              <w:rPr>
                <w:szCs w:val="20"/>
              </w:rPr>
              <w:t>,</w:t>
            </w:r>
            <w:r w:rsidRPr="00EB1EE7">
              <w:rPr>
                <w:szCs w:val="20"/>
              </w:rPr>
              <w:t>946)</w:t>
            </w:r>
          </w:p>
        </w:tc>
        <w:tc>
          <w:tcPr>
            <w:tcW w:w="1276" w:type="dxa"/>
          </w:tcPr>
          <w:p w14:paraId="138381E4" w14:textId="6F992B4B" w:rsidR="00EB1EE7" w:rsidRPr="00EB1EE7" w:rsidRDefault="00EB1EE7" w:rsidP="00EB1EE7">
            <w:pPr>
              <w:pStyle w:val="NormalWeb"/>
              <w:spacing w:line="276" w:lineRule="auto"/>
              <w:rPr>
                <w:b/>
                <w:bCs/>
                <w:szCs w:val="20"/>
              </w:rPr>
            </w:pPr>
            <w:r w:rsidRPr="00EB1EE7">
              <w:rPr>
                <w:szCs w:val="20"/>
              </w:rPr>
              <w:t>90                          (7</w:t>
            </w:r>
            <w:r w:rsidR="007A7A80">
              <w:rPr>
                <w:szCs w:val="20"/>
              </w:rPr>
              <w:t xml:space="preserve"> - </w:t>
            </w:r>
            <w:r w:rsidRPr="00EB1EE7">
              <w:rPr>
                <w:szCs w:val="20"/>
              </w:rPr>
              <w:t>1</w:t>
            </w:r>
            <w:r w:rsidR="007A7A80">
              <w:rPr>
                <w:szCs w:val="20"/>
              </w:rPr>
              <w:t>,</w:t>
            </w:r>
            <w:r w:rsidRPr="00EB1EE7">
              <w:rPr>
                <w:szCs w:val="20"/>
              </w:rPr>
              <w:t>161)</w:t>
            </w:r>
          </w:p>
        </w:tc>
        <w:tc>
          <w:tcPr>
            <w:tcW w:w="1909" w:type="dxa"/>
          </w:tcPr>
          <w:p w14:paraId="371ABAA1" w14:textId="196AAAAA" w:rsidR="00EB1EE7" w:rsidRPr="00EB1EE7" w:rsidRDefault="00EB1EE7" w:rsidP="00EB1EE7">
            <w:pPr>
              <w:pStyle w:val="NormalWeb"/>
              <w:spacing w:line="276" w:lineRule="auto"/>
              <w:rPr>
                <w:b/>
                <w:bCs/>
                <w:szCs w:val="20"/>
              </w:rPr>
            </w:pPr>
            <w:r w:rsidRPr="00EB1EE7">
              <w:rPr>
                <w:szCs w:val="20"/>
              </w:rPr>
              <w:t>164</w:t>
            </w:r>
            <w:r w:rsidR="007A7A80">
              <w:rPr>
                <w:szCs w:val="20"/>
              </w:rPr>
              <w:t>,</w:t>
            </w:r>
            <w:r w:rsidRPr="00EB1EE7">
              <w:rPr>
                <w:szCs w:val="20"/>
              </w:rPr>
              <w:t>245            (48</w:t>
            </w:r>
            <w:r w:rsidR="007A7A80">
              <w:rPr>
                <w:szCs w:val="20"/>
              </w:rPr>
              <w:t>,</w:t>
            </w:r>
            <w:r w:rsidRPr="00EB1EE7">
              <w:rPr>
                <w:szCs w:val="20"/>
              </w:rPr>
              <w:t>435</w:t>
            </w:r>
            <w:r w:rsidR="007A7A80">
              <w:rPr>
                <w:szCs w:val="20"/>
              </w:rPr>
              <w:t xml:space="preserve"> - </w:t>
            </w:r>
            <w:r w:rsidRPr="00EB1EE7">
              <w:rPr>
                <w:szCs w:val="20"/>
              </w:rPr>
              <w:t>505</w:t>
            </w:r>
            <w:r w:rsidR="007A7A80">
              <w:rPr>
                <w:szCs w:val="20"/>
              </w:rPr>
              <w:t>,</w:t>
            </w:r>
            <w:r w:rsidRPr="00EB1EE7">
              <w:rPr>
                <w:szCs w:val="20"/>
              </w:rPr>
              <w:t>784)</w:t>
            </w:r>
          </w:p>
        </w:tc>
      </w:tr>
      <w:tr w:rsidR="00EB1EE7" w14:paraId="52FBB3C5" w14:textId="77777777" w:rsidTr="007A7A80">
        <w:tc>
          <w:tcPr>
            <w:tcW w:w="883" w:type="dxa"/>
          </w:tcPr>
          <w:p w14:paraId="3AD27A1A" w14:textId="48CE4DD6" w:rsidR="00EB1EE7" w:rsidRPr="00EB1EE7" w:rsidRDefault="00EB1EE7" w:rsidP="00EB1EE7">
            <w:pPr>
              <w:pStyle w:val="NormalWeb"/>
              <w:spacing w:line="276" w:lineRule="auto"/>
              <w:rPr>
                <w:b/>
                <w:bCs/>
                <w:szCs w:val="20"/>
              </w:rPr>
            </w:pPr>
            <w:r w:rsidRPr="00EB1EE7">
              <w:rPr>
                <w:szCs w:val="20"/>
              </w:rPr>
              <w:t>DoD</w:t>
            </w:r>
          </w:p>
        </w:tc>
        <w:tc>
          <w:tcPr>
            <w:tcW w:w="1811" w:type="dxa"/>
          </w:tcPr>
          <w:p w14:paraId="37A3024D" w14:textId="477DDD58" w:rsidR="00EB1EE7" w:rsidRPr="00EB1EE7" w:rsidRDefault="00EB1EE7" w:rsidP="00EB1EE7">
            <w:pPr>
              <w:pStyle w:val="NormalWeb"/>
              <w:spacing w:line="276" w:lineRule="auto"/>
              <w:rPr>
                <w:b/>
                <w:bCs/>
                <w:szCs w:val="20"/>
              </w:rPr>
            </w:pPr>
            <w:r w:rsidRPr="00EB1EE7">
              <w:rPr>
                <w:szCs w:val="20"/>
              </w:rPr>
              <w:t>10</w:t>
            </w:r>
            <w:r w:rsidR="009A5193">
              <w:rPr>
                <w:szCs w:val="20"/>
              </w:rPr>
              <w:t>,</w:t>
            </w:r>
            <w:r w:rsidRPr="00EB1EE7">
              <w:rPr>
                <w:szCs w:val="20"/>
              </w:rPr>
              <w:t xml:space="preserve">092      </w:t>
            </w:r>
            <w:r>
              <w:rPr>
                <w:szCs w:val="20"/>
              </w:rPr>
              <w:t xml:space="preserve">       </w:t>
            </w:r>
            <w:r w:rsidRPr="00EB1EE7">
              <w:rPr>
                <w:szCs w:val="20"/>
              </w:rPr>
              <w:t xml:space="preserve">  (1</w:t>
            </w:r>
            <w:r w:rsidR="009A5193">
              <w:rPr>
                <w:szCs w:val="20"/>
              </w:rPr>
              <w:t>,</w:t>
            </w:r>
            <w:r w:rsidRPr="00EB1EE7">
              <w:rPr>
                <w:szCs w:val="20"/>
              </w:rPr>
              <w:t>153</w:t>
            </w:r>
            <w:r w:rsidR="009A5193">
              <w:rPr>
                <w:szCs w:val="20"/>
              </w:rPr>
              <w:t xml:space="preserve"> - </w:t>
            </w:r>
            <w:r w:rsidRPr="00EB1EE7">
              <w:rPr>
                <w:szCs w:val="20"/>
              </w:rPr>
              <w:t>53</w:t>
            </w:r>
            <w:r w:rsidR="009A5193">
              <w:rPr>
                <w:szCs w:val="20"/>
              </w:rPr>
              <w:t>,</w:t>
            </w:r>
            <w:r w:rsidRPr="00EB1EE7">
              <w:rPr>
                <w:szCs w:val="20"/>
              </w:rPr>
              <w:t>829)</w:t>
            </w:r>
          </w:p>
        </w:tc>
        <w:tc>
          <w:tcPr>
            <w:tcW w:w="1559" w:type="dxa"/>
          </w:tcPr>
          <w:p w14:paraId="039C0910" w14:textId="670843CA" w:rsidR="00EB1EE7" w:rsidRPr="00EB1EE7" w:rsidRDefault="00EB1EE7" w:rsidP="00EB1EE7">
            <w:pPr>
              <w:pStyle w:val="NormalWeb"/>
              <w:spacing w:line="276" w:lineRule="auto"/>
              <w:rPr>
                <w:b/>
                <w:bCs/>
                <w:szCs w:val="20"/>
              </w:rPr>
            </w:pPr>
            <w:r w:rsidRPr="00EB1EE7">
              <w:rPr>
                <w:szCs w:val="20"/>
              </w:rPr>
              <w:t xml:space="preserve">474       </w:t>
            </w:r>
            <w:r>
              <w:rPr>
                <w:szCs w:val="20"/>
              </w:rPr>
              <w:t xml:space="preserve">   </w:t>
            </w:r>
            <w:r w:rsidRPr="00EB1EE7">
              <w:rPr>
                <w:szCs w:val="20"/>
              </w:rPr>
              <w:t xml:space="preserve">       (38</w:t>
            </w:r>
            <w:r w:rsidR="009A5193">
              <w:rPr>
                <w:szCs w:val="20"/>
              </w:rPr>
              <w:t xml:space="preserve"> - </w:t>
            </w:r>
            <w:r w:rsidRPr="00EB1EE7">
              <w:rPr>
                <w:szCs w:val="20"/>
              </w:rPr>
              <w:t>4048)</w:t>
            </w:r>
          </w:p>
        </w:tc>
        <w:tc>
          <w:tcPr>
            <w:tcW w:w="1559" w:type="dxa"/>
          </w:tcPr>
          <w:p w14:paraId="14144A10" w14:textId="1F97AE3F" w:rsidR="00EB1EE7" w:rsidRPr="00EB1EE7" w:rsidRDefault="00EB1EE7" w:rsidP="00EB1EE7">
            <w:pPr>
              <w:pStyle w:val="NormalWeb"/>
              <w:spacing w:line="276" w:lineRule="auto"/>
              <w:rPr>
                <w:b/>
                <w:bCs/>
                <w:szCs w:val="20"/>
              </w:rPr>
            </w:pPr>
            <w:r w:rsidRPr="00EB1EE7">
              <w:rPr>
                <w:szCs w:val="20"/>
              </w:rPr>
              <w:t xml:space="preserve">5        </w:t>
            </w:r>
            <w:r>
              <w:rPr>
                <w:szCs w:val="20"/>
              </w:rPr>
              <w:t xml:space="preserve">                      </w:t>
            </w:r>
            <w:r w:rsidRPr="00EB1EE7">
              <w:rPr>
                <w:szCs w:val="20"/>
              </w:rPr>
              <w:t xml:space="preserve">   (0, 83)</w:t>
            </w:r>
          </w:p>
        </w:tc>
        <w:tc>
          <w:tcPr>
            <w:tcW w:w="1559" w:type="dxa"/>
          </w:tcPr>
          <w:p w14:paraId="6969F178" w14:textId="6474FD3C" w:rsidR="00EB1EE7" w:rsidRPr="00EB1EE7" w:rsidRDefault="00EB1EE7" w:rsidP="00EB1EE7">
            <w:pPr>
              <w:pStyle w:val="NormalWeb"/>
              <w:spacing w:line="276" w:lineRule="auto"/>
              <w:rPr>
                <w:b/>
                <w:bCs/>
                <w:szCs w:val="20"/>
              </w:rPr>
            </w:pPr>
            <w:r w:rsidRPr="00EB1EE7">
              <w:rPr>
                <w:szCs w:val="20"/>
                <w:lang w:val="en-US"/>
              </w:rPr>
              <w:t>9</w:t>
            </w:r>
            <w:r w:rsidR="007A7A80">
              <w:rPr>
                <w:szCs w:val="20"/>
                <w:lang w:val="en-US"/>
              </w:rPr>
              <w:t>,</w:t>
            </w:r>
            <w:r w:rsidRPr="00EB1EE7">
              <w:rPr>
                <w:szCs w:val="20"/>
                <w:lang w:val="en-US"/>
              </w:rPr>
              <w:t xml:space="preserve">989         </w:t>
            </w:r>
            <w:proofErr w:type="gramStart"/>
            <w:r w:rsidRPr="00EB1EE7">
              <w:rPr>
                <w:szCs w:val="20"/>
                <w:lang w:val="en-US"/>
              </w:rPr>
              <w:t xml:space="preserve">   (</w:t>
            </w:r>
            <w:proofErr w:type="gramEnd"/>
            <w:r w:rsidRPr="00EB1EE7">
              <w:rPr>
                <w:szCs w:val="20"/>
                <w:lang w:val="en-US"/>
              </w:rPr>
              <w:t>1</w:t>
            </w:r>
            <w:r w:rsidR="007A7A80">
              <w:rPr>
                <w:szCs w:val="20"/>
                <w:lang w:val="en-US"/>
              </w:rPr>
              <w:t>,</w:t>
            </w:r>
            <w:r w:rsidRPr="00EB1EE7">
              <w:rPr>
                <w:szCs w:val="20"/>
                <w:lang w:val="en-US"/>
              </w:rPr>
              <w:t>142</w:t>
            </w:r>
            <w:r w:rsidR="007A7A80">
              <w:rPr>
                <w:szCs w:val="20"/>
                <w:lang w:val="en-US"/>
              </w:rPr>
              <w:t xml:space="preserve"> - </w:t>
            </w:r>
            <w:r w:rsidRPr="00EB1EE7">
              <w:rPr>
                <w:szCs w:val="20"/>
                <w:lang w:val="en-US"/>
              </w:rPr>
              <w:t>53</w:t>
            </w:r>
            <w:r w:rsidR="007A7A80">
              <w:rPr>
                <w:szCs w:val="20"/>
                <w:lang w:val="en-US"/>
              </w:rPr>
              <w:t>,</w:t>
            </w:r>
            <w:r w:rsidRPr="00EB1EE7">
              <w:rPr>
                <w:szCs w:val="20"/>
                <w:lang w:val="en-US"/>
              </w:rPr>
              <w:t>268)</w:t>
            </w:r>
          </w:p>
        </w:tc>
        <w:tc>
          <w:tcPr>
            <w:tcW w:w="1843" w:type="dxa"/>
          </w:tcPr>
          <w:p w14:paraId="20618880" w14:textId="28C0789B" w:rsidR="00EB1EE7" w:rsidRPr="00EB1EE7" w:rsidRDefault="00EB1EE7" w:rsidP="00EB1EE7">
            <w:pPr>
              <w:pStyle w:val="NormalWeb"/>
              <w:spacing w:line="276" w:lineRule="auto"/>
              <w:rPr>
                <w:b/>
                <w:bCs/>
                <w:szCs w:val="20"/>
              </w:rPr>
            </w:pPr>
            <w:r w:rsidRPr="00EB1EE7">
              <w:rPr>
                <w:szCs w:val="20"/>
              </w:rPr>
              <w:t>164</w:t>
            </w:r>
            <w:r w:rsidR="007A7A80">
              <w:rPr>
                <w:szCs w:val="20"/>
              </w:rPr>
              <w:t>,</w:t>
            </w:r>
            <w:r w:rsidRPr="00EB1EE7">
              <w:rPr>
                <w:szCs w:val="20"/>
              </w:rPr>
              <w:t>818         (48</w:t>
            </w:r>
            <w:r w:rsidR="007A7A80">
              <w:rPr>
                <w:szCs w:val="20"/>
              </w:rPr>
              <w:t>,</w:t>
            </w:r>
            <w:r w:rsidRPr="00EB1EE7">
              <w:rPr>
                <w:szCs w:val="20"/>
              </w:rPr>
              <w:t>600</w:t>
            </w:r>
            <w:r w:rsidR="007A7A80">
              <w:rPr>
                <w:szCs w:val="20"/>
              </w:rPr>
              <w:t xml:space="preserve"> - </w:t>
            </w:r>
            <w:r w:rsidRPr="00EB1EE7">
              <w:rPr>
                <w:szCs w:val="20"/>
              </w:rPr>
              <w:t>507</w:t>
            </w:r>
            <w:r w:rsidR="007A7A80">
              <w:rPr>
                <w:szCs w:val="20"/>
              </w:rPr>
              <w:t>,</w:t>
            </w:r>
            <w:r w:rsidRPr="00EB1EE7">
              <w:rPr>
                <w:szCs w:val="20"/>
              </w:rPr>
              <w:t>039)</w:t>
            </w:r>
          </w:p>
        </w:tc>
        <w:tc>
          <w:tcPr>
            <w:tcW w:w="1559" w:type="dxa"/>
          </w:tcPr>
          <w:p w14:paraId="58BE4C4C" w14:textId="7CDEEE35" w:rsidR="00EB1EE7" w:rsidRPr="00EB1EE7" w:rsidRDefault="00EB1EE7" w:rsidP="00EB1EE7">
            <w:pPr>
              <w:pStyle w:val="NormalWeb"/>
              <w:spacing w:line="276" w:lineRule="auto"/>
              <w:rPr>
                <w:b/>
                <w:bCs/>
                <w:szCs w:val="20"/>
              </w:rPr>
            </w:pPr>
            <w:r w:rsidRPr="00EB1EE7">
              <w:rPr>
                <w:szCs w:val="20"/>
              </w:rPr>
              <w:t>8</w:t>
            </w:r>
            <w:r w:rsidR="007A7A80">
              <w:rPr>
                <w:szCs w:val="20"/>
              </w:rPr>
              <w:t>,</w:t>
            </w:r>
            <w:r w:rsidRPr="00EB1EE7">
              <w:rPr>
                <w:szCs w:val="20"/>
              </w:rPr>
              <w:t>396                     (1</w:t>
            </w:r>
            <w:r w:rsidR="007A7A80">
              <w:rPr>
                <w:szCs w:val="20"/>
              </w:rPr>
              <w:t>,</w:t>
            </w:r>
            <w:r w:rsidRPr="00EB1EE7">
              <w:rPr>
                <w:szCs w:val="20"/>
              </w:rPr>
              <w:t>337</w:t>
            </w:r>
            <w:r w:rsidR="007A7A80">
              <w:rPr>
                <w:szCs w:val="20"/>
              </w:rPr>
              <w:t xml:space="preserve"> - </w:t>
            </w:r>
            <w:r w:rsidRPr="00EB1EE7">
              <w:rPr>
                <w:szCs w:val="20"/>
              </w:rPr>
              <w:t>40</w:t>
            </w:r>
            <w:r w:rsidR="007A7A80">
              <w:rPr>
                <w:szCs w:val="20"/>
              </w:rPr>
              <w:t>,</w:t>
            </w:r>
            <w:r w:rsidRPr="00EB1EE7">
              <w:rPr>
                <w:szCs w:val="20"/>
              </w:rPr>
              <w:t>956)</w:t>
            </w:r>
          </w:p>
        </w:tc>
        <w:tc>
          <w:tcPr>
            <w:tcW w:w="1276" w:type="dxa"/>
          </w:tcPr>
          <w:p w14:paraId="1781E97C" w14:textId="1422CBCC" w:rsidR="00EB1EE7" w:rsidRPr="00EB1EE7" w:rsidRDefault="00EB1EE7" w:rsidP="00EB1EE7">
            <w:pPr>
              <w:pStyle w:val="NormalWeb"/>
              <w:spacing w:line="276" w:lineRule="auto"/>
              <w:rPr>
                <w:b/>
                <w:bCs/>
                <w:szCs w:val="20"/>
              </w:rPr>
            </w:pPr>
            <w:r w:rsidRPr="00EB1EE7">
              <w:rPr>
                <w:szCs w:val="20"/>
              </w:rPr>
              <w:t>90                          (7</w:t>
            </w:r>
            <w:r w:rsidR="007A7A80">
              <w:rPr>
                <w:szCs w:val="20"/>
              </w:rPr>
              <w:t xml:space="preserve"> - </w:t>
            </w:r>
            <w:r w:rsidRPr="00EB1EE7">
              <w:rPr>
                <w:szCs w:val="20"/>
              </w:rPr>
              <w:t>1</w:t>
            </w:r>
            <w:r w:rsidR="007A7A80">
              <w:rPr>
                <w:szCs w:val="20"/>
              </w:rPr>
              <w:t>,</w:t>
            </w:r>
            <w:r w:rsidRPr="00EB1EE7">
              <w:rPr>
                <w:szCs w:val="20"/>
              </w:rPr>
              <w:t>162)</w:t>
            </w:r>
          </w:p>
        </w:tc>
        <w:tc>
          <w:tcPr>
            <w:tcW w:w="1909" w:type="dxa"/>
          </w:tcPr>
          <w:p w14:paraId="6DE706C5" w14:textId="7C0A1DA3" w:rsidR="00EB1EE7" w:rsidRPr="00EB1EE7" w:rsidRDefault="00EB1EE7" w:rsidP="00EB1EE7">
            <w:pPr>
              <w:pStyle w:val="NormalWeb"/>
              <w:spacing w:line="276" w:lineRule="auto"/>
              <w:rPr>
                <w:b/>
                <w:bCs/>
                <w:szCs w:val="20"/>
              </w:rPr>
            </w:pPr>
            <w:r w:rsidRPr="00EB1EE7">
              <w:rPr>
                <w:szCs w:val="20"/>
                <w:lang w:val="en-US"/>
              </w:rPr>
              <w:t>164</w:t>
            </w:r>
            <w:r w:rsidR="007A7A80">
              <w:rPr>
                <w:szCs w:val="20"/>
                <w:lang w:val="en-US"/>
              </w:rPr>
              <w:t>,</w:t>
            </w:r>
            <w:r w:rsidRPr="00EB1EE7">
              <w:rPr>
                <w:szCs w:val="20"/>
                <w:lang w:val="en-US"/>
              </w:rPr>
              <w:t xml:space="preserve">255         </w:t>
            </w:r>
            <w:proofErr w:type="gramStart"/>
            <w:r w:rsidRPr="00EB1EE7">
              <w:rPr>
                <w:szCs w:val="20"/>
                <w:lang w:val="en-US"/>
              </w:rPr>
              <w:t xml:space="preserve">   (</w:t>
            </w:r>
            <w:proofErr w:type="gramEnd"/>
            <w:r w:rsidRPr="00EB1EE7">
              <w:rPr>
                <w:szCs w:val="20"/>
                <w:lang w:val="en-US"/>
              </w:rPr>
              <w:t>48</w:t>
            </w:r>
            <w:r w:rsidR="007A7A80">
              <w:rPr>
                <w:szCs w:val="20"/>
                <w:lang w:val="en-US"/>
              </w:rPr>
              <w:t>,</w:t>
            </w:r>
            <w:r w:rsidRPr="00EB1EE7">
              <w:rPr>
                <w:szCs w:val="20"/>
                <w:lang w:val="en-US"/>
              </w:rPr>
              <w:t>436</w:t>
            </w:r>
            <w:r w:rsidR="007A7A80">
              <w:rPr>
                <w:szCs w:val="20"/>
                <w:lang w:val="en-US"/>
              </w:rPr>
              <w:t xml:space="preserve"> - </w:t>
            </w:r>
            <w:r w:rsidRPr="00EB1EE7">
              <w:rPr>
                <w:szCs w:val="20"/>
                <w:lang w:val="en-US"/>
              </w:rPr>
              <w:t>505</w:t>
            </w:r>
            <w:r w:rsidR="007A7A80">
              <w:rPr>
                <w:szCs w:val="20"/>
                <w:lang w:val="en-US"/>
              </w:rPr>
              <w:t>,</w:t>
            </w:r>
            <w:r w:rsidRPr="00EB1EE7">
              <w:rPr>
                <w:szCs w:val="20"/>
                <w:lang w:val="en-US"/>
              </w:rPr>
              <w:t>825)</w:t>
            </w:r>
          </w:p>
        </w:tc>
      </w:tr>
      <w:tr w:rsidR="00EB1EE7" w14:paraId="0BF8A97C" w14:textId="77777777" w:rsidTr="007A7A80">
        <w:tc>
          <w:tcPr>
            <w:tcW w:w="883" w:type="dxa"/>
          </w:tcPr>
          <w:p w14:paraId="1D2C5E51" w14:textId="2D8CDC7E" w:rsidR="00EB1EE7" w:rsidRPr="00EB1EE7" w:rsidRDefault="00EB1EE7" w:rsidP="00EB1EE7">
            <w:pPr>
              <w:pStyle w:val="NormalWeb"/>
              <w:spacing w:line="276" w:lineRule="auto"/>
              <w:rPr>
                <w:b/>
                <w:bCs/>
                <w:szCs w:val="20"/>
              </w:rPr>
            </w:pPr>
            <w:r w:rsidRPr="00EB1EE7">
              <w:rPr>
                <w:szCs w:val="20"/>
              </w:rPr>
              <w:t>DoA(H)</w:t>
            </w:r>
          </w:p>
        </w:tc>
        <w:tc>
          <w:tcPr>
            <w:tcW w:w="1811" w:type="dxa"/>
          </w:tcPr>
          <w:p w14:paraId="4A2B036C" w14:textId="733397A7" w:rsidR="00EB1EE7" w:rsidRPr="00EB1EE7" w:rsidRDefault="00EB1EE7" w:rsidP="00EB1EE7">
            <w:pPr>
              <w:pStyle w:val="NormalWeb"/>
              <w:spacing w:line="276" w:lineRule="auto"/>
              <w:rPr>
                <w:b/>
                <w:bCs/>
                <w:szCs w:val="20"/>
              </w:rPr>
            </w:pPr>
            <w:r w:rsidRPr="00EB1EE7">
              <w:rPr>
                <w:szCs w:val="20"/>
              </w:rPr>
              <w:t>24</w:t>
            </w:r>
            <w:r w:rsidR="009A5193">
              <w:rPr>
                <w:szCs w:val="20"/>
              </w:rPr>
              <w:t>,</w:t>
            </w:r>
            <w:r w:rsidRPr="00EB1EE7">
              <w:rPr>
                <w:szCs w:val="20"/>
              </w:rPr>
              <w:t xml:space="preserve">839     </w:t>
            </w:r>
            <w:r>
              <w:rPr>
                <w:szCs w:val="20"/>
              </w:rPr>
              <w:t xml:space="preserve">        </w:t>
            </w:r>
            <w:r w:rsidRPr="00EB1EE7">
              <w:rPr>
                <w:szCs w:val="20"/>
              </w:rPr>
              <w:t xml:space="preserve">  (6</w:t>
            </w:r>
            <w:r w:rsidR="009A5193">
              <w:rPr>
                <w:szCs w:val="20"/>
              </w:rPr>
              <w:t>,</w:t>
            </w:r>
            <w:r w:rsidRPr="00EB1EE7">
              <w:rPr>
                <w:szCs w:val="20"/>
              </w:rPr>
              <w:t>849</w:t>
            </w:r>
            <w:r w:rsidR="009A5193">
              <w:rPr>
                <w:szCs w:val="20"/>
              </w:rPr>
              <w:t xml:space="preserve"> - </w:t>
            </w:r>
            <w:r w:rsidRPr="00EB1EE7">
              <w:rPr>
                <w:szCs w:val="20"/>
              </w:rPr>
              <w:t>94</w:t>
            </w:r>
            <w:r w:rsidR="009A5193">
              <w:rPr>
                <w:szCs w:val="20"/>
              </w:rPr>
              <w:t>,</w:t>
            </w:r>
            <w:r w:rsidRPr="00EB1EE7">
              <w:rPr>
                <w:szCs w:val="20"/>
              </w:rPr>
              <w:t>229)</w:t>
            </w:r>
          </w:p>
        </w:tc>
        <w:tc>
          <w:tcPr>
            <w:tcW w:w="1559" w:type="dxa"/>
          </w:tcPr>
          <w:p w14:paraId="6F2F1056" w14:textId="789E77F5" w:rsidR="00EB1EE7" w:rsidRPr="00EB1EE7" w:rsidRDefault="00EB1EE7" w:rsidP="00EB1EE7">
            <w:pPr>
              <w:pStyle w:val="NormalWeb"/>
              <w:spacing w:line="276" w:lineRule="auto"/>
              <w:rPr>
                <w:b/>
                <w:bCs/>
                <w:szCs w:val="20"/>
              </w:rPr>
            </w:pPr>
            <w:r w:rsidRPr="00EB1EE7">
              <w:rPr>
                <w:szCs w:val="20"/>
              </w:rPr>
              <w:t>1</w:t>
            </w:r>
            <w:r w:rsidR="009A5193">
              <w:rPr>
                <w:szCs w:val="20"/>
              </w:rPr>
              <w:t>,</w:t>
            </w:r>
            <w:r w:rsidRPr="00EB1EE7">
              <w:rPr>
                <w:szCs w:val="20"/>
              </w:rPr>
              <w:t xml:space="preserve">157     </w:t>
            </w:r>
            <w:r>
              <w:rPr>
                <w:szCs w:val="20"/>
              </w:rPr>
              <w:t xml:space="preserve">      </w:t>
            </w:r>
            <w:r w:rsidRPr="00EB1EE7">
              <w:rPr>
                <w:szCs w:val="20"/>
              </w:rPr>
              <w:t xml:space="preserve">    (193</w:t>
            </w:r>
            <w:r w:rsidR="009A5193">
              <w:rPr>
                <w:szCs w:val="20"/>
              </w:rPr>
              <w:t xml:space="preserve"> - </w:t>
            </w:r>
            <w:r w:rsidRPr="00EB1EE7">
              <w:rPr>
                <w:szCs w:val="20"/>
              </w:rPr>
              <w:t>6</w:t>
            </w:r>
            <w:r w:rsidR="009A5193">
              <w:rPr>
                <w:szCs w:val="20"/>
              </w:rPr>
              <w:t>,</w:t>
            </w:r>
            <w:r w:rsidRPr="00EB1EE7">
              <w:rPr>
                <w:szCs w:val="20"/>
              </w:rPr>
              <w:t>701)</w:t>
            </w:r>
          </w:p>
        </w:tc>
        <w:tc>
          <w:tcPr>
            <w:tcW w:w="1559" w:type="dxa"/>
          </w:tcPr>
          <w:p w14:paraId="7B92A5BB" w14:textId="1552F9A7" w:rsidR="00EB1EE7" w:rsidRPr="00EB1EE7" w:rsidRDefault="00EB1EE7" w:rsidP="00EB1EE7">
            <w:pPr>
              <w:pStyle w:val="NormalWeb"/>
              <w:spacing w:line="276" w:lineRule="auto"/>
              <w:rPr>
                <w:b/>
                <w:bCs/>
                <w:szCs w:val="20"/>
              </w:rPr>
            </w:pPr>
            <w:r w:rsidRPr="00EB1EE7">
              <w:rPr>
                <w:szCs w:val="20"/>
              </w:rPr>
              <w:t xml:space="preserve">12        </w:t>
            </w:r>
            <w:r>
              <w:rPr>
                <w:szCs w:val="20"/>
              </w:rPr>
              <w:t xml:space="preserve">                    </w:t>
            </w:r>
            <w:r w:rsidRPr="00EB1EE7">
              <w:rPr>
                <w:szCs w:val="20"/>
              </w:rPr>
              <w:t xml:space="preserve">  (1, 167)</w:t>
            </w:r>
          </w:p>
        </w:tc>
        <w:tc>
          <w:tcPr>
            <w:tcW w:w="1559" w:type="dxa"/>
          </w:tcPr>
          <w:p w14:paraId="43ECE5C1" w14:textId="3C455533" w:rsidR="00EB1EE7" w:rsidRPr="00EB1EE7" w:rsidRDefault="00EB1EE7" w:rsidP="00EB1EE7">
            <w:pPr>
              <w:pStyle w:val="NormalWeb"/>
              <w:spacing w:line="276" w:lineRule="auto"/>
              <w:rPr>
                <w:b/>
                <w:bCs/>
                <w:szCs w:val="20"/>
              </w:rPr>
            </w:pPr>
            <w:r w:rsidRPr="00EB1EE7">
              <w:rPr>
                <w:szCs w:val="20"/>
              </w:rPr>
              <w:t>24</w:t>
            </w:r>
            <w:r w:rsidR="007A7A80">
              <w:rPr>
                <w:szCs w:val="20"/>
              </w:rPr>
              <w:t>,</w:t>
            </w:r>
            <w:r w:rsidRPr="00EB1EE7">
              <w:rPr>
                <w:szCs w:val="20"/>
              </w:rPr>
              <w:t>708          (6</w:t>
            </w:r>
            <w:r w:rsidR="007A7A80">
              <w:rPr>
                <w:szCs w:val="20"/>
              </w:rPr>
              <w:t>,</w:t>
            </w:r>
            <w:r w:rsidRPr="00EB1EE7">
              <w:rPr>
                <w:szCs w:val="20"/>
              </w:rPr>
              <w:t>833</w:t>
            </w:r>
            <w:r w:rsidR="007A7A80">
              <w:rPr>
                <w:szCs w:val="20"/>
              </w:rPr>
              <w:t xml:space="preserve"> - </w:t>
            </w:r>
            <w:r w:rsidRPr="00EB1EE7">
              <w:rPr>
                <w:szCs w:val="20"/>
              </w:rPr>
              <w:t>93</w:t>
            </w:r>
            <w:r w:rsidR="007A7A80">
              <w:rPr>
                <w:szCs w:val="20"/>
              </w:rPr>
              <w:t>,</w:t>
            </w:r>
            <w:r w:rsidRPr="00EB1EE7">
              <w:rPr>
                <w:szCs w:val="20"/>
              </w:rPr>
              <w:t>599)</w:t>
            </w:r>
          </w:p>
        </w:tc>
        <w:tc>
          <w:tcPr>
            <w:tcW w:w="1843" w:type="dxa"/>
          </w:tcPr>
          <w:p w14:paraId="7236E976" w14:textId="79960F1C" w:rsidR="00EB1EE7" w:rsidRPr="00EB1EE7" w:rsidRDefault="00EB1EE7" w:rsidP="00EB1EE7">
            <w:pPr>
              <w:pStyle w:val="NormalWeb"/>
              <w:spacing w:line="276" w:lineRule="auto"/>
              <w:rPr>
                <w:b/>
                <w:bCs/>
                <w:szCs w:val="20"/>
              </w:rPr>
            </w:pPr>
            <w:r w:rsidRPr="00EB1EE7">
              <w:rPr>
                <w:szCs w:val="20"/>
              </w:rPr>
              <w:t>276</w:t>
            </w:r>
            <w:r w:rsidR="007A7A80">
              <w:rPr>
                <w:szCs w:val="20"/>
              </w:rPr>
              <w:t>,</w:t>
            </w:r>
            <w:r w:rsidRPr="00EB1EE7">
              <w:rPr>
                <w:szCs w:val="20"/>
              </w:rPr>
              <w:t>713        (109</w:t>
            </w:r>
            <w:r w:rsidR="007A7A80">
              <w:rPr>
                <w:szCs w:val="20"/>
              </w:rPr>
              <w:t>,</w:t>
            </w:r>
            <w:r w:rsidRPr="00EB1EE7">
              <w:rPr>
                <w:szCs w:val="20"/>
              </w:rPr>
              <w:t>530</w:t>
            </w:r>
            <w:r w:rsidR="007A7A80">
              <w:rPr>
                <w:szCs w:val="20"/>
              </w:rPr>
              <w:t xml:space="preserve"> - </w:t>
            </w:r>
            <w:r w:rsidRPr="00EB1EE7">
              <w:rPr>
                <w:szCs w:val="20"/>
              </w:rPr>
              <w:t>724</w:t>
            </w:r>
            <w:r w:rsidR="007A7A80">
              <w:rPr>
                <w:szCs w:val="20"/>
              </w:rPr>
              <w:t>,</w:t>
            </w:r>
            <w:r w:rsidRPr="00EB1EE7">
              <w:rPr>
                <w:szCs w:val="20"/>
              </w:rPr>
              <w:t>206)</w:t>
            </w:r>
          </w:p>
        </w:tc>
        <w:tc>
          <w:tcPr>
            <w:tcW w:w="1559" w:type="dxa"/>
          </w:tcPr>
          <w:p w14:paraId="3FA75797" w14:textId="21C91B52" w:rsidR="00EB1EE7" w:rsidRPr="00EB1EE7" w:rsidRDefault="00EB1EE7" w:rsidP="00EB1EE7">
            <w:pPr>
              <w:pStyle w:val="NormalWeb"/>
              <w:spacing w:line="276" w:lineRule="auto"/>
              <w:rPr>
                <w:b/>
                <w:bCs/>
                <w:szCs w:val="20"/>
              </w:rPr>
            </w:pPr>
            <w:r w:rsidRPr="00EB1EE7">
              <w:rPr>
                <w:szCs w:val="20"/>
              </w:rPr>
              <w:t>14</w:t>
            </w:r>
            <w:r w:rsidR="007A7A80">
              <w:rPr>
                <w:szCs w:val="20"/>
              </w:rPr>
              <w:t>,</w:t>
            </w:r>
            <w:r w:rsidRPr="00EB1EE7">
              <w:rPr>
                <w:szCs w:val="20"/>
              </w:rPr>
              <w:t>166                    (2</w:t>
            </w:r>
            <w:r w:rsidR="007A7A80">
              <w:rPr>
                <w:szCs w:val="20"/>
              </w:rPr>
              <w:t>,</w:t>
            </w:r>
            <w:r w:rsidRPr="00EB1EE7">
              <w:rPr>
                <w:szCs w:val="20"/>
              </w:rPr>
              <w:t>851</w:t>
            </w:r>
            <w:r w:rsidR="007A7A80">
              <w:rPr>
                <w:szCs w:val="20"/>
              </w:rPr>
              <w:t xml:space="preserve"> - </w:t>
            </w:r>
            <w:r w:rsidRPr="00EB1EE7">
              <w:rPr>
                <w:szCs w:val="20"/>
              </w:rPr>
              <w:t>63</w:t>
            </w:r>
            <w:r w:rsidR="007A7A80">
              <w:rPr>
                <w:szCs w:val="20"/>
              </w:rPr>
              <w:t>,</w:t>
            </w:r>
            <w:r w:rsidRPr="00EB1EE7">
              <w:rPr>
                <w:szCs w:val="20"/>
              </w:rPr>
              <w:t>965)</w:t>
            </w:r>
          </w:p>
        </w:tc>
        <w:tc>
          <w:tcPr>
            <w:tcW w:w="1276" w:type="dxa"/>
          </w:tcPr>
          <w:p w14:paraId="11D82223" w14:textId="52367DD1" w:rsidR="00EB1EE7" w:rsidRPr="00EB1EE7" w:rsidRDefault="00EB1EE7" w:rsidP="00EB1EE7">
            <w:pPr>
              <w:pStyle w:val="NormalWeb"/>
              <w:spacing w:line="276" w:lineRule="auto"/>
              <w:rPr>
                <w:b/>
                <w:bCs/>
                <w:szCs w:val="20"/>
              </w:rPr>
            </w:pPr>
            <w:r w:rsidRPr="00EB1EE7">
              <w:rPr>
                <w:szCs w:val="20"/>
              </w:rPr>
              <w:t>155                         (14</w:t>
            </w:r>
            <w:r w:rsidR="007A7A80">
              <w:rPr>
                <w:szCs w:val="20"/>
              </w:rPr>
              <w:t xml:space="preserve"> - </w:t>
            </w:r>
            <w:r w:rsidRPr="00EB1EE7">
              <w:rPr>
                <w:szCs w:val="20"/>
              </w:rPr>
              <w:t>1</w:t>
            </w:r>
            <w:r w:rsidR="007A7A80">
              <w:rPr>
                <w:szCs w:val="20"/>
              </w:rPr>
              <w:t>,</w:t>
            </w:r>
            <w:r w:rsidRPr="00EB1EE7">
              <w:rPr>
                <w:szCs w:val="20"/>
              </w:rPr>
              <w:t>815)</w:t>
            </w:r>
          </w:p>
        </w:tc>
        <w:tc>
          <w:tcPr>
            <w:tcW w:w="1909" w:type="dxa"/>
          </w:tcPr>
          <w:p w14:paraId="2BA249DF" w14:textId="7168ABCC" w:rsidR="00EB1EE7" w:rsidRPr="00EB1EE7" w:rsidRDefault="00EB1EE7" w:rsidP="00EB1EE7">
            <w:pPr>
              <w:pStyle w:val="NormalWeb"/>
              <w:spacing w:line="276" w:lineRule="auto"/>
              <w:rPr>
                <w:b/>
                <w:bCs/>
                <w:szCs w:val="20"/>
              </w:rPr>
            </w:pPr>
            <w:r w:rsidRPr="00EB1EE7">
              <w:rPr>
                <w:szCs w:val="20"/>
              </w:rPr>
              <w:t>275</w:t>
            </w:r>
            <w:r w:rsidR="007A7A80">
              <w:rPr>
                <w:szCs w:val="20"/>
              </w:rPr>
              <w:t>,</w:t>
            </w:r>
            <w:r w:rsidRPr="00EB1EE7">
              <w:rPr>
                <w:szCs w:val="20"/>
              </w:rPr>
              <w:t>927          (108</w:t>
            </w:r>
            <w:r w:rsidR="007A7A80">
              <w:rPr>
                <w:szCs w:val="20"/>
              </w:rPr>
              <w:t>,</w:t>
            </w:r>
            <w:r w:rsidRPr="00EB1EE7">
              <w:rPr>
                <w:szCs w:val="20"/>
              </w:rPr>
              <w:t>888</w:t>
            </w:r>
            <w:r w:rsidR="007A7A80">
              <w:rPr>
                <w:szCs w:val="20"/>
              </w:rPr>
              <w:t xml:space="preserve"> - </w:t>
            </w:r>
            <w:r w:rsidRPr="00EB1EE7">
              <w:rPr>
                <w:szCs w:val="20"/>
              </w:rPr>
              <w:t>722</w:t>
            </w:r>
            <w:r w:rsidR="007A7A80">
              <w:rPr>
                <w:szCs w:val="20"/>
              </w:rPr>
              <w:t>,</w:t>
            </w:r>
            <w:r w:rsidRPr="00EB1EE7">
              <w:rPr>
                <w:szCs w:val="20"/>
              </w:rPr>
              <w:t>318)</w:t>
            </w:r>
          </w:p>
        </w:tc>
      </w:tr>
      <w:tr w:rsidR="00EB1EE7" w14:paraId="3E781381" w14:textId="77777777" w:rsidTr="007A7A80">
        <w:tc>
          <w:tcPr>
            <w:tcW w:w="883" w:type="dxa"/>
          </w:tcPr>
          <w:p w14:paraId="5D8AB9BC" w14:textId="0FF387C5" w:rsidR="00EB1EE7" w:rsidRPr="00EB1EE7" w:rsidRDefault="00EB1EE7" w:rsidP="00EB1EE7">
            <w:pPr>
              <w:pStyle w:val="NormalWeb"/>
              <w:spacing w:line="276" w:lineRule="auto"/>
              <w:rPr>
                <w:b/>
                <w:bCs/>
                <w:szCs w:val="20"/>
              </w:rPr>
            </w:pPr>
            <w:r w:rsidRPr="00EB1EE7">
              <w:rPr>
                <w:szCs w:val="20"/>
              </w:rPr>
              <w:t>DoA</w:t>
            </w:r>
          </w:p>
        </w:tc>
        <w:tc>
          <w:tcPr>
            <w:tcW w:w="1811" w:type="dxa"/>
          </w:tcPr>
          <w:p w14:paraId="2E044A46" w14:textId="5B2B1CF9" w:rsidR="00EB1EE7" w:rsidRPr="00EB1EE7" w:rsidRDefault="00EB1EE7" w:rsidP="00EB1EE7">
            <w:pPr>
              <w:pStyle w:val="NormalWeb"/>
              <w:spacing w:line="276" w:lineRule="auto"/>
              <w:rPr>
                <w:b/>
                <w:bCs/>
                <w:szCs w:val="20"/>
              </w:rPr>
            </w:pPr>
            <w:r w:rsidRPr="00EB1EE7">
              <w:rPr>
                <w:szCs w:val="20"/>
              </w:rPr>
              <w:t>24</w:t>
            </w:r>
            <w:r w:rsidR="009A5193">
              <w:rPr>
                <w:szCs w:val="20"/>
              </w:rPr>
              <w:t>,</w:t>
            </w:r>
            <w:r w:rsidRPr="00EB1EE7">
              <w:rPr>
                <w:szCs w:val="20"/>
              </w:rPr>
              <w:t xml:space="preserve">841    </w:t>
            </w:r>
            <w:r>
              <w:rPr>
                <w:szCs w:val="20"/>
              </w:rPr>
              <w:t xml:space="preserve">        </w:t>
            </w:r>
            <w:r w:rsidRPr="00EB1EE7">
              <w:rPr>
                <w:szCs w:val="20"/>
              </w:rPr>
              <w:t xml:space="preserve">   (6</w:t>
            </w:r>
            <w:r w:rsidR="009A5193">
              <w:rPr>
                <w:szCs w:val="20"/>
              </w:rPr>
              <w:t>,</w:t>
            </w:r>
            <w:r w:rsidRPr="00EB1EE7">
              <w:rPr>
                <w:szCs w:val="20"/>
              </w:rPr>
              <w:t>851</w:t>
            </w:r>
            <w:r w:rsidR="009A5193">
              <w:rPr>
                <w:szCs w:val="20"/>
              </w:rPr>
              <w:t xml:space="preserve"> - </w:t>
            </w:r>
            <w:r w:rsidRPr="00EB1EE7">
              <w:rPr>
                <w:szCs w:val="20"/>
              </w:rPr>
              <w:t>94</w:t>
            </w:r>
            <w:r w:rsidR="009A5193">
              <w:rPr>
                <w:szCs w:val="20"/>
              </w:rPr>
              <w:t>,</w:t>
            </w:r>
            <w:r w:rsidRPr="00EB1EE7">
              <w:rPr>
                <w:szCs w:val="20"/>
              </w:rPr>
              <w:t>230)</w:t>
            </w:r>
          </w:p>
        </w:tc>
        <w:tc>
          <w:tcPr>
            <w:tcW w:w="1559" w:type="dxa"/>
          </w:tcPr>
          <w:p w14:paraId="75A22543" w14:textId="4232D678" w:rsidR="00EB1EE7" w:rsidRPr="00EB1EE7" w:rsidRDefault="00EB1EE7" w:rsidP="00EB1EE7">
            <w:pPr>
              <w:pStyle w:val="NormalWeb"/>
              <w:spacing w:line="276" w:lineRule="auto"/>
              <w:rPr>
                <w:b/>
                <w:bCs/>
                <w:szCs w:val="20"/>
              </w:rPr>
            </w:pPr>
            <w:r w:rsidRPr="00EB1EE7">
              <w:rPr>
                <w:szCs w:val="20"/>
              </w:rPr>
              <w:t>1</w:t>
            </w:r>
            <w:r w:rsidR="009A5193">
              <w:rPr>
                <w:szCs w:val="20"/>
              </w:rPr>
              <w:t>,</w:t>
            </w:r>
            <w:r w:rsidRPr="00EB1EE7">
              <w:rPr>
                <w:szCs w:val="20"/>
              </w:rPr>
              <w:t xml:space="preserve">158     </w:t>
            </w:r>
            <w:r>
              <w:rPr>
                <w:szCs w:val="20"/>
              </w:rPr>
              <w:t xml:space="preserve">     </w:t>
            </w:r>
            <w:r w:rsidRPr="00EB1EE7">
              <w:rPr>
                <w:szCs w:val="20"/>
              </w:rPr>
              <w:t xml:space="preserve">    (193</w:t>
            </w:r>
            <w:r w:rsidR="009A5193">
              <w:rPr>
                <w:szCs w:val="20"/>
              </w:rPr>
              <w:t xml:space="preserve"> - </w:t>
            </w:r>
            <w:r w:rsidRPr="00EB1EE7">
              <w:rPr>
                <w:szCs w:val="20"/>
              </w:rPr>
              <w:t>6</w:t>
            </w:r>
            <w:r w:rsidR="009A5193">
              <w:rPr>
                <w:szCs w:val="20"/>
              </w:rPr>
              <w:t>,</w:t>
            </w:r>
            <w:r w:rsidRPr="00EB1EE7">
              <w:rPr>
                <w:szCs w:val="20"/>
              </w:rPr>
              <w:t>701)</w:t>
            </w:r>
          </w:p>
        </w:tc>
        <w:tc>
          <w:tcPr>
            <w:tcW w:w="1559" w:type="dxa"/>
          </w:tcPr>
          <w:p w14:paraId="687C6044" w14:textId="1E1FE808" w:rsidR="00EB1EE7" w:rsidRPr="00EB1EE7" w:rsidRDefault="00EB1EE7" w:rsidP="00EB1EE7">
            <w:pPr>
              <w:pStyle w:val="NormalWeb"/>
              <w:spacing w:line="276" w:lineRule="auto"/>
              <w:rPr>
                <w:b/>
                <w:bCs/>
                <w:szCs w:val="20"/>
              </w:rPr>
            </w:pPr>
            <w:r w:rsidRPr="00EB1EE7">
              <w:rPr>
                <w:szCs w:val="20"/>
              </w:rPr>
              <w:t xml:space="preserve">12        </w:t>
            </w:r>
            <w:r>
              <w:rPr>
                <w:szCs w:val="20"/>
              </w:rPr>
              <w:t xml:space="preserve">                   </w:t>
            </w:r>
            <w:r w:rsidRPr="00EB1EE7">
              <w:rPr>
                <w:szCs w:val="20"/>
              </w:rPr>
              <w:t xml:space="preserve">   (1, 167)</w:t>
            </w:r>
          </w:p>
        </w:tc>
        <w:tc>
          <w:tcPr>
            <w:tcW w:w="1559" w:type="dxa"/>
          </w:tcPr>
          <w:p w14:paraId="06860452" w14:textId="3A6883F8" w:rsidR="00EB1EE7" w:rsidRPr="00EB1EE7" w:rsidRDefault="00EB1EE7" w:rsidP="00EB1EE7">
            <w:pPr>
              <w:pStyle w:val="NormalWeb"/>
              <w:spacing w:line="276" w:lineRule="auto"/>
              <w:rPr>
                <w:b/>
                <w:bCs/>
                <w:szCs w:val="20"/>
              </w:rPr>
            </w:pPr>
            <w:r w:rsidRPr="00EB1EE7">
              <w:rPr>
                <w:szCs w:val="20"/>
              </w:rPr>
              <w:t>24</w:t>
            </w:r>
            <w:r w:rsidR="007A7A80">
              <w:rPr>
                <w:szCs w:val="20"/>
              </w:rPr>
              <w:t>,</w:t>
            </w:r>
            <w:r w:rsidRPr="00EB1EE7">
              <w:rPr>
                <w:szCs w:val="20"/>
              </w:rPr>
              <w:t>711          (6</w:t>
            </w:r>
            <w:r w:rsidR="007A7A80">
              <w:rPr>
                <w:szCs w:val="20"/>
              </w:rPr>
              <w:t>,</w:t>
            </w:r>
            <w:r w:rsidRPr="00EB1EE7">
              <w:rPr>
                <w:szCs w:val="20"/>
              </w:rPr>
              <w:t>835</w:t>
            </w:r>
            <w:r w:rsidR="007A7A80">
              <w:rPr>
                <w:szCs w:val="20"/>
              </w:rPr>
              <w:t xml:space="preserve"> - </w:t>
            </w:r>
            <w:r w:rsidRPr="00EB1EE7">
              <w:rPr>
                <w:szCs w:val="20"/>
              </w:rPr>
              <w:t>93</w:t>
            </w:r>
            <w:r w:rsidR="007A7A80">
              <w:rPr>
                <w:szCs w:val="20"/>
              </w:rPr>
              <w:t>,</w:t>
            </w:r>
            <w:r w:rsidRPr="00EB1EE7">
              <w:rPr>
                <w:szCs w:val="20"/>
              </w:rPr>
              <w:t>601)</w:t>
            </w:r>
          </w:p>
        </w:tc>
        <w:tc>
          <w:tcPr>
            <w:tcW w:w="1843" w:type="dxa"/>
          </w:tcPr>
          <w:p w14:paraId="5E607BAE" w14:textId="69B23FA8" w:rsidR="00EB1EE7" w:rsidRPr="00EB1EE7" w:rsidRDefault="00EB1EE7" w:rsidP="00EB1EE7">
            <w:pPr>
              <w:pStyle w:val="NormalWeb"/>
              <w:spacing w:line="276" w:lineRule="auto"/>
              <w:rPr>
                <w:b/>
                <w:bCs/>
                <w:szCs w:val="20"/>
              </w:rPr>
            </w:pPr>
            <w:r w:rsidRPr="00EB1EE7">
              <w:rPr>
                <w:szCs w:val="20"/>
              </w:rPr>
              <w:t>276</w:t>
            </w:r>
            <w:r w:rsidR="007A7A80">
              <w:rPr>
                <w:szCs w:val="20"/>
              </w:rPr>
              <w:t>,</w:t>
            </w:r>
            <w:r w:rsidRPr="00EB1EE7">
              <w:rPr>
                <w:szCs w:val="20"/>
              </w:rPr>
              <w:t>726        (109</w:t>
            </w:r>
            <w:r w:rsidR="007A7A80">
              <w:rPr>
                <w:szCs w:val="20"/>
              </w:rPr>
              <w:t>,</w:t>
            </w:r>
            <w:r w:rsidRPr="00EB1EE7">
              <w:rPr>
                <w:szCs w:val="20"/>
              </w:rPr>
              <w:t>537</w:t>
            </w:r>
            <w:r w:rsidR="007A7A80">
              <w:rPr>
                <w:szCs w:val="20"/>
              </w:rPr>
              <w:t xml:space="preserve"> - </w:t>
            </w:r>
            <w:r w:rsidRPr="00EB1EE7">
              <w:rPr>
                <w:szCs w:val="20"/>
              </w:rPr>
              <w:t>724</w:t>
            </w:r>
            <w:r w:rsidR="007A7A80">
              <w:rPr>
                <w:szCs w:val="20"/>
              </w:rPr>
              <w:t>,</w:t>
            </w:r>
            <w:r w:rsidRPr="00EB1EE7">
              <w:rPr>
                <w:szCs w:val="20"/>
              </w:rPr>
              <w:t>206)</w:t>
            </w:r>
          </w:p>
        </w:tc>
        <w:tc>
          <w:tcPr>
            <w:tcW w:w="1559" w:type="dxa"/>
          </w:tcPr>
          <w:p w14:paraId="36759D66" w14:textId="1C7166AE" w:rsidR="00EB1EE7" w:rsidRPr="00EB1EE7" w:rsidRDefault="00EB1EE7" w:rsidP="00EB1EE7">
            <w:pPr>
              <w:pStyle w:val="NormalWeb"/>
              <w:spacing w:line="276" w:lineRule="auto"/>
              <w:rPr>
                <w:b/>
                <w:bCs/>
                <w:szCs w:val="20"/>
              </w:rPr>
            </w:pPr>
            <w:r w:rsidRPr="00EB1EE7">
              <w:rPr>
                <w:szCs w:val="20"/>
              </w:rPr>
              <w:t>14</w:t>
            </w:r>
            <w:r w:rsidR="007A7A80">
              <w:rPr>
                <w:szCs w:val="20"/>
              </w:rPr>
              <w:t>,</w:t>
            </w:r>
            <w:r w:rsidRPr="00EB1EE7">
              <w:rPr>
                <w:szCs w:val="20"/>
              </w:rPr>
              <w:t>166                    (2</w:t>
            </w:r>
            <w:r w:rsidR="007A7A80">
              <w:rPr>
                <w:szCs w:val="20"/>
              </w:rPr>
              <w:t>,</w:t>
            </w:r>
            <w:r w:rsidRPr="00EB1EE7">
              <w:rPr>
                <w:szCs w:val="20"/>
              </w:rPr>
              <w:t>851</w:t>
            </w:r>
            <w:r w:rsidR="007A7A80">
              <w:rPr>
                <w:szCs w:val="20"/>
              </w:rPr>
              <w:t xml:space="preserve"> - </w:t>
            </w:r>
            <w:r w:rsidRPr="00EB1EE7">
              <w:rPr>
                <w:szCs w:val="20"/>
              </w:rPr>
              <w:t>63</w:t>
            </w:r>
            <w:r w:rsidR="007A7A80">
              <w:rPr>
                <w:szCs w:val="20"/>
              </w:rPr>
              <w:t>,</w:t>
            </w:r>
            <w:r w:rsidRPr="00EB1EE7">
              <w:rPr>
                <w:szCs w:val="20"/>
              </w:rPr>
              <w:t>969)</w:t>
            </w:r>
          </w:p>
        </w:tc>
        <w:tc>
          <w:tcPr>
            <w:tcW w:w="1276" w:type="dxa"/>
          </w:tcPr>
          <w:p w14:paraId="59242E11" w14:textId="7DB4DE83" w:rsidR="00EB1EE7" w:rsidRPr="00EB1EE7" w:rsidRDefault="00EB1EE7" w:rsidP="00EB1EE7">
            <w:pPr>
              <w:pStyle w:val="NormalWeb"/>
              <w:spacing w:line="276" w:lineRule="auto"/>
              <w:rPr>
                <w:b/>
                <w:bCs/>
                <w:szCs w:val="20"/>
              </w:rPr>
            </w:pPr>
            <w:r w:rsidRPr="00EB1EE7">
              <w:rPr>
                <w:szCs w:val="20"/>
              </w:rPr>
              <w:t>155                         (14</w:t>
            </w:r>
            <w:r w:rsidR="007A7A80">
              <w:rPr>
                <w:szCs w:val="20"/>
              </w:rPr>
              <w:t xml:space="preserve"> - </w:t>
            </w:r>
            <w:r w:rsidRPr="00EB1EE7">
              <w:rPr>
                <w:szCs w:val="20"/>
              </w:rPr>
              <w:t>1</w:t>
            </w:r>
            <w:r w:rsidR="007A7A80">
              <w:rPr>
                <w:szCs w:val="20"/>
              </w:rPr>
              <w:t>,</w:t>
            </w:r>
            <w:r w:rsidRPr="00EB1EE7">
              <w:rPr>
                <w:szCs w:val="20"/>
              </w:rPr>
              <w:t>815)</w:t>
            </w:r>
          </w:p>
        </w:tc>
        <w:tc>
          <w:tcPr>
            <w:tcW w:w="1909" w:type="dxa"/>
          </w:tcPr>
          <w:p w14:paraId="5C081E1D" w14:textId="2703D0F7" w:rsidR="00EB1EE7" w:rsidRPr="00EB1EE7" w:rsidRDefault="00EB1EE7" w:rsidP="00EB1EE7">
            <w:pPr>
              <w:pStyle w:val="NormalWeb"/>
              <w:spacing w:line="276" w:lineRule="auto"/>
              <w:rPr>
                <w:b/>
                <w:bCs/>
                <w:szCs w:val="20"/>
              </w:rPr>
            </w:pPr>
            <w:r w:rsidRPr="00EB1EE7">
              <w:rPr>
                <w:szCs w:val="20"/>
              </w:rPr>
              <w:t>275</w:t>
            </w:r>
            <w:r w:rsidR="007A7A80">
              <w:rPr>
                <w:szCs w:val="20"/>
              </w:rPr>
              <w:t>,</w:t>
            </w:r>
            <w:r w:rsidRPr="00EB1EE7">
              <w:rPr>
                <w:szCs w:val="20"/>
              </w:rPr>
              <w:t>961          (108</w:t>
            </w:r>
            <w:r w:rsidR="007A7A80">
              <w:rPr>
                <w:szCs w:val="20"/>
              </w:rPr>
              <w:t>,</w:t>
            </w:r>
            <w:r w:rsidRPr="00EB1EE7">
              <w:rPr>
                <w:szCs w:val="20"/>
              </w:rPr>
              <w:t>912</w:t>
            </w:r>
            <w:r w:rsidR="007A7A80">
              <w:rPr>
                <w:szCs w:val="20"/>
              </w:rPr>
              <w:t xml:space="preserve"> - </w:t>
            </w:r>
            <w:r w:rsidRPr="00EB1EE7">
              <w:rPr>
                <w:szCs w:val="20"/>
              </w:rPr>
              <w:t>722</w:t>
            </w:r>
            <w:r w:rsidR="007A7A80">
              <w:rPr>
                <w:szCs w:val="20"/>
              </w:rPr>
              <w:t>,</w:t>
            </w:r>
            <w:r w:rsidRPr="00EB1EE7">
              <w:rPr>
                <w:szCs w:val="20"/>
              </w:rPr>
              <w:t>318)</w:t>
            </w:r>
          </w:p>
        </w:tc>
      </w:tr>
      <w:tr w:rsidR="00EB1EE7" w14:paraId="29EBF863" w14:textId="77777777" w:rsidTr="007A7A80">
        <w:tc>
          <w:tcPr>
            <w:tcW w:w="883" w:type="dxa"/>
          </w:tcPr>
          <w:p w14:paraId="1F9114F5" w14:textId="0CAC5AAD" w:rsidR="00EB1EE7" w:rsidRPr="00EB1EE7" w:rsidRDefault="00EB1EE7" w:rsidP="00EB1EE7">
            <w:pPr>
              <w:pStyle w:val="NormalWeb"/>
              <w:spacing w:line="276" w:lineRule="auto"/>
              <w:rPr>
                <w:b/>
                <w:bCs/>
                <w:szCs w:val="20"/>
              </w:rPr>
            </w:pPr>
            <w:r w:rsidRPr="00EB1EE7">
              <w:rPr>
                <w:szCs w:val="20"/>
              </w:rPr>
              <w:t>DaR</w:t>
            </w:r>
          </w:p>
        </w:tc>
        <w:tc>
          <w:tcPr>
            <w:tcW w:w="1811" w:type="dxa"/>
          </w:tcPr>
          <w:p w14:paraId="1BDDAD5C" w14:textId="3C5D0469" w:rsidR="00EB1EE7" w:rsidRPr="00EB1EE7" w:rsidRDefault="00EB1EE7" w:rsidP="00EB1EE7">
            <w:pPr>
              <w:pStyle w:val="NormalWeb"/>
              <w:spacing w:line="276" w:lineRule="auto"/>
              <w:rPr>
                <w:b/>
                <w:bCs/>
                <w:szCs w:val="20"/>
              </w:rPr>
            </w:pPr>
            <w:r w:rsidRPr="00EB1EE7">
              <w:rPr>
                <w:szCs w:val="20"/>
              </w:rPr>
              <w:t>24</w:t>
            </w:r>
            <w:r w:rsidR="009A5193">
              <w:rPr>
                <w:szCs w:val="20"/>
              </w:rPr>
              <w:t>,</w:t>
            </w:r>
            <w:r w:rsidRPr="00EB1EE7">
              <w:rPr>
                <w:szCs w:val="20"/>
              </w:rPr>
              <w:t xml:space="preserve">839    </w:t>
            </w:r>
            <w:r>
              <w:rPr>
                <w:szCs w:val="20"/>
              </w:rPr>
              <w:t xml:space="preserve">        </w:t>
            </w:r>
            <w:r w:rsidRPr="00EB1EE7">
              <w:rPr>
                <w:szCs w:val="20"/>
              </w:rPr>
              <w:t xml:space="preserve">   (6</w:t>
            </w:r>
            <w:r w:rsidR="009A5193">
              <w:rPr>
                <w:szCs w:val="20"/>
              </w:rPr>
              <w:t>,</w:t>
            </w:r>
            <w:r w:rsidRPr="00EB1EE7">
              <w:rPr>
                <w:szCs w:val="20"/>
              </w:rPr>
              <w:t>849</w:t>
            </w:r>
            <w:r w:rsidR="009A5193">
              <w:rPr>
                <w:szCs w:val="20"/>
              </w:rPr>
              <w:t xml:space="preserve"> - </w:t>
            </w:r>
            <w:r w:rsidRPr="00EB1EE7">
              <w:rPr>
                <w:szCs w:val="20"/>
              </w:rPr>
              <w:t>94</w:t>
            </w:r>
            <w:r w:rsidR="009A5193">
              <w:rPr>
                <w:szCs w:val="20"/>
              </w:rPr>
              <w:t>,</w:t>
            </w:r>
            <w:r w:rsidRPr="00EB1EE7">
              <w:rPr>
                <w:szCs w:val="20"/>
              </w:rPr>
              <w:t>229)</w:t>
            </w:r>
          </w:p>
        </w:tc>
        <w:tc>
          <w:tcPr>
            <w:tcW w:w="1559" w:type="dxa"/>
          </w:tcPr>
          <w:p w14:paraId="2250584C" w14:textId="22329A7D" w:rsidR="00EB1EE7" w:rsidRPr="00EB1EE7" w:rsidRDefault="00EB1EE7" w:rsidP="00EB1EE7">
            <w:pPr>
              <w:pStyle w:val="NormalWeb"/>
              <w:spacing w:line="276" w:lineRule="auto"/>
              <w:rPr>
                <w:b/>
                <w:bCs/>
                <w:szCs w:val="20"/>
              </w:rPr>
            </w:pPr>
            <w:r w:rsidRPr="00EB1EE7">
              <w:rPr>
                <w:szCs w:val="20"/>
              </w:rPr>
              <w:t>1</w:t>
            </w:r>
            <w:r w:rsidR="009A5193">
              <w:rPr>
                <w:szCs w:val="20"/>
              </w:rPr>
              <w:t>,</w:t>
            </w:r>
            <w:r w:rsidRPr="00EB1EE7">
              <w:rPr>
                <w:szCs w:val="20"/>
              </w:rPr>
              <w:t xml:space="preserve">146      </w:t>
            </w:r>
            <w:r>
              <w:rPr>
                <w:szCs w:val="20"/>
              </w:rPr>
              <w:t xml:space="preserve">     </w:t>
            </w:r>
            <w:r w:rsidRPr="00EB1EE7">
              <w:rPr>
                <w:szCs w:val="20"/>
              </w:rPr>
              <w:t xml:space="preserve">   (192</w:t>
            </w:r>
            <w:r w:rsidR="009A5193">
              <w:rPr>
                <w:szCs w:val="20"/>
              </w:rPr>
              <w:t xml:space="preserve"> - </w:t>
            </w:r>
            <w:r w:rsidRPr="00EB1EE7">
              <w:rPr>
                <w:szCs w:val="20"/>
              </w:rPr>
              <w:t>6</w:t>
            </w:r>
            <w:r w:rsidR="009A5193">
              <w:rPr>
                <w:szCs w:val="20"/>
              </w:rPr>
              <w:t>,</w:t>
            </w:r>
            <w:r w:rsidRPr="00EB1EE7">
              <w:rPr>
                <w:szCs w:val="20"/>
              </w:rPr>
              <w:t>568)</w:t>
            </w:r>
          </w:p>
        </w:tc>
        <w:tc>
          <w:tcPr>
            <w:tcW w:w="1559" w:type="dxa"/>
          </w:tcPr>
          <w:p w14:paraId="7F582616" w14:textId="1C4E8335" w:rsidR="00EB1EE7" w:rsidRPr="00EB1EE7" w:rsidRDefault="00EB1EE7" w:rsidP="00EB1EE7">
            <w:pPr>
              <w:pStyle w:val="NormalWeb"/>
              <w:spacing w:line="276" w:lineRule="auto"/>
              <w:rPr>
                <w:b/>
                <w:bCs/>
                <w:szCs w:val="20"/>
              </w:rPr>
            </w:pPr>
            <w:r w:rsidRPr="00EB1EE7">
              <w:rPr>
                <w:szCs w:val="20"/>
              </w:rPr>
              <w:t xml:space="preserve">12        </w:t>
            </w:r>
            <w:r>
              <w:rPr>
                <w:szCs w:val="20"/>
              </w:rPr>
              <w:t xml:space="preserve">                </w:t>
            </w:r>
            <w:r w:rsidRPr="00EB1EE7">
              <w:rPr>
                <w:szCs w:val="20"/>
              </w:rPr>
              <w:t xml:space="preserve">   (1, 167)</w:t>
            </w:r>
          </w:p>
        </w:tc>
        <w:tc>
          <w:tcPr>
            <w:tcW w:w="1559" w:type="dxa"/>
          </w:tcPr>
          <w:p w14:paraId="73BA08F5" w14:textId="7B78F809" w:rsidR="00EB1EE7" w:rsidRPr="00EB1EE7" w:rsidRDefault="00EB1EE7" w:rsidP="00EB1EE7">
            <w:pPr>
              <w:pStyle w:val="NormalWeb"/>
              <w:spacing w:line="276" w:lineRule="auto"/>
              <w:rPr>
                <w:b/>
                <w:bCs/>
                <w:szCs w:val="20"/>
              </w:rPr>
            </w:pPr>
            <w:r w:rsidRPr="00EB1EE7">
              <w:rPr>
                <w:szCs w:val="20"/>
              </w:rPr>
              <w:t>24</w:t>
            </w:r>
            <w:r w:rsidR="007A7A80">
              <w:rPr>
                <w:szCs w:val="20"/>
              </w:rPr>
              <w:t>,</w:t>
            </w:r>
            <w:r w:rsidRPr="00EB1EE7">
              <w:rPr>
                <w:szCs w:val="20"/>
              </w:rPr>
              <w:t>708          (6</w:t>
            </w:r>
            <w:r w:rsidR="007A7A80">
              <w:rPr>
                <w:szCs w:val="20"/>
              </w:rPr>
              <w:t>,</w:t>
            </w:r>
            <w:r w:rsidRPr="00EB1EE7">
              <w:rPr>
                <w:szCs w:val="20"/>
              </w:rPr>
              <w:t>833</w:t>
            </w:r>
            <w:r w:rsidR="007A7A80">
              <w:rPr>
                <w:szCs w:val="20"/>
              </w:rPr>
              <w:t xml:space="preserve"> - 9</w:t>
            </w:r>
            <w:r w:rsidRPr="00EB1EE7">
              <w:rPr>
                <w:szCs w:val="20"/>
              </w:rPr>
              <w:t>3</w:t>
            </w:r>
            <w:r w:rsidR="007A7A80">
              <w:rPr>
                <w:szCs w:val="20"/>
              </w:rPr>
              <w:t>,</w:t>
            </w:r>
            <w:r w:rsidRPr="00EB1EE7">
              <w:rPr>
                <w:szCs w:val="20"/>
              </w:rPr>
              <w:t>599)</w:t>
            </w:r>
          </w:p>
        </w:tc>
        <w:tc>
          <w:tcPr>
            <w:tcW w:w="1843" w:type="dxa"/>
          </w:tcPr>
          <w:p w14:paraId="42F69FA8" w14:textId="4D43E147" w:rsidR="00EB1EE7" w:rsidRPr="00EB1EE7" w:rsidRDefault="00EB1EE7" w:rsidP="00EB1EE7">
            <w:pPr>
              <w:pStyle w:val="NormalWeb"/>
              <w:spacing w:line="276" w:lineRule="auto"/>
              <w:rPr>
                <w:b/>
                <w:bCs/>
                <w:szCs w:val="20"/>
              </w:rPr>
            </w:pPr>
            <w:r w:rsidRPr="00EB1EE7">
              <w:rPr>
                <w:szCs w:val="20"/>
              </w:rPr>
              <w:t>276</w:t>
            </w:r>
            <w:r w:rsidR="007A7A80">
              <w:rPr>
                <w:szCs w:val="20"/>
              </w:rPr>
              <w:t>,</w:t>
            </w:r>
            <w:r w:rsidRPr="00EB1EE7">
              <w:rPr>
                <w:szCs w:val="20"/>
              </w:rPr>
              <w:t>713        (109</w:t>
            </w:r>
            <w:r w:rsidR="007A7A80">
              <w:rPr>
                <w:szCs w:val="20"/>
              </w:rPr>
              <w:t>,</w:t>
            </w:r>
            <w:r w:rsidRPr="00EB1EE7">
              <w:rPr>
                <w:szCs w:val="20"/>
              </w:rPr>
              <w:t>530</w:t>
            </w:r>
            <w:r w:rsidR="007A7A80">
              <w:rPr>
                <w:szCs w:val="20"/>
              </w:rPr>
              <w:t xml:space="preserve"> - </w:t>
            </w:r>
            <w:r w:rsidRPr="00EB1EE7">
              <w:rPr>
                <w:szCs w:val="20"/>
              </w:rPr>
              <w:t>724</w:t>
            </w:r>
            <w:r w:rsidR="007A7A80">
              <w:rPr>
                <w:szCs w:val="20"/>
              </w:rPr>
              <w:t>,</w:t>
            </w:r>
            <w:r w:rsidRPr="00EB1EE7">
              <w:rPr>
                <w:szCs w:val="20"/>
              </w:rPr>
              <w:t>206)</w:t>
            </w:r>
          </w:p>
        </w:tc>
        <w:tc>
          <w:tcPr>
            <w:tcW w:w="1559" w:type="dxa"/>
          </w:tcPr>
          <w:p w14:paraId="0A57C53A" w14:textId="1538AB8B" w:rsidR="00EB1EE7" w:rsidRPr="00EB1EE7" w:rsidRDefault="00EB1EE7" w:rsidP="00EB1EE7">
            <w:pPr>
              <w:pStyle w:val="NormalWeb"/>
              <w:spacing w:line="276" w:lineRule="auto"/>
              <w:rPr>
                <w:b/>
                <w:bCs/>
                <w:szCs w:val="20"/>
              </w:rPr>
            </w:pPr>
            <w:r w:rsidRPr="00EB1EE7">
              <w:rPr>
                <w:szCs w:val="20"/>
              </w:rPr>
              <w:t>14</w:t>
            </w:r>
            <w:r w:rsidR="007A7A80">
              <w:rPr>
                <w:szCs w:val="20"/>
              </w:rPr>
              <w:t>,</w:t>
            </w:r>
            <w:r w:rsidRPr="00EB1EE7">
              <w:rPr>
                <w:szCs w:val="20"/>
              </w:rPr>
              <w:t>166                    (2</w:t>
            </w:r>
            <w:r w:rsidR="007A7A80">
              <w:rPr>
                <w:szCs w:val="20"/>
              </w:rPr>
              <w:t>,</w:t>
            </w:r>
            <w:r w:rsidRPr="00EB1EE7">
              <w:rPr>
                <w:szCs w:val="20"/>
              </w:rPr>
              <w:t>851</w:t>
            </w:r>
            <w:r w:rsidR="007A7A80">
              <w:rPr>
                <w:szCs w:val="20"/>
              </w:rPr>
              <w:t xml:space="preserve"> - </w:t>
            </w:r>
            <w:r w:rsidRPr="00EB1EE7">
              <w:rPr>
                <w:szCs w:val="20"/>
              </w:rPr>
              <w:t>63</w:t>
            </w:r>
            <w:r w:rsidR="007A7A80">
              <w:rPr>
                <w:szCs w:val="20"/>
              </w:rPr>
              <w:t>,</w:t>
            </w:r>
            <w:r w:rsidRPr="00EB1EE7">
              <w:rPr>
                <w:szCs w:val="20"/>
              </w:rPr>
              <w:t>965)</w:t>
            </w:r>
          </w:p>
        </w:tc>
        <w:tc>
          <w:tcPr>
            <w:tcW w:w="1276" w:type="dxa"/>
          </w:tcPr>
          <w:p w14:paraId="643609B3" w14:textId="6265FA11" w:rsidR="00EB1EE7" w:rsidRPr="00EB1EE7" w:rsidRDefault="00EB1EE7" w:rsidP="00EB1EE7">
            <w:pPr>
              <w:pStyle w:val="NormalWeb"/>
              <w:spacing w:line="276" w:lineRule="auto"/>
              <w:rPr>
                <w:b/>
                <w:bCs/>
                <w:szCs w:val="20"/>
              </w:rPr>
            </w:pPr>
            <w:r w:rsidRPr="00EB1EE7">
              <w:rPr>
                <w:szCs w:val="20"/>
              </w:rPr>
              <w:t>155                         (14</w:t>
            </w:r>
            <w:r w:rsidR="007A7A80">
              <w:rPr>
                <w:szCs w:val="20"/>
              </w:rPr>
              <w:t xml:space="preserve"> - </w:t>
            </w:r>
            <w:r w:rsidRPr="00EB1EE7">
              <w:rPr>
                <w:szCs w:val="20"/>
              </w:rPr>
              <w:t>1</w:t>
            </w:r>
            <w:r w:rsidR="007A7A80">
              <w:rPr>
                <w:szCs w:val="20"/>
              </w:rPr>
              <w:t>,</w:t>
            </w:r>
            <w:r w:rsidRPr="00EB1EE7">
              <w:rPr>
                <w:szCs w:val="20"/>
              </w:rPr>
              <w:t>815)</w:t>
            </w:r>
          </w:p>
        </w:tc>
        <w:tc>
          <w:tcPr>
            <w:tcW w:w="1909" w:type="dxa"/>
          </w:tcPr>
          <w:p w14:paraId="081F0ABF" w14:textId="44E9E062" w:rsidR="00EB1EE7" w:rsidRPr="00EB1EE7" w:rsidRDefault="00EB1EE7" w:rsidP="00EB1EE7">
            <w:pPr>
              <w:pStyle w:val="NormalWeb"/>
              <w:spacing w:line="276" w:lineRule="auto"/>
              <w:rPr>
                <w:b/>
                <w:bCs/>
                <w:szCs w:val="20"/>
              </w:rPr>
            </w:pPr>
            <w:r w:rsidRPr="00EB1EE7">
              <w:rPr>
                <w:szCs w:val="20"/>
              </w:rPr>
              <w:t>275</w:t>
            </w:r>
            <w:r w:rsidR="007A7A80">
              <w:rPr>
                <w:szCs w:val="20"/>
              </w:rPr>
              <w:t>,</w:t>
            </w:r>
            <w:r w:rsidRPr="00EB1EE7">
              <w:rPr>
                <w:szCs w:val="20"/>
              </w:rPr>
              <w:t>927          (108</w:t>
            </w:r>
            <w:r w:rsidR="007A7A80">
              <w:rPr>
                <w:szCs w:val="20"/>
              </w:rPr>
              <w:t>,</w:t>
            </w:r>
            <w:r w:rsidRPr="00EB1EE7">
              <w:rPr>
                <w:szCs w:val="20"/>
              </w:rPr>
              <w:t>888</w:t>
            </w:r>
            <w:r w:rsidR="007A7A80">
              <w:rPr>
                <w:szCs w:val="20"/>
              </w:rPr>
              <w:t xml:space="preserve"> - </w:t>
            </w:r>
            <w:r w:rsidRPr="00EB1EE7">
              <w:rPr>
                <w:szCs w:val="20"/>
              </w:rPr>
              <w:t>722</w:t>
            </w:r>
            <w:r w:rsidR="007A7A80">
              <w:rPr>
                <w:szCs w:val="20"/>
              </w:rPr>
              <w:t>,</w:t>
            </w:r>
            <w:r w:rsidRPr="00EB1EE7">
              <w:rPr>
                <w:szCs w:val="20"/>
              </w:rPr>
              <w:t>318)</w:t>
            </w:r>
          </w:p>
        </w:tc>
      </w:tr>
    </w:tbl>
    <w:p w14:paraId="713FC7B5" w14:textId="508E156D" w:rsidR="00386083" w:rsidRPr="00477A5E" w:rsidRDefault="00386083" w:rsidP="00386083">
      <w:pPr>
        <w:pStyle w:val="NormalWeb"/>
        <w:spacing w:line="276" w:lineRule="auto"/>
        <w:jc w:val="both"/>
        <w:rPr>
          <w:sz w:val="20"/>
          <w:szCs w:val="20"/>
        </w:rPr>
      </w:pPr>
      <w:r w:rsidRPr="00477A5E">
        <w:rPr>
          <w:sz w:val="20"/>
          <w:szCs w:val="20"/>
          <w:lang w:val="en-US"/>
        </w:rPr>
        <w:t xml:space="preserve">Table </w:t>
      </w:r>
      <w:r w:rsidR="00E10DA0">
        <w:rPr>
          <w:sz w:val="20"/>
          <w:szCs w:val="20"/>
          <w:lang w:val="en-US"/>
        </w:rPr>
        <w:t>3</w:t>
      </w:r>
      <w:r w:rsidRPr="00477A5E">
        <w:rPr>
          <w:sz w:val="20"/>
          <w:szCs w:val="20"/>
          <w:lang w:val="en-US"/>
        </w:rPr>
        <w:t xml:space="preserve">: </w:t>
      </w:r>
      <w:r>
        <w:rPr>
          <w:sz w:val="20"/>
          <w:szCs w:val="20"/>
          <w:lang w:val="en-US"/>
        </w:rPr>
        <w:t>E</w:t>
      </w:r>
      <w:r w:rsidRPr="00477A5E">
        <w:rPr>
          <w:sz w:val="20"/>
          <w:szCs w:val="20"/>
        </w:rPr>
        <w:t xml:space="preserve">stimated impact of doxy-PEP strategies </w:t>
      </w:r>
      <w:r>
        <w:rPr>
          <w:sz w:val="20"/>
          <w:szCs w:val="20"/>
        </w:rPr>
        <w:t xml:space="preserve">(total number of averted cases by stage) </w:t>
      </w:r>
      <w:r w:rsidRPr="00477A5E">
        <w:rPr>
          <w:sz w:val="20"/>
          <w:szCs w:val="20"/>
        </w:rPr>
        <w:t>among MSM</w:t>
      </w:r>
      <w:r w:rsidR="00E10DA0">
        <w:rPr>
          <w:sz w:val="20"/>
          <w:szCs w:val="20"/>
        </w:rPr>
        <w:t xml:space="preserve"> </w:t>
      </w:r>
      <w:r w:rsidR="00E10DA0" w:rsidRPr="00657E82">
        <w:rPr>
          <w:sz w:val="20"/>
          <w:szCs w:val="20"/>
        </w:rPr>
        <w:t>(uptake rate of 33.0%)</w:t>
      </w:r>
      <w:r>
        <w:rPr>
          <w:sz w:val="20"/>
          <w:szCs w:val="20"/>
        </w:rPr>
        <w:t>, where</w:t>
      </w:r>
      <w:r w:rsidRPr="005A4C0F">
        <w:rPr>
          <w:sz w:val="20"/>
          <w:szCs w:val="20"/>
        </w:rPr>
        <w:t xml:space="preserve"> protection is reduced to 33.0% of the baseline efficacy </w:t>
      </w:r>
      <w:r>
        <w:rPr>
          <w:sz w:val="20"/>
          <w:szCs w:val="20"/>
        </w:rPr>
        <w:t xml:space="preserve">for suboptimal adherence strata </w:t>
      </w:r>
      <w:r w:rsidRPr="005A4C0F">
        <w:rPr>
          <w:sz w:val="20"/>
          <w:szCs w:val="20"/>
        </w:rPr>
        <w:t xml:space="preserve">(i.e., </w:t>
      </w:r>
      <m:oMath>
        <m:r>
          <w:rPr>
            <w:rFonts w:ascii="Cambria Math" w:eastAsia="DengXian" w:hAnsi="Cambria Math"/>
            <w:sz w:val="20"/>
            <w:szCs w:val="20"/>
          </w:rPr>
          <m:t>ζ</m:t>
        </m:r>
      </m:oMath>
      <w:r w:rsidRPr="005A4C0F">
        <w:rPr>
          <w:rFonts w:eastAsia="DengXian"/>
          <w:iCs/>
          <w:sz w:val="20"/>
          <w:szCs w:val="20"/>
        </w:rPr>
        <w:t xml:space="preserve"> = 33.0%)</w:t>
      </w:r>
      <w:r>
        <w:rPr>
          <w:rFonts w:eastAsia="DengXian"/>
          <w:iCs/>
          <w:sz w:val="20"/>
          <w:szCs w:val="20"/>
        </w:rPr>
        <w:t xml:space="preserve"> and a normal adherence behavioural pattern (i.e., </w:t>
      </w:r>
      <m:oMath>
        <m:r>
          <w:rPr>
            <w:rFonts w:ascii="Cambria Math" w:eastAsia="DengXian" w:hAnsi="Cambria Math"/>
            <w:sz w:val="20"/>
            <w:szCs w:val="20"/>
          </w:rPr>
          <m:t>u</m:t>
        </m:r>
      </m:oMath>
      <w:r>
        <w:rPr>
          <w:rFonts w:eastAsia="DengXian"/>
          <w:iCs/>
          <w:sz w:val="20"/>
          <w:szCs w:val="20"/>
        </w:rPr>
        <w:t xml:space="preserve"> = 1)</w:t>
      </w:r>
      <w:r w:rsidRPr="005A4C0F">
        <w:rPr>
          <w:rFonts w:eastAsia="DengXian"/>
          <w:iCs/>
          <w:sz w:val="20"/>
          <w:szCs w:val="20"/>
        </w:rPr>
        <w:t xml:space="preserve">, </w:t>
      </w:r>
      <w:r w:rsidRPr="00477A5E">
        <w:rPr>
          <w:rFonts w:eastAsia="DengXian"/>
          <w:iCs/>
          <w:sz w:val="20"/>
          <w:szCs w:val="20"/>
        </w:rPr>
        <w:t>assuming</w:t>
      </w:r>
      <w:r w:rsidRPr="00477A5E">
        <w:rPr>
          <w:sz w:val="20"/>
          <w:szCs w:val="20"/>
        </w:rPr>
        <w:t xml:space="preserve"> stabilization of inferred time-varying behavioural</w:t>
      </w:r>
      <w:r>
        <w:rPr>
          <w:sz w:val="20"/>
          <w:szCs w:val="20"/>
        </w:rPr>
        <w:t xml:space="preserve"> trends</w:t>
      </w:r>
      <w:r w:rsidRPr="00477A5E">
        <w:rPr>
          <w:sz w:val="20"/>
          <w:szCs w:val="20"/>
        </w:rPr>
        <w:t xml:space="preserve">. Results are presented as median (95% </w:t>
      </w:r>
      <w:r>
        <w:rPr>
          <w:sz w:val="20"/>
          <w:szCs w:val="20"/>
        </w:rPr>
        <w:t>credible interval</w:t>
      </w:r>
      <w:r w:rsidRPr="00477A5E">
        <w:rPr>
          <w:sz w:val="20"/>
          <w:szCs w:val="20"/>
        </w:rPr>
        <w:t xml:space="preserve">), assuming a high screening rate </w:t>
      </w:r>
      <w:r>
        <w:rPr>
          <w:sz w:val="20"/>
          <w:szCs w:val="20"/>
        </w:rPr>
        <w:t>(taken from</w:t>
      </w:r>
      <w:r w:rsidRPr="00477A5E">
        <w:rPr>
          <w:sz w:val="20"/>
          <w:szCs w:val="20"/>
        </w:rPr>
        <w:t xml:space="preserve"> our calibratio</w:t>
      </w:r>
      <w:r>
        <w:rPr>
          <w:sz w:val="20"/>
          <w:szCs w:val="20"/>
        </w:rPr>
        <w:t xml:space="preserve">n, </w:t>
      </w:r>
      <w:r w:rsidRPr="00477A5E">
        <w:rPr>
          <w:sz w:val="20"/>
          <w:szCs w:val="20"/>
        </w:rPr>
        <w:t xml:space="preserve">aligned with CDC-recommended levels </w:t>
      </w:r>
      <w:r w:rsidRPr="00477A5E">
        <w:rPr>
          <w:sz w:val="20"/>
          <w:szCs w:val="20"/>
        </w:rPr>
        <w:fldChar w:fldCharType="begin"/>
      </w:r>
      <w:r w:rsidR="00EF4218">
        <w:rPr>
          <w:sz w:val="20"/>
          <w:szCs w:val="20"/>
        </w:rPr>
        <w:instrText xml:space="preserve"> ADDIN ZOTERO_ITEM CSL_CITATION {"citationID":"q3nhr3u5","properties":{"formattedCitation":"[33]","plainCitation":"[33]","noteIndex":0},"citationItems":[{"id":155,"uris":["http://zotero.org/users/9663344/items/M53GFMXN"],"itemData":{"id":155,"type":"webpage","abstract":"Screening Recommendations and Considerations Referenced in Treatment Guidelines and Original Sources","container-title":"Centers for Disease Control and Prevention","language":"en-us","title":"STI Screening Recommendations","URL":"https://www.cdc.gov/std/treatment-guidelines/screening-recommendations.htm","accessed":{"date-parts":[["2025",6,8]]},"issued":{"date-parts":[["2025",3,13]]}}}],"schema":"https://github.com/citation-style-language/schema/raw/master/csl-citation.json"} </w:instrText>
      </w:r>
      <w:r w:rsidRPr="00477A5E">
        <w:rPr>
          <w:sz w:val="20"/>
          <w:szCs w:val="20"/>
        </w:rPr>
        <w:fldChar w:fldCharType="separate"/>
      </w:r>
      <w:r w:rsidR="00EF4218">
        <w:rPr>
          <w:noProof/>
          <w:sz w:val="20"/>
          <w:szCs w:val="20"/>
        </w:rPr>
        <w:t>[33]</w:t>
      </w:r>
      <w:r w:rsidRPr="00477A5E">
        <w:rPr>
          <w:sz w:val="20"/>
          <w:szCs w:val="20"/>
        </w:rPr>
        <w:fldChar w:fldCharType="end"/>
      </w:r>
      <w:r>
        <w:rPr>
          <w:sz w:val="20"/>
          <w:szCs w:val="20"/>
        </w:rPr>
        <w:t>)</w:t>
      </w:r>
      <w:r w:rsidRPr="00477A5E">
        <w:rPr>
          <w:sz w:val="20"/>
          <w:szCs w:val="20"/>
        </w:rPr>
        <w:t>.</w:t>
      </w:r>
    </w:p>
    <w:p w14:paraId="6530788F" w14:textId="77777777" w:rsidR="00EB1EE7" w:rsidRDefault="00EB1EE7" w:rsidP="00563E86">
      <w:pPr>
        <w:pStyle w:val="NormalWeb"/>
        <w:spacing w:line="276" w:lineRule="auto"/>
        <w:jc w:val="both"/>
        <w:rPr>
          <w:b/>
          <w:bCs/>
          <w:sz w:val="20"/>
          <w:szCs w:val="20"/>
        </w:rPr>
      </w:pPr>
    </w:p>
    <w:p w14:paraId="627A098C" w14:textId="77777777" w:rsidR="00C04772" w:rsidRDefault="00C04772" w:rsidP="00563E86">
      <w:pPr>
        <w:pStyle w:val="NormalWeb"/>
        <w:spacing w:line="276" w:lineRule="auto"/>
        <w:jc w:val="both"/>
        <w:rPr>
          <w:b/>
          <w:bCs/>
          <w:sz w:val="20"/>
          <w:szCs w:val="20"/>
        </w:rPr>
      </w:pPr>
      <w:r>
        <w:rPr>
          <w:noProof/>
          <w:sz w:val="20"/>
          <w:szCs w:val="20"/>
          <w14:ligatures w14:val="standardContextual"/>
        </w:rPr>
        <w:lastRenderedPageBreak/>
        <w:drawing>
          <wp:inline distT="0" distB="0" distL="0" distR="0" wp14:anchorId="53EE361A" wp14:editId="6A1D2DF9">
            <wp:extent cx="8863330" cy="4431665"/>
            <wp:effectExtent l="0" t="0" r="1270" b="635"/>
            <wp:docPr id="143867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20893" name="Picture 955420893"/>
                    <pic:cNvPicPr/>
                  </pic:nvPicPr>
                  <pic:blipFill>
                    <a:blip r:embed="rId14"/>
                    <a:stretch>
                      <a:fillRect/>
                    </a:stretch>
                  </pic:blipFill>
                  <pic:spPr>
                    <a:xfrm>
                      <a:off x="0" y="0"/>
                      <a:ext cx="8863330" cy="4431665"/>
                    </a:xfrm>
                    <a:prstGeom prst="rect">
                      <a:avLst/>
                    </a:prstGeom>
                  </pic:spPr>
                </pic:pic>
              </a:graphicData>
            </a:graphic>
          </wp:inline>
        </w:drawing>
      </w:r>
    </w:p>
    <w:p w14:paraId="566616E0" w14:textId="77777777" w:rsidR="007E13E0" w:rsidRDefault="00C04772" w:rsidP="00563E86">
      <w:pPr>
        <w:pStyle w:val="NormalWeb"/>
        <w:spacing w:line="276" w:lineRule="auto"/>
        <w:jc w:val="both"/>
        <w:rPr>
          <w:sz w:val="20"/>
          <w:szCs w:val="20"/>
        </w:rPr>
        <w:sectPr w:rsidR="007E13E0" w:rsidSect="00563E86">
          <w:pgSz w:w="16838" w:h="11906" w:orient="landscape"/>
          <w:pgMar w:top="1440" w:right="1440" w:bottom="1440" w:left="1440" w:header="709" w:footer="709" w:gutter="0"/>
          <w:cols w:space="708"/>
          <w:docGrid w:linePitch="360"/>
        </w:sectPr>
      </w:pPr>
      <w:r w:rsidRPr="00657E82">
        <w:rPr>
          <w:sz w:val="20"/>
          <w:szCs w:val="20"/>
          <w:lang w:val="en-US"/>
        </w:rPr>
        <w:t xml:space="preserve">Fig. </w:t>
      </w:r>
      <w:r>
        <w:rPr>
          <w:sz w:val="20"/>
          <w:szCs w:val="20"/>
          <w:lang w:val="en-US"/>
        </w:rPr>
        <w:t>3</w:t>
      </w:r>
      <w:r w:rsidRPr="00657E82">
        <w:rPr>
          <w:sz w:val="20"/>
          <w:szCs w:val="20"/>
          <w:lang w:val="en-US"/>
        </w:rPr>
        <w:t xml:space="preserve">: </w:t>
      </w:r>
      <w:r w:rsidRPr="00657E82">
        <w:rPr>
          <w:sz w:val="20"/>
          <w:szCs w:val="20"/>
        </w:rPr>
        <w:t xml:space="preserve">From left to right, the doxy-PEP strategies are: </w:t>
      </w:r>
      <w:proofErr w:type="spellStart"/>
      <w:r w:rsidRPr="00657E82">
        <w:rPr>
          <w:sz w:val="20"/>
          <w:szCs w:val="20"/>
        </w:rPr>
        <w:t>DbE</w:t>
      </w:r>
      <w:proofErr w:type="spellEnd"/>
      <w:r w:rsidRPr="00657E82">
        <w:rPr>
          <w:sz w:val="20"/>
          <w:szCs w:val="20"/>
        </w:rPr>
        <w:t xml:space="preserve">, DoD(H), DoD, DoA(H), </w:t>
      </w:r>
      <w:proofErr w:type="spellStart"/>
      <w:r w:rsidRPr="00657E82">
        <w:rPr>
          <w:sz w:val="20"/>
          <w:szCs w:val="20"/>
        </w:rPr>
        <w:t>DoA</w:t>
      </w:r>
      <w:proofErr w:type="spellEnd"/>
      <w:r w:rsidRPr="00657E82">
        <w:rPr>
          <w:sz w:val="20"/>
          <w:szCs w:val="20"/>
        </w:rPr>
        <w:t xml:space="preserve">, and </w:t>
      </w:r>
      <w:proofErr w:type="spellStart"/>
      <w:r w:rsidRPr="00657E82">
        <w:rPr>
          <w:sz w:val="20"/>
          <w:szCs w:val="20"/>
        </w:rPr>
        <w:t>DaR</w:t>
      </w:r>
      <w:proofErr w:type="spellEnd"/>
      <w:r w:rsidRPr="00657E82">
        <w:rPr>
          <w:sz w:val="20"/>
          <w:szCs w:val="20"/>
        </w:rPr>
        <w:t>.</w:t>
      </w:r>
      <w:r w:rsidRPr="00657E82">
        <w:rPr>
          <w:sz w:val="20"/>
          <w:szCs w:val="20"/>
          <w:lang w:val="en-US"/>
        </w:rPr>
        <w:t xml:space="preserve"> </w:t>
      </w:r>
      <w:r w:rsidRPr="00657E82">
        <w:rPr>
          <w:sz w:val="20"/>
          <w:szCs w:val="20"/>
        </w:rPr>
        <w:t xml:space="preserve">The </w:t>
      </w:r>
      <w:r>
        <w:rPr>
          <w:sz w:val="20"/>
          <w:szCs w:val="20"/>
        </w:rPr>
        <w:t xml:space="preserve">Singapore </w:t>
      </w:r>
      <w:r w:rsidRPr="00657E82">
        <w:rPr>
          <w:sz w:val="20"/>
          <w:szCs w:val="20"/>
        </w:rPr>
        <w:t>main scenario assumes stabilization of inferred time-varying behavioural trends, with all males not engaging in sex with females classified as MSM.</w:t>
      </w:r>
      <w:r>
        <w:rPr>
          <w:sz w:val="20"/>
          <w:szCs w:val="20"/>
        </w:rPr>
        <w:t xml:space="preserve"> </w:t>
      </w:r>
      <w:r w:rsidRPr="00657E82">
        <w:rPr>
          <w:sz w:val="20"/>
          <w:szCs w:val="20"/>
        </w:rPr>
        <w:t xml:space="preserve">Panels (1) and (3) show the annual number of syphilis cases under intervention (uptake rate of 33.0%) and baseline scenarios for Singapore and England, respectively, assuming suboptimal adherence that reduces protection to 33.0% of baseline efficacy (i.e., </w:t>
      </w:r>
      <m:oMath>
        <m:r>
          <w:rPr>
            <w:rFonts w:ascii="Cambria Math" w:eastAsia="DengXian" w:hAnsi="Cambria Math"/>
            <w:sz w:val="20"/>
            <w:szCs w:val="20"/>
          </w:rPr>
          <m:t>ζ</m:t>
        </m:r>
      </m:oMath>
      <w:r w:rsidRPr="00657E82">
        <w:rPr>
          <w:rFonts w:eastAsia="DengXian"/>
          <w:iCs/>
          <w:sz w:val="20"/>
          <w:szCs w:val="20"/>
        </w:rPr>
        <w:t xml:space="preserve"> = 33.0%). </w:t>
      </w:r>
      <w:r w:rsidRPr="00657E82">
        <w:rPr>
          <w:sz w:val="20"/>
          <w:szCs w:val="20"/>
        </w:rPr>
        <w:t>Each boxplot shows the median (central line) and the 95% credible interval (box bounds). Panels (2) and (4) present the annual number of susceptible MSM at high-risk group for Singapore and England, respectively. Each boxplot shows the median (central line) and the interquartile range (box bounds)</w:t>
      </w:r>
      <w:r>
        <w:rPr>
          <w:sz w:val="20"/>
          <w:szCs w:val="20"/>
        </w:rPr>
        <w:t>.</w:t>
      </w:r>
    </w:p>
    <w:p w14:paraId="2095D4B7" w14:textId="74969689" w:rsidR="00C04772" w:rsidRDefault="007E13E0" w:rsidP="004D321E">
      <w:pPr>
        <w:pStyle w:val="NormalWeb"/>
        <w:numPr>
          <w:ilvl w:val="1"/>
          <w:numId w:val="31"/>
        </w:numPr>
        <w:spacing w:line="276" w:lineRule="auto"/>
        <w:jc w:val="both"/>
        <w:rPr>
          <w:sz w:val="20"/>
          <w:szCs w:val="20"/>
        </w:rPr>
      </w:pPr>
      <w:r>
        <w:rPr>
          <w:sz w:val="20"/>
          <w:szCs w:val="20"/>
        </w:rPr>
        <w:lastRenderedPageBreak/>
        <w:t>Sensitivity analysis on uptake rate, screening frequency, and adherence behavioural patterns</w:t>
      </w:r>
    </w:p>
    <w:p w14:paraId="0A536C30" w14:textId="05D23E2A" w:rsidR="00160041" w:rsidRPr="00160041" w:rsidRDefault="00160041" w:rsidP="00160041">
      <w:pPr>
        <w:pStyle w:val="NormalWeb"/>
        <w:spacing w:line="276" w:lineRule="auto"/>
        <w:jc w:val="both"/>
        <w:rPr>
          <w:b/>
          <w:bCs/>
          <w:sz w:val="20"/>
          <w:szCs w:val="20"/>
        </w:rPr>
      </w:pPr>
      <w:r w:rsidRPr="00160041">
        <w:rPr>
          <w:rStyle w:val="Strong"/>
          <w:rFonts w:eastAsiaTheme="majorEastAsia"/>
          <w:b w:val="0"/>
          <w:bCs w:val="0"/>
          <w:sz w:val="20"/>
          <w:szCs w:val="20"/>
        </w:rPr>
        <w:t xml:space="preserve">Strategy selection should weigh both efficiency </w:t>
      </w:r>
      <w:r>
        <w:rPr>
          <w:rStyle w:val="Strong"/>
          <w:rFonts w:eastAsiaTheme="majorEastAsia"/>
          <w:b w:val="0"/>
          <w:bCs w:val="0"/>
          <w:sz w:val="20"/>
          <w:szCs w:val="20"/>
        </w:rPr>
        <w:t>-</w:t>
      </w:r>
      <w:r w:rsidRPr="00160041">
        <w:rPr>
          <w:rStyle w:val="Strong"/>
          <w:rFonts w:eastAsiaTheme="majorEastAsia"/>
          <w:b w:val="0"/>
          <w:bCs w:val="0"/>
          <w:sz w:val="20"/>
          <w:szCs w:val="20"/>
        </w:rPr>
        <w:t xml:space="preserve"> defined as the number of averted cases per prescription </w:t>
      </w:r>
      <w:r>
        <w:rPr>
          <w:rStyle w:val="Strong"/>
          <w:rFonts w:eastAsiaTheme="majorEastAsia"/>
          <w:b w:val="0"/>
          <w:bCs w:val="0"/>
          <w:sz w:val="20"/>
          <w:szCs w:val="20"/>
        </w:rPr>
        <w:t>-</w:t>
      </w:r>
      <w:r w:rsidRPr="00160041">
        <w:rPr>
          <w:rStyle w:val="Strong"/>
          <w:rFonts w:eastAsiaTheme="majorEastAsia"/>
          <w:b w:val="0"/>
          <w:bCs w:val="0"/>
          <w:sz w:val="20"/>
          <w:szCs w:val="20"/>
        </w:rPr>
        <w:t xml:space="preserve"> and overall population-level impact </w:t>
      </w:r>
      <w:r>
        <w:rPr>
          <w:rStyle w:val="Strong"/>
          <w:rFonts w:eastAsiaTheme="majorEastAsia"/>
          <w:b w:val="0"/>
          <w:bCs w:val="0"/>
          <w:sz w:val="20"/>
          <w:szCs w:val="20"/>
        </w:rPr>
        <w:t>-</w:t>
      </w:r>
      <w:r w:rsidRPr="00160041">
        <w:rPr>
          <w:rStyle w:val="Strong"/>
          <w:rFonts w:eastAsiaTheme="majorEastAsia"/>
          <w:b w:val="0"/>
          <w:bCs w:val="0"/>
          <w:sz w:val="20"/>
          <w:szCs w:val="20"/>
        </w:rPr>
        <w:t xml:space="preserve"> defined as the total number of averted cases. Three key behavioural parameters strongly influence the impact and efficiency of doxy-PEP prescribing strategies: uptake rate, screening frequency, and adherence patterns (including the suboptimal adherence rate among fully adherent individuals, the discontinuation rate among fully adherent individuals, and the discontinuation rate among suboptimally adherent individuals). We first examine how uptake rate and screening frequency affect impact and efficiency.</w:t>
      </w:r>
    </w:p>
    <w:p w14:paraId="3D6A324C" w14:textId="5106F6CF" w:rsidR="00160041" w:rsidRPr="00160041" w:rsidRDefault="00160041" w:rsidP="00160041">
      <w:pPr>
        <w:pStyle w:val="NormalWeb"/>
        <w:spacing w:line="276" w:lineRule="auto"/>
        <w:jc w:val="both"/>
        <w:rPr>
          <w:sz w:val="20"/>
          <w:szCs w:val="20"/>
        </w:rPr>
      </w:pPr>
      <w:r w:rsidRPr="00160041">
        <w:rPr>
          <w:rStyle w:val="Emphasis"/>
          <w:rFonts w:eastAsiaTheme="majorEastAsia"/>
          <w:i w:val="0"/>
          <w:iCs w:val="0"/>
          <w:sz w:val="20"/>
          <w:szCs w:val="20"/>
        </w:rPr>
        <w:t>Fig</w:t>
      </w:r>
      <w:r>
        <w:rPr>
          <w:rStyle w:val="Emphasis"/>
          <w:rFonts w:eastAsiaTheme="majorEastAsia"/>
          <w:i w:val="0"/>
          <w:iCs w:val="0"/>
          <w:sz w:val="20"/>
          <w:szCs w:val="20"/>
        </w:rPr>
        <w:t>.</w:t>
      </w:r>
      <w:r w:rsidRPr="00160041">
        <w:rPr>
          <w:rStyle w:val="Emphasis"/>
          <w:rFonts w:eastAsiaTheme="majorEastAsia"/>
          <w:i w:val="0"/>
          <w:iCs w:val="0"/>
          <w:sz w:val="20"/>
          <w:szCs w:val="20"/>
        </w:rPr>
        <w:t xml:space="preserve"> 4 illustrates the impact and efficiency of different doxy-PEP strategies in Singapore and England under varying uptake levels and screening rates. Results for both settings show broadly consistent patterns. When holding uptake rate constant and comparing screening scenarios, nearly all strategies exhibit higher estimated impact and efficiency under a low screening rate. This is because lower screening means fewer infections are diagnosed and treated promptly, resulting in more infectious individuals and higher ongoing transmission, which raises the baseline incidence and therefore the absolute number of cases that can be averted by doxy-PEP. This underscores the importance of maintaining high screening rates as a primary means of controlling syphilis transmission. Notably, even under low screening conditions (where baseline transmission is more severe), doxy-PEP demonstrates substantial potential to reduce incidence, highlighting its added value when routine screening coverage is suboptimal.</w:t>
      </w:r>
    </w:p>
    <w:p w14:paraId="78DB1D3B" w14:textId="4A7706FC" w:rsidR="00160041" w:rsidRPr="00160041" w:rsidRDefault="00160041" w:rsidP="00160041">
      <w:pPr>
        <w:pStyle w:val="NormalWeb"/>
        <w:spacing w:line="276" w:lineRule="auto"/>
        <w:jc w:val="both"/>
        <w:rPr>
          <w:sz w:val="20"/>
          <w:szCs w:val="20"/>
        </w:rPr>
      </w:pPr>
      <w:r w:rsidRPr="00160041">
        <w:rPr>
          <w:rStyle w:val="Emphasis"/>
          <w:rFonts w:eastAsiaTheme="majorEastAsia"/>
          <w:i w:val="0"/>
          <w:iCs w:val="0"/>
          <w:sz w:val="20"/>
          <w:szCs w:val="20"/>
        </w:rPr>
        <w:t xml:space="preserve">Under high screening conditions, across all uptake levels, </w:t>
      </w:r>
      <w:r w:rsidRPr="00160041">
        <w:rPr>
          <w:rStyle w:val="Emphasis"/>
          <w:rFonts w:eastAsiaTheme="majorEastAsia"/>
          <w:sz w:val="20"/>
          <w:szCs w:val="20"/>
        </w:rPr>
        <w:t>DoD(H)</w:t>
      </w:r>
      <w:r w:rsidRPr="00160041">
        <w:rPr>
          <w:rStyle w:val="Emphasis"/>
          <w:rFonts w:eastAsiaTheme="majorEastAsia"/>
          <w:i w:val="0"/>
          <w:iCs w:val="0"/>
          <w:sz w:val="20"/>
          <w:szCs w:val="20"/>
        </w:rPr>
        <w:t xml:space="preserve"> consistently achieves the highest efficiency while maintaining a relatively high total number of averted cases, making it the most favourable strategy in this context. Although </w:t>
      </w:r>
      <w:r w:rsidRPr="00160041">
        <w:rPr>
          <w:rStyle w:val="Emphasis"/>
          <w:rFonts w:eastAsiaTheme="majorEastAsia"/>
          <w:sz w:val="20"/>
          <w:szCs w:val="20"/>
        </w:rPr>
        <w:t>DoA(H)</w:t>
      </w:r>
      <w:r w:rsidRPr="00160041">
        <w:rPr>
          <w:rStyle w:val="Emphasis"/>
          <w:rFonts w:eastAsiaTheme="majorEastAsia"/>
          <w:i w:val="0"/>
          <w:iCs w:val="0"/>
          <w:sz w:val="20"/>
          <w:szCs w:val="20"/>
        </w:rPr>
        <w:t xml:space="preserve">, </w:t>
      </w:r>
      <w:r w:rsidRPr="00160041">
        <w:rPr>
          <w:rStyle w:val="Emphasis"/>
          <w:rFonts w:eastAsiaTheme="majorEastAsia"/>
          <w:sz w:val="20"/>
          <w:szCs w:val="20"/>
        </w:rPr>
        <w:t>DoA</w:t>
      </w:r>
      <w:r w:rsidRPr="00160041">
        <w:rPr>
          <w:rStyle w:val="Emphasis"/>
          <w:rFonts w:eastAsiaTheme="majorEastAsia"/>
          <w:i w:val="0"/>
          <w:iCs w:val="0"/>
          <w:sz w:val="20"/>
          <w:szCs w:val="20"/>
        </w:rPr>
        <w:t xml:space="preserve">, and </w:t>
      </w:r>
      <w:r w:rsidRPr="00160041">
        <w:rPr>
          <w:rStyle w:val="Emphasis"/>
          <w:rFonts w:eastAsiaTheme="majorEastAsia"/>
          <w:sz w:val="20"/>
          <w:szCs w:val="20"/>
        </w:rPr>
        <w:t>DaR</w:t>
      </w:r>
      <w:r w:rsidRPr="00160041">
        <w:rPr>
          <w:rStyle w:val="Emphasis"/>
          <w:rFonts w:eastAsiaTheme="majorEastAsia"/>
          <w:i w:val="0"/>
          <w:iCs w:val="0"/>
          <w:sz w:val="20"/>
          <w:szCs w:val="20"/>
        </w:rPr>
        <w:t xml:space="preserve"> produce larger absolute reductions </w:t>
      </w:r>
      <w:r>
        <w:rPr>
          <w:rStyle w:val="Emphasis"/>
          <w:rFonts w:eastAsiaTheme="majorEastAsia"/>
          <w:i w:val="0"/>
          <w:iCs w:val="0"/>
          <w:sz w:val="20"/>
          <w:szCs w:val="20"/>
        </w:rPr>
        <w:t>-</w:t>
      </w:r>
      <w:r w:rsidRPr="00160041">
        <w:rPr>
          <w:rStyle w:val="Emphasis"/>
          <w:rFonts w:eastAsiaTheme="majorEastAsia"/>
          <w:i w:val="0"/>
          <w:iCs w:val="0"/>
          <w:sz w:val="20"/>
          <w:szCs w:val="20"/>
        </w:rPr>
        <w:t xml:space="preserve"> potentially reaching elimination thresholds in some settings </w:t>
      </w:r>
      <w:r>
        <w:rPr>
          <w:rStyle w:val="Emphasis"/>
          <w:rFonts w:eastAsiaTheme="majorEastAsia"/>
          <w:i w:val="0"/>
          <w:iCs w:val="0"/>
          <w:sz w:val="20"/>
          <w:szCs w:val="20"/>
        </w:rPr>
        <w:t>-</w:t>
      </w:r>
      <w:r w:rsidRPr="00160041">
        <w:rPr>
          <w:rStyle w:val="Emphasis"/>
          <w:rFonts w:eastAsiaTheme="majorEastAsia"/>
          <w:i w:val="0"/>
          <w:iCs w:val="0"/>
          <w:sz w:val="20"/>
          <w:szCs w:val="20"/>
        </w:rPr>
        <w:t xml:space="preserve"> their markedly lower efficiency raises concerns about unnecessary prescribing, increased resource burden, and the potential for antimicrobial resistance. Furthermore, the similar impact estimates for </w:t>
      </w:r>
      <w:r w:rsidRPr="00160041">
        <w:rPr>
          <w:rStyle w:val="Emphasis"/>
          <w:rFonts w:eastAsiaTheme="majorEastAsia"/>
          <w:sz w:val="20"/>
          <w:szCs w:val="20"/>
        </w:rPr>
        <w:t>DoA(H)</w:t>
      </w:r>
      <w:r w:rsidRPr="00160041">
        <w:rPr>
          <w:rStyle w:val="Emphasis"/>
          <w:rFonts w:eastAsiaTheme="majorEastAsia"/>
          <w:i w:val="0"/>
          <w:iCs w:val="0"/>
          <w:sz w:val="20"/>
          <w:szCs w:val="20"/>
        </w:rPr>
        <w:t xml:space="preserve">, </w:t>
      </w:r>
      <w:r w:rsidRPr="00160041">
        <w:rPr>
          <w:rStyle w:val="Emphasis"/>
          <w:rFonts w:eastAsiaTheme="majorEastAsia"/>
          <w:sz w:val="20"/>
          <w:szCs w:val="20"/>
        </w:rPr>
        <w:t>DoA</w:t>
      </w:r>
      <w:r w:rsidRPr="00160041">
        <w:rPr>
          <w:rStyle w:val="Emphasis"/>
          <w:rFonts w:eastAsiaTheme="majorEastAsia"/>
          <w:i w:val="0"/>
          <w:iCs w:val="0"/>
          <w:sz w:val="20"/>
          <w:szCs w:val="20"/>
        </w:rPr>
        <w:t xml:space="preserve">, and </w:t>
      </w:r>
      <w:r w:rsidRPr="00160041">
        <w:rPr>
          <w:rStyle w:val="Emphasis"/>
          <w:rFonts w:eastAsiaTheme="majorEastAsia"/>
          <w:sz w:val="20"/>
          <w:szCs w:val="20"/>
        </w:rPr>
        <w:t>DaR</w:t>
      </w:r>
      <w:r w:rsidRPr="00160041">
        <w:rPr>
          <w:rStyle w:val="Emphasis"/>
          <w:rFonts w:eastAsiaTheme="majorEastAsia"/>
          <w:i w:val="0"/>
          <w:iCs w:val="0"/>
          <w:sz w:val="20"/>
          <w:szCs w:val="20"/>
        </w:rPr>
        <w:t xml:space="preserve"> across uptake levels suggest a saturation effect, with diminishing returns and probable over-prescription even at relatively modest uptake rates (e.g., 10%). Consequently, despite their strong impact, these broad-coverage strategies may be less desirable for sustainable implementation where screening capacity is already high.</w:t>
      </w:r>
      <w:r w:rsidR="00BB4BB4">
        <w:rPr>
          <w:sz w:val="20"/>
          <w:szCs w:val="20"/>
        </w:rPr>
        <w:t xml:space="preserve"> </w:t>
      </w:r>
      <w:r w:rsidRPr="00160041">
        <w:rPr>
          <w:rStyle w:val="Emphasis"/>
          <w:rFonts w:eastAsiaTheme="majorEastAsia"/>
          <w:i w:val="0"/>
          <w:iCs w:val="0"/>
          <w:sz w:val="20"/>
          <w:szCs w:val="20"/>
        </w:rPr>
        <w:t xml:space="preserve">In contrast, in low screening scenarios, </w:t>
      </w:r>
      <w:r w:rsidRPr="00160041">
        <w:rPr>
          <w:rStyle w:val="Emphasis"/>
          <w:rFonts w:eastAsiaTheme="majorEastAsia"/>
          <w:sz w:val="20"/>
          <w:szCs w:val="20"/>
        </w:rPr>
        <w:t>DoA(H)</w:t>
      </w:r>
      <w:r w:rsidRPr="00160041">
        <w:rPr>
          <w:rStyle w:val="Emphasis"/>
          <w:rFonts w:eastAsiaTheme="majorEastAsia"/>
          <w:i w:val="0"/>
          <w:iCs w:val="0"/>
          <w:sz w:val="20"/>
          <w:szCs w:val="20"/>
        </w:rPr>
        <w:t xml:space="preserve"> strikes the best balance, combining relatively high efficiency with substantial overall impact and slightly outperforming </w:t>
      </w:r>
      <w:r w:rsidRPr="00160041">
        <w:rPr>
          <w:rStyle w:val="Emphasis"/>
          <w:rFonts w:eastAsiaTheme="majorEastAsia"/>
          <w:sz w:val="20"/>
          <w:szCs w:val="20"/>
        </w:rPr>
        <w:t>DaR</w:t>
      </w:r>
      <w:r w:rsidRPr="00160041">
        <w:rPr>
          <w:rStyle w:val="Emphasis"/>
          <w:rFonts w:eastAsiaTheme="majorEastAsia"/>
          <w:i w:val="0"/>
          <w:iCs w:val="0"/>
          <w:sz w:val="20"/>
          <w:szCs w:val="20"/>
        </w:rPr>
        <w:t xml:space="preserve">. While </w:t>
      </w:r>
      <w:r w:rsidRPr="00160041">
        <w:rPr>
          <w:rStyle w:val="Emphasis"/>
          <w:rFonts w:eastAsiaTheme="majorEastAsia"/>
          <w:sz w:val="20"/>
          <w:szCs w:val="20"/>
        </w:rPr>
        <w:t>DoD(H)</w:t>
      </w:r>
      <w:r w:rsidRPr="00160041">
        <w:rPr>
          <w:rStyle w:val="Emphasis"/>
          <w:rFonts w:eastAsiaTheme="majorEastAsia"/>
          <w:i w:val="0"/>
          <w:iCs w:val="0"/>
          <w:sz w:val="20"/>
          <w:szCs w:val="20"/>
        </w:rPr>
        <w:t xml:space="preserve"> remains the most efficient per prescription in these settings, its lower total impact reduces its desirability as a standalone strategy. Therefore, where screening resources are limited, </w:t>
      </w:r>
      <w:r w:rsidRPr="00160041">
        <w:rPr>
          <w:rStyle w:val="Emphasis"/>
          <w:rFonts w:eastAsiaTheme="majorEastAsia"/>
          <w:sz w:val="20"/>
          <w:szCs w:val="20"/>
        </w:rPr>
        <w:t>DoA(H)</w:t>
      </w:r>
      <w:r w:rsidRPr="00160041">
        <w:rPr>
          <w:rStyle w:val="Emphasis"/>
          <w:rFonts w:eastAsiaTheme="majorEastAsia"/>
          <w:i w:val="0"/>
          <w:iCs w:val="0"/>
          <w:sz w:val="20"/>
          <w:szCs w:val="20"/>
        </w:rPr>
        <w:t xml:space="preserve"> may offer the most favourable balance between impact and efficiency for practical implementation.</w:t>
      </w:r>
    </w:p>
    <w:p w14:paraId="30E2B76B" w14:textId="0D88B896" w:rsidR="0070759E" w:rsidRPr="00A62CE2" w:rsidRDefault="00A62CE2" w:rsidP="00A62CE2">
      <w:pPr>
        <w:pStyle w:val="NormalWeb"/>
        <w:spacing w:line="276" w:lineRule="auto"/>
        <w:jc w:val="both"/>
        <w:rPr>
          <w:sz w:val="20"/>
          <w:szCs w:val="20"/>
        </w:rPr>
      </w:pPr>
      <w:r w:rsidRPr="00A62CE2">
        <w:rPr>
          <w:rStyle w:val="Strong"/>
          <w:rFonts w:eastAsiaTheme="majorEastAsia"/>
          <w:b w:val="0"/>
          <w:bCs w:val="0"/>
          <w:sz w:val="20"/>
          <w:szCs w:val="20"/>
        </w:rPr>
        <w:t xml:space="preserve">Next, we examine how uptake rate and adherence behavioural patterns affect the impact and efficiency of doxy-PEP prescribing strategies. Figure 5 illustrates the results for Singapore and England under varying uptake levels and adherence patterns. For strategies such as </w:t>
      </w:r>
      <w:r w:rsidRPr="00A62CE2">
        <w:rPr>
          <w:rStyle w:val="Strong"/>
          <w:rFonts w:eastAsiaTheme="majorEastAsia"/>
          <w:b w:val="0"/>
          <w:bCs w:val="0"/>
          <w:i/>
          <w:iCs/>
          <w:sz w:val="20"/>
          <w:szCs w:val="20"/>
        </w:rPr>
        <w:t>DbE</w:t>
      </w:r>
      <w:r w:rsidRPr="00A62CE2">
        <w:rPr>
          <w:rStyle w:val="Strong"/>
          <w:rFonts w:eastAsiaTheme="majorEastAsia"/>
          <w:b w:val="0"/>
          <w:bCs w:val="0"/>
          <w:sz w:val="20"/>
          <w:szCs w:val="20"/>
        </w:rPr>
        <w:t xml:space="preserve">, </w:t>
      </w:r>
      <w:r w:rsidRPr="00A62CE2">
        <w:rPr>
          <w:rStyle w:val="Strong"/>
          <w:rFonts w:eastAsiaTheme="majorEastAsia"/>
          <w:b w:val="0"/>
          <w:bCs w:val="0"/>
          <w:i/>
          <w:iCs/>
          <w:sz w:val="20"/>
          <w:szCs w:val="20"/>
        </w:rPr>
        <w:t>DoD(H)</w:t>
      </w:r>
      <w:r w:rsidRPr="00A62CE2">
        <w:rPr>
          <w:rStyle w:val="Strong"/>
          <w:rFonts w:eastAsiaTheme="majorEastAsia"/>
          <w:b w:val="0"/>
          <w:bCs w:val="0"/>
          <w:sz w:val="20"/>
          <w:szCs w:val="20"/>
        </w:rPr>
        <w:t xml:space="preserve">, and </w:t>
      </w:r>
      <w:r w:rsidRPr="00A62CE2">
        <w:rPr>
          <w:rStyle w:val="Strong"/>
          <w:rFonts w:eastAsiaTheme="majorEastAsia"/>
          <w:b w:val="0"/>
          <w:bCs w:val="0"/>
          <w:i/>
          <w:iCs/>
          <w:sz w:val="20"/>
          <w:szCs w:val="20"/>
        </w:rPr>
        <w:t>DoD</w:t>
      </w:r>
      <w:r w:rsidRPr="00A62CE2">
        <w:rPr>
          <w:rStyle w:val="Strong"/>
          <w:rFonts w:eastAsiaTheme="majorEastAsia"/>
          <w:b w:val="0"/>
          <w:bCs w:val="0"/>
          <w:sz w:val="20"/>
          <w:szCs w:val="20"/>
        </w:rPr>
        <w:t xml:space="preserve">, higher adherence </w:t>
      </w:r>
      <w:r>
        <w:rPr>
          <w:rStyle w:val="Strong"/>
          <w:rFonts w:eastAsiaTheme="majorEastAsia"/>
          <w:b w:val="0"/>
          <w:bCs w:val="0"/>
          <w:sz w:val="20"/>
          <w:szCs w:val="20"/>
        </w:rPr>
        <w:t>-</w:t>
      </w:r>
      <w:r w:rsidRPr="00A62CE2">
        <w:rPr>
          <w:rStyle w:val="Strong"/>
          <w:rFonts w:eastAsiaTheme="majorEastAsia"/>
          <w:b w:val="0"/>
          <w:bCs w:val="0"/>
          <w:sz w:val="20"/>
          <w:szCs w:val="20"/>
        </w:rPr>
        <w:t xml:space="preserve"> meaning greater consistency and lower discontinuation </w:t>
      </w:r>
      <w:r>
        <w:rPr>
          <w:rStyle w:val="Strong"/>
          <w:rFonts w:eastAsiaTheme="majorEastAsia"/>
          <w:b w:val="0"/>
          <w:bCs w:val="0"/>
          <w:sz w:val="20"/>
          <w:szCs w:val="20"/>
        </w:rPr>
        <w:t>-</w:t>
      </w:r>
      <w:r w:rsidRPr="00A62CE2">
        <w:rPr>
          <w:rStyle w:val="Strong"/>
          <w:rFonts w:eastAsiaTheme="majorEastAsia"/>
          <w:b w:val="0"/>
          <w:bCs w:val="0"/>
          <w:sz w:val="20"/>
          <w:szCs w:val="20"/>
        </w:rPr>
        <w:t xml:space="preserve"> consistently translates into higher impact and greater efficiency, regardless of the uptake rate. This highlights the critical role of sustained, proper use for these more targeted prescribing approaches.</w:t>
      </w:r>
      <w:r>
        <w:rPr>
          <w:sz w:val="20"/>
          <w:szCs w:val="20"/>
        </w:rPr>
        <w:t xml:space="preserve"> </w:t>
      </w:r>
      <w:r w:rsidRPr="00A62CE2">
        <w:rPr>
          <w:rStyle w:val="Emphasis"/>
          <w:rFonts w:eastAsiaTheme="majorEastAsia"/>
          <w:i w:val="0"/>
          <w:iCs w:val="0"/>
          <w:sz w:val="20"/>
          <w:szCs w:val="20"/>
        </w:rPr>
        <w:t xml:space="preserve">In contrast, the impact and efficiency of broader strategies </w:t>
      </w:r>
      <w:r>
        <w:rPr>
          <w:rStyle w:val="Emphasis"/>
          <w:rFonts w:eastAsiaTheme="majorEastAsia"/>
          <w:i w:val="0"/>
          <w:iCs w:val="0"/>
          <w:sz w:val="20"/>
          <w:szCs w:val="20"/>
        </w:rPr>
        <w:t>-</w:t>
      </w:r>
      <w:r w:rsidRPr="00A62CE2">
        <w:rPr>
          <w:rStyle w:val="Emphasis"/>
          <w:rFonts w:eastAsiaTheme="majorEastAsia"/>
          <w:i w:val="0"/>
          <w:iCs w:val="0"/>
          <w:sz w:val="20"/>
          <w:szCs w:val="20"/>
        </w:rPr>
        <w:t xml:space="preserve"> </w:t>
      </w:r>
      <w:r w:rsidRPr="00160041">
        <w:rPr>
          <w:rStyle w:val="Emphasis"/>
          <w:rFonts w:eastAsiaTheme="majorEastAsia"/>
          <w:sz w:val="20"/>
          <w:szCs w:val="20"/>
        </w:rPr>
        <w:t>DoA(H)</w:t>
      </w:r>
      <w:r w:rsidRPr="00160041">
        <w:rPr>
          <w:rStyle w:val="Emphasis"/>
          <w:rFonts w:eastAsiaTheme="majorEastAsia"/>
          <w:i w:val="0"/>
          <w:iCs w:val="0"/>
          <w:sz w:val="20"/>
          <w:szCs w:val="20"/>
        </w:rPr>
        <w:t xml:space="preserve">, </w:t>
      </w:r>
      <w:r w:rsidRPr="00160041">
        <w:rPr>
          <w:rStyle w:val="Emphasis"/>
          <w:rFonts w:eastAsiaTheme="majorEastAsia"/>
          <w:sz w:val="20"/>
          <w:szCs w:val="20"/>
        </w:rPr>
        <w:t>DoA</w:t>
      </w:r>
      <w:r w:rsidRPr="00160041">
        <w:rPr>
          <w:rStyle w:val="Emphasis"/>
          <w:rFonts w:eastAsiaTheme="majorEastAsia"/>
          <w:i w:val="0"/>
          <w:iCs w:val="0"/>
          <w:sz w:val="20"/>
          <w:szCs w:val="20"/>
        </w:rPr>
        <w:t xml:space="preserve">, and </w:t>
      </w:r>
      <w:r w:rsidRPr="00160041">
        <w:rPr>
          <w:rStyle w:val="Emphasis"/>
          <w:rFonts w:eastAsiaTheme="majorEastAsia"/>
          <w:sz w:val="20"/>
          <w:szCs w:val="20"/>
        </w:rPr>
        <w:t>DaR</w:t>
      </w:r>
      <w:r w:rsidRPr="00160041">
        <w:rPr>
          <w:rStyle w:val="Emphasis"/>
          <w:rFonts w:eastAsiaTheme="majorEastAsia"/>
          <w:i w:val="0"/>
          <w:iCs w:val="0"/>
          <w:sz w:val="20"/>
          <w:szCs w:val="20"/>
        </w:rPr>
        <w:t xml:space="preserve"> </w:t>
      </w:r>
      <w:r>
        <w:rPr>
          <w:rStyle w:val="Emphasis"/>
          <w:rFonts w:eastAsiaTheme="majorEastAsia"/>
          <w:i w:val="0"/>
          <w:iCs w:val="0"/>
          <w:sz w:val="20"/>
          <w:szCs w:val="20"/>
        </w:rPr>
        <w:t>-</w:t>
      </w:r>
      <w:r w:rsidRPr="00A62CE2">
        <w:rPr>
          <w:rStyle w:val="Emphasis"/>
          <w:rFonts w:eastAsiaTheme="majorEastAsia"/>
          <w:i w:val="0"/>
          <w:iCs w:val="0"/>
          <w:sz w:val="20"/>
          <w:szCs w:val="20"/>
        </w:rPr>
        <w:t xml:space="preserve"> remain largely unchanged across different adherence scenarios, reinforcing the presence of a saturation effect. This occurs because, under these strategies, a large proportion of the target population enters the protected stratum even with moderate adherence, meaning that further improvements in adherence behaviour contribute little additional benefit. This finding underscores the risk of over-prescription and diminishing returns when low-risk groups are included.</w:t>
      </w:r>
      <w:r>
        <w:rPr>
          <w:sz w:val="20"/>
          <w:szCs w:val="20"/>
        </w:rPr>
        <w:t xml:space="preserve"> </w:t>
      </w:r>
      <w:r w:rsidRPr="00A62CE2">
        <w:rPr>
          <w:rStyle w:val="Emphasis"/>
          <w:rFonts w:eastAsiaTheme="majorEastAsia"/>
          <w:i w:val="0"/>
          <w:iCs w:val="0"/>
          <w:sz w:val="20"/>
          <w:szCs w:val="20"/>
        </w:rPr>
        <w:t xml:space="preserve">Notably, across all adherence and uptake scenarios, </w:t>
      </w:r>
      <w:r w:rsidRPr="00A62CE2">
        <w:rPr>
          <w:rStyle w:val="Emphasis"/>
          <w:rFonts w:eastAsiaTheme="majorEastAsia"/>
          <w:sz w:val="20"/>
          <w:szCs w:val="20"/>
        </w:rPr>
        <w:t>DoD(H)</w:t>
      </w:r>
      <w:r w:rsidRPr="00A62CE2">
        <w:rPr>
          <w:rStyle w:val="Emphasis"/>
          <w:rFonts w:eastAsiaTheme="majorEastAsia"/>
          <w:i w:val="0"/>
          <w:iCs w:val="0"/>
          <w:sz w:val="20"/>
          <w:szCs w:val="20"/>
        </w:rPr>
        <w:t xml:space="preserve"> consistently achieves the highest efficiency while delivering a substantial total number of averted cases, making it the most robust strategy under varying behavioural conditions.</w:t>
      </w:r>
    </w:p>
    <w:p w14:paraId="367E1EAA" w14:textId="77777777" w:rsidR="0070759E" w:rsidRPr="007E4EC4" w:rsidRDefault="0070759E" w:rsidP="00845543">
      <w:pPr>
        <w:pStyle w:val="NormalWeb"/>
        <w:spacing w:line="276" w:lineRule="auto"/>
        <w:jc w:val="both"/>
        <w:rPr>
          <w:sz w:val="20"/>
          <w:szCs w:val="20"/>
        </w:rPr>
        <w:sectPr w:rsidR="0070759E" w:rsidRPr="007E4EC4" w:rsidSect="00845543">
          <w:pgSz w:w="11906" w:h="16838"/>
          <w:pgMar w:top="1440" w:right="1440" w:bottom="1440" w:left="1440" w:header="709" w:footer="709" w:gutter="0"/>
          <w:cols w:space="708"/>
          <w:docGrid w:linePitch="360"/>
        </w:sectPr>
      </w:pPr>
    </w:p>
    <w:p w14:paraId="5F848A05" w14:textId="77777777" w:rsidR="00C04772" w:rsidRDefault="00C04772" w:rsidP="00C04772">
      <w:pPr>
        <w:pStyle w:val="NormalWeb"/>
        <w:spacing w:line="276" w:lineRule="auto"/>
        <w:jc w:val="both"/>
        <w:rPr>
          <w:sz w:val="20"/>
          <w:szCs w:val="20"/>
          <w:lang w:val="en-US"/>
        </w:rPr>
      </w:pPr>
      <w:r>
        <w:rPr>
          <w:noProof/>
          <w:sz w:val="20"/>
          <w:szCs w:val="20"/>
          <w:lang w:val="en-US"/>
          <w14:ligatures w14:val="standardContextual"/>
        </w:rPr>
        <w:lastRenderedPageBreak/>
        <w:drawing>
          <wp:inline distT="0" distB="0" distL="0" distR="0" wp14:anchorId="477ED700" wp14:editId="680AE39A">
            <wp:extent cx="8863330" cy="4431665"/>
            <wp:effectExtent l="0" t="0" r="1270" b="635"/>
            <wp:docPr id="299294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13516" name="Picture 1304013516"/>
                    <pic:cNvPicPr/>
                  </pic:nvPicPr>
                  <pic:blipFill>
                    <a:blip r:embed="rId15"/>
                    <a:stretch>
                      <a:fillRect/>
                    </a:stretch>
                  </pic:blipFill>
                  <pic:spPr>
                    <a:xfrm>
                      <a:off x="0" y="0"/>
                      <a:ext cx="8863330" cy="4431665"/>
                    </a:xfrm>
                    <a:prstGeom prst="rect">
                      <a:avLst/>
                    </a:prstGeom>
                  </pic:spPr>
                </pic:pic>
              </a:graphicData>
            </a:graphic>
          </wp:inline>
        </w:drawing>
      </w:r>
    </w:p>
    <w:p w14:paraId="7AAFDB59" w14:textId="57EA70AD" w:rsidR="00C04772" w:rsidRDefault="00C04772" w:rsidP="00C04772">
      <w:pPr>
        <w:pStyle w:val="NormalWeb"/>
        <w:spacing w:line="276" w:lineRule="auto"/>
        <w:jc w:val="both"/>
        <w:rPr>
          <w:sz w:val="20"/>
          <w:szCs w:val="20"/>
        </w:rPr>
      </w:pPr>
      <w:r w:rsidRPr="009D2614">
        <w:rPr>
          <w:sz w:val="20"/>
          <w:szCs w:val="20"/>
          <w:lang w:val="en-US"/>
        </w:rPr>
        <w:t xml:space="preserve">Fig. </w:t>
      </w:r>
      <w:r>
        <w:rPr>
          <w:sz w:val="20"/>
          <w:szCs w:val="20"/>
          <w:lang w:val="en-US"/>
        </w:rPr>
        <w:t>4</w:t>
      </w:r>
      <w:r w:rsidRPr="009D2614">
        <w:rPr>
          <w:sz w:val="20"/>
          <w:szCs w:val="20"/>
          <w:lang w:val="en-US"/>
        </w:rPr>
        <w:t xml:space="preserve">: </w:t>
      </w:r>
      <w:r w:rsidRPr="009D2614">
        <w:rPr>
          <w:sz w:val="20"/>
          <w:szCs w:val="20"/>
        </w:rPr>
        <w:t xml:space="preserve">From left to right, the assumed uptake rates are 0.10, 0.33, and 0.66. Each boxplot displays the median (central line) and the 95% credible interval (box bounds), under the assumption of suboptimal adherence that reduces protection to 33.0% of the baseline efficacy (i.e., </w:t>
      </w:r>
      <m:oMath>
        <m:r>
          <w:rPr>
            <w:rFonts w:ascii="Cambria Math" w:eastAsia="DengXian" w:hAnsi="Cambria Math"/>
            <w:sz w:val="20"/>
            <w:szCs w:val="20"/>
          </w:rPr>
          <m:t>ζ</m:t>
        </m:r>
      </m:oMath>
      <w:r w:rsidRPr="009D2614">
        <w:rPr>
          <w:rFonts w:eastAsia="DengXian"/>
          <w:iCs/>
          <w:sz w:val="20"/>
          <w:szCs w:val="20"/>
        </w:rPr>
        <w:t xml:space="preserve"> = 33.0%). </w:t>
      </w:r>
      <w:r w:rsidRPr="009D2614">
        <w:rPr>
          <w:sz w:val="20"/>
          <w:szCs w:val="20"/>
        </w:rPr>
        <w:t xml:space="preserve">The main scenario assumes stabilization of inferred time-varying behavioural trends, with all males not engaging in sex with females classified as MSM. </w:t>
      </w:r>
      <w:r>
        <w:rPr>
          <w:sz w:val="20"/>
          <w:szCs w:val="20"/>
        </w:rPr>
        <w:t xml:space="preserve">Panels </w:t>
      </w:r>
      <w:r w:rsidRPr="009D2614">
        <w:rPr>
          <w:sz w:val="20"/>
          <w:szCs w:val="20"/>
          <w:lang w:val="en-US"/>
        </w:rPr>
        <w:t>(</w:t>
      </w:r>
      <w:r>
        <w:rPr>
          <w:sz w:val="20"/>
          <w:szCs w:val="20"/>
          <w:lang w:val="en-US"/>
        </w:rPr>
        <w:t>1</w:t>
      </w:r>
      <w:r w:rsidRPr="009D2614">
        <w:rPr>
          <w:sz w:val="20"/>
          <w:szCs w:val="20"/>
          <w:lang w:val="en-US"/>
        </w:rPr>
        <w:t xml:space="preserve">) </w:t>
      </w:r>
      <w:r>
        <w:rPr>
          <w:sz w:val="20"/>
          <w:szCs w:val="20"/>
          <w:lang w:val="en-US"/>
        </w:rPr>
        <w:t xml:space="preserve">and (3) show the </w:t>
      </w:r>
      <w:r>
        <w:rPr>
          <w:sz w:val="20"/>
          <w:szCs w:val="20"/>
        </w:rPr>
        <w:t>t</w:t>
      </w:r>
      <w:r w:rsidRPr="009D2614">
        <w:rPr>
          <w:sz w:val="20"/>
          <w:szCs w:val="20"/>
        </w:rPr>
        <w:t xml:space="preserve">otal number of averted </w:t>
      </w:r>
      <w:r>
        <w:rPr>
          <w:sz w:val="20"/>
          <w:szCs w:val="20"/>
        </w:rPr>
        <w:t xml:space="preserve">diagnosed </w:t>
      </w:r>
      <w:r w:rsidRPr="009D2614">
        <w:rPr>
          <w:sz w:val="20"/>
          <w:szCs w:val="20"/>
        </w:rPr>
        <w:t>cases comparing low vs. high screening rates across doxy-PEP strategies</w:t>
      </w:r>
      <w:r w:rsidRPr="0069390B">
        <w:rPr>
          <w:sz w:val="20"/>
          <w:szCs w:val="20"/>
        </w:rPr>
        <w:t xml:space="preserve"> </w:t>
      </w:r>
      <w:r w:rsidRPr="00657E82">
        <w:rPr>
          <w:sz w:val="20"/>
          <w:szCs w:val="20"/>
        </w:rPr>
        <w:t>for Singapore and England, respectively</w:t>
      </w:r>
      <w:r>
        <w:rPr>
          <w:sz w:val="20"/>
          <w:szCs w:val="20"/>
        </w:rPr>
        <w:t xml:space="preserve">. Panels </w:t>
      </w:r>
      <w:r w:rsidRPr="009D2614">
        <w:rPr>
          <w:sz w:val="20"/>
          <w:szCs w:val="20"/>
        </w:rPr>
        <w:t>(</w:t>
      </w:r>
      <w:r>
        <w:rPr>
          <w:sz w:val="20"/>
          <w:szCs w:val="20"/>
        </w:rPr>
        <w:t>2</w:t>
      </w:r>
      <w:r w:rsidRPr="009D2614">
        <w:rPr>
          <w:sz w:val="20"/>
          <w:szCs w:val="20"/>
        </w:rPr>
        <w:t xml:space="preserve">) </w:t>
      </w:r>
      <w:r>
        <w:rPr>
          <w:sz w:val="20"/>
          <w:szCs w:val="20"/>
        </w:rPr>
        <w:t>and (4) show the n</w:t>
      </w:r>
      <w:r w:rsidRPr="009D2614">
        <w:rPr>
          <w:sz w:val="20"/>
          <w:szCs w:val="20"/>
        </w:rPr>
        <w:t xml:space="preserve">umber of averted </w:t>
      </w:r>
      <w:r>
        <w:rPr>
          <w:sz w:val="20"/>
          <w:szCs w:val="20"/>
        </w:rPr>
        <w:t xml:space="preserve">diagnosed </w:t>
      </w:r>
      <w:r w:rsidRPr="009D2614">
        <w:rPr>
          <w:sz w:val="20"/>
          <w:szCs w:val="20"/>
        </w:rPr>
        <w:t>cases per prescription, comparing low vs. high screening rates across doxy-PEP strategies</w:t>
      </w:r>
      <w:r w:rsidRPr="0069390B">
        <w:rPr>
          <w:sz w:val="20"/>
          <w:szCs w:val="20"/>
        </w:rPr>
        <w:t xml:space="preserve"> </w:t>
      </w:r>
      <w:r w:rsidRPr="00657E82">
        <w:rPr>
          <w:sz w:val="20"/>
          <w:szCs w:val="20"/>
        </w:rPr>
        <w:t>for Singapore and England, respectively</w:t>
      </w:r>
      <w:r w:rsidRPr="009D2614">
        <w:rPr>
          <w:sz w:val="20"/>
          <w:szCs w:val="20"/>
        </w:rPr>
        <w:t>.</w:t>
      </w:r>
    </w:p>
    <w:p w14:paraId="0DFDFCDD" w14:textId="77777777" w:rsidR="00C04772" w:rsidRDefault="00C04772" w:rsidP="00C04772">
      <w:pPr>
        <w:pStyle w:val="NormalWeb"/>
        <w:spacing w:line="276" w:lineRule="auto"/>
        <w:jc w:val="both"/>
        <w:rPr>
          <w:sz w:val="20"/>
          <w:szCs w:val="20"/>
        </w:rPr>
      </w:pPr>
      <w:r>
        <w:rPr>
          <w:noProof/>
          <w:sz w:val="20"/>
          <w:szCs w:val="20"/>
          <w14:ligatures w14:val="standardContextual"/>
        </w:rPr>
        <w:lastRenderedPageBreak/>
        <w:drawing>
          <wp:inline distT="0" distB="0" distL="0" distR="0" wp14:anchorId="4E624FF2" wp14:editId="2CA1E1EA">
            <wp:extent cx="8863330" cy="4431665"/>
            <wp:effectExtent l="0" t="0" r="1270" b="635"/>
            <wp:docPr id="991679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37326" name="Picture 447837326"/>
                    <pic:cNvPicPr/>
                  </pic:nvPicPr>
                  <pic:blipFill>
                    <a:blip r:embed="rId16"/>
                    <a:stretch>
                      <a:fillRect/>
                    </a:stretch>
                  </pic:blipFill>
                  <pic:spPr>
                    <a:xfrm>
                      <a:off x="0" y="0"/>
                      <a:ext cx="8863330" cy="4431665"/>
                    </a:xfrm>
                    <a:prstGeom prst="rect">
                      <a:avLst/>
                    </a:prstGeom>
                  </pic:spPr>
                </pic:pic>
              </a:graphicData>
            </a:graphic>
          </wp:inline>
        </w:drawing>
      </w:r>
    </w:p>
    <w:p w14:paraId="0F7D85CA" w14:textId="5FF3E438" w:rsidR="009016FC" w:rsidRPr="009016FC" w:rsidRDefault="00C04772" w:rsidP="00563E86">
      <w:pPr>
        <w:pStyle w:val="NormalWeb"/>
        <w:spacing w:line="276" w:lineRule="auto"/>
        <w:jc w:val="both"/>
        <w:rPr>
          <w:sz w:val="20"/>
          <w:szCs w:val="20"/>
        </w:rPr>
        <w:sectPr w:rsidR="009016FC" w:rsidRPr="009016FC" w:rsidSect="00563E86">
          <w:pgSz w:w="16838" w:h="11906" w:orient="landscape"/>
          <w:pgMar w:top="1440" w:right="1440" w:bottom="1440" w:left="1440" w:header="709" w:footer="709" w:gutter="0"/>
          <w:cols w:space="708"/>
          <w:docGrid w:linePitch="360"/>
        </w:sectPr>
      </w:pPr>
      <w:r w:rsidRPr="009D2614">
        <w:rPr>
          <w:sz w:val="20"/>
          <w:szCs w:val="20"/>
          <w:lang w:val="en-US"/>
        </w:rPr>
        <w:t xml:space="preserve">Fig. </w:t>
      </w:r>
      <w:r>
        <w:rPr>
          <w:sz w:val="20"/>
          <w:szCs w:val="20"/>
          <w:lang w:val="en-US"/>
        </w:rPr>
        <w:t>5</w:t>
      </w:r>
      <w:r w:rsidRPr="009D2614">
        <w:rPr>
          <w:sz w:val="20"/>
          <w:szCs w:val="20"/>
          <w:lang w:val="en-US"/>
        </w:rPr>
        <w:t xml:space="preserve">: </w:t>
      </w:r>
      <w:r w:rsidRPr="009D2614">
        <w:rPr>
          <w:sz w:val="20"/>
          <w:szCs w:val="20"/>
        </w:rPr>
        <w:t xml:space="preserve">From left to right, the assumed uptake rates are 0.10, 0.33, and 0.66. Each boxplot displays the median (central line) and the 95% credible interval (box bounds), under the assumption of suboptimal adherence that reduces protection to 33.0% of the baseline efficacy (i.e., </w:t>
      </w:r>
      <m:oMath>
        <m:r>
          <w:rPr>
            <w:rFonts w:ascii="Cambria Math" w:eastAsia="DengXian" w:hAnsi="Cambria Math"/>
            <w:sz w:val="20"/>
            <w:szCs w:val="20"/>
          </w:rPr>
          <m:t>ζ</m:t>
        </m:r>
      </m:oMath>
      <w:r w:rsidRPr="009D2614">
        <w:rPr>
          <w:rFonts w:eastAsia="DengXian"/>
          <w:iCs/>
          <w:sz w:val="20"/>
          <w:szCs w:val="20"/>
        </w:rPr>
        <w:t xml:space="preserve"> = 33.0%). </w:t>
      </w:r>
      <w:r w:rsidRPr="009D2614">
        <w:rPr>
          <w:sz w:val="20"/>
          <w:szCs w:val="20"/>
        </w:rPr>
        <w:t xml:space="preserve">The </w:t>
      </w:r>
      <w:r>
        <w:rPr>
          <w:sz w:val="20"/>
          <w:szCs w:val="20"/>
        </w:rPr>
        <w:t xml:space="preserve">Singapore </w:t>
      </w:r>
      <w:r w:rsidRPr="009D2614">
        <w:rPr>
          <w:sz w:val="20"/>
          <w:szCs w:val="20"/>
        </w:rPr>
        <w:t xml:space="preserve">main scenario assumes stabilization of inferred time-varying behavioural trends, with all males not engaging in sex with females classified as MSM. </w:t>
      </w:r>
      <w:r>
        <w:rPr>
          <w:sz w:val="20"/>
          <w:szCs w:val="20"/>
        </w:rPr>
        <w:t xml:space="preserve">Panels </w:t>
      </w:r>
      <w:r w:rsidRPr="009D2614">
        <w:rPr>
          <w:sz w:val="20"/>
          <w:szCs w:val="20"/>
          <w:lang w:val="en-US"/>
        </w:rPr>
        <w:t>(</w:t>
      </w:r>
      <w:r>
        <w:rPr>
          <w:sz w:val="20"/>
          <w:szCs w:val="20"/>
          <w:lang w:val="en-US"/>
        </w:rPr>
        <w:t>1</w:t>
      </w:r>
      <w:r w:rsidRPr="009D2614">
        <w:rPr>
          <w:sz w:val="20"/>
          <w:szCs w:val="20"/>
          <w:lang w:val="en-US"/>
        </w:rPr>
        <w:t xml:space="preserve">) </w:t>
      </w:r>
      <w:r>
        <w:rPr>
          <w:sz w:val="20"/>
          <w:szCs w:val="20"/>
          <w:lang w:val="en-US"/>
        </w:rPr>
        <w:t xml:space="preserve">and (3) show the </w:t>
      </w:r>
      <w:r>
        <w:rPr>
          <w:sz w:val="20"/>
          <w:szCs w:val="20"/>
        </w:rPr>
        <w:t>t</w:t>
      </w:r>
      <w:r w:rsidRPr="009D2614">
        <w:rPr>
          <w:sz w:val="20"/>
          <w:szCs w:val="20"/>
        </w:rPr>
        <w:t xml:space="preserve">otal number of averted </w:t>
      </w:r>
      <w:r>
        <w:rPr>
          <w:sz w:val="20"/>
          <w:szCs w:val="20"/>
        </w:rPr>
        <w:t xml:space="preserve">diagnosed </w:t>
      </w:r>
      <w:r w:rsidRPr="009D2614">
        <w:rPr>
          <w:sz w:val="20"/>
          <w:szCs w:val="20"/>
        </w:rPr>
        <w:t xml:space="preserve">cases comparing low vs. </w:t>
      </w:r>
      <w:r>
        <w:rPr>
          <w:sz w:val="20"/>
          <w:szCs w:val="20"/>
        </w:rPr>
        <w:t xml:space="preserve">normal vs. </w:t>
      </w:r>
      <w:r w:rsidRPr="009D2614">
        <w:rPr>
          <w:sz w:val="20"/>
          <w:szCs w:val="20"/>
        </w:rPr>
        <w:t xml:space="preserve">high </w:t>
      </w:r>
      <w:r>
        <w:rPr>
          <w:sz w:val="20"/>
          <w:szCs w:val="20"/>
        </w:rPr>
        <w:t>adherence behavioural patterns</w:t>
      </w:r>
      <w:r w:rsidRPr="009D2614">
        <w:rPr>
          <w:sz w:val="20"/>
          <w:szCs w:val="20"/>
        </w:rPr>
        <w:t xml:space="preserve"> across doxy-PEP strategies</w:t>
      </w:r>
      <w:r w:rsidRPr="0069390B">
        <w:rPr>
          <w:sz w:val="20"/>
          <w:szCs w:val="20"/>
        </w:rPr>
        <w:t xml:space="preserve"> </w:t>
      </w:r>
      <w:r w:rsidRPr="00657E82">
        <w:rPr>
          <w:sz w:val="20"/>
          <w:szCs w:val="20"/>
        </w:rPr>
        <w:t>for Singapore and England, respectively</w:t>
      </w:r>
      <w:r>
        <w:rPr>
          <w:sz w:val="20"/>
          <w:szCs w:val="20"/>
        </w:rPr>
        <w:t xml:space="preserve">. Panels </w:t>
      </w:r>
      <w:r w:rsidRPr="009D2614">
        <w:rPr>
          <w:sz w:val="20"/>
          <w:szCs w:val="20"/>
        </w:rPr>
        <w:t>(</w:t>
      </w:r>
      <w:r>
        <w:rPr>
          <w:sz w:val="20"/>
          <w:szCs w:val="20"/>
        </w:rPr>
        <w:t>2</w:t>
      </w:r>
      <w:r w:rsidRPr="009D2614">
        <w:rPr>
          <w:sz w:val="20"/>
          <w:szCs w:val="20"/>
        </w:rPr>
        <w:t xml:space="preserve">) </w:t>
      </w:r>
      <w:r>
        <w:rPr>
          <w:sz w:val="20"/>
          <w:szCs w:val="20"/>
        </w:rPr>
        <w:t>and (4) show the n</w:t>
      </w:r>
      <w:r w:rsidRPr="009D2614">
        <w:rPr>
          <w:sz w:val="20"/>
          <w:szCs w:val="20"/>
        </w:rPr>
        <w:t xml:space="preserve">umber of averted </w:t>
      </w:r>
      <w:r>
        <w:rPr>
          <w:sz w:val="20"/>
          <w:szCs w:val="20"/>
        </w:rPr>
        <w:t xml:space="preserve">diagnosed </w:t>
      </w:r>
      <w:r w:rsidRPr="009D2614">
        <w:rPr>
          <w:sz w:val="20"/>
          <w:szCs w:val="20"/>
        </w:rPr>
        <w:t xml:space="preserve">cases per prescription, comparing low vs. </w:t>
      </w:r>
      <w:r>
        <w:rPr>
          <w:sz w:val="20"/>
          <w:szCs w:val="20"/>
        </w:rPr>
        <w:t xml:space="preserve">normal vs. </w:t>
      </w:r>
      <w:r w:rsidRPr="009D2614">
        <w:rPr>
          <w:sz w:val="20"/>
          <w:szCs w:val="20"/>
        </w:rPr>
        <w:t xml:space="preserve">high </w:t>
      </w:r>
      <w:r>
        <w:rPr>
          <w:sz w:val="20"/>
          <w:szCs w:val="20"/>
        </w:rPr>
        <w:t>adherence behavioural patterns</w:t>
      </w:r>
      <w:r w:rsidRPr="009D2614">
        <w:rPr>
          <w:sz w:val="20"/>
          <w:szCs w:val="20"/>
        </w:rPr>
        <w:t xml:space="preserve"> across doxy-PEP strategies</w:t>
      </w:r>
      <w:r w:rsidRPr="0069390B">
        <w:rPr>
          <w:sz w:val="20"/>
          <w:szCs w:val="20"/>
        </w:rPr>
        <w:t xml:space="preserve"> </w:t>
      </w:r>
      <w:r w:rsidRPr="00657E82">
        <w:rPr>
          <w:sz w:val="20"/>
          <w:szCs w:val="20"/>
        </w:rPr>
        <w:t>for Singapore and England, respectively</w:t>
      </w:r>
      <w:r w:rsidR="009016FC">
        <w:rPr>
          <w:sz w:val="20"/>
          <w:szCs w:val="20"/>
        </w:rPr>
        <w:t>.</w:t>
      </w:r>
    </w:p>
    <w:p w14:paraId="47C9E832" w14:textId="46D7B558" w:rsidR="00752EF7" w:rsidRDefault="00752EF7" w:rsidP="00752EF7">
      <w:pPr>
        <w:pStyle w:val="NormalWeb"/>
        <w:numPr>
          <w:ilvl w:val="0"/>
          <w:numId w:val="31"/>
        </w:numPr>
        <w:spacing w:line="276" w:lineRule="auto"/>
        <w:jc w:val="both"/>
        <w:rPr>
          <w:b/>
          <w:bCs/>
          <w:sz w:val="20"/>
          <w:szCs w:val="20"/>
          <w:lang w:val="en-US"/>
        </w:rPr>
      </w:pPr>
      <w:r>
        <w:rPr>
          <w:b/>
          <w:bCs/>
          <w:sz w:val="20"/>
          <w:szCs w:val="20"/>
          <w:lang w:val="en-US"/>
        </w:rPr>
        <w:lastRenderedPageBreak/>
        <w:t>Discussion</w:t>
      </w:r>
    </w:p>
    <w:p w14:paraId="76A72E83" w14:textId="60E4BE7E" w:rsidR="00C52280" w:rsidRDefault="00C52280" w:rsidP="00752EF7">
      <w:pPr>
        <w:pStyle w:val="NormalWeb"/>
        <w:spacing w:line="276" w:lineRule="auto"/>
        <w:jc w:val="both"/>
        <w:rPr>
          <w:sz w:val="20"/>
          <w:szCs w:val="20"/>
        </w:rPr>
      </w:pPr>
      <w:r w:rsidRPr="00A62CE2">
        <w:rPr>
          <w:rStyle w:val="Emphasis"/>
          <w:rFonts w:eastAsiaTheme="majorEastAsia"/>
          <w:i w:val="0"/>
          <w:iCs w:val="0"/>
          <w:sz w:val="20"/>
          <w:szCs w:val="20"/>
        </w:rPr>
        <w:t xml:space="preserve">In summary, our sensitivity analysis shows that while uptake and adherence behaviour influence absolute impact and efficiency, they do not meaningfully alter the relative ranking of strategies: screening rate remains the key determinant for selecting the most appropriate doxy-PEP approach. Maintaining high screening coverage is critical for sustainable and efficient use of doxy-PEP, while targeted strategies like </w:t>
      </w:r>
      <w:r w:rsidRPr="00A62CE2">
        <w:rPr>
          <w:rStyle w:val="Emphasis"/>
          <w:rFonts w:eastAsiaTheme="majorEastAsia"/>
          <w:sz w:val="20"/>
          <w:szCs w:val="20"/>
        </w:rPr>
        <w:t>DoD(H)</w:t>
      </w:r>
      <w:r w:rsidRPr="00A62CE2">
        <w:rPr>
          <w:rStyle w:val="Emphasis"/>
          <w:rFonts w:eastAsiaTheme="majorEastAsia"/>
          <w:i w:val="0"/>
          <w:iCs w:val="0"/>
          <w:sz w:val="20"/>
          <w:szCs w:val="20"/>
        </w:rPr>
        <w:t xml:space="preserve"> are likely to provide the greatest population health benefit with minimal unnecessary prescribing.</w:t>
      </w:r>
    </w:p>
    <w:p w14:paraId="3E97F758" w14:textId="4B78DC45" w:rsidR="00A33D4F" w:rsidRDefault="00752EF7" w:rsidP="00752EF7">
      <w:pPr>
        <w:pStyle w:val="NormalWeb"/>
        <w:spacing w:line="276" w:lineRule="auto"/>
        <w:jc w:val="both"/>
        <w:rPr>
          <w:sz w:val="20"/>
          <w:szCs w:val="20"/>
        </w:rPr>
      </w:pPr>
      <w:r w:rsidRPr="00752EF7">
        <w:rPr>
          <w:sz w:val="20"/>
          <w:szCs w:val="20"/>
        </w:rPr>
        <w:t xml:space="preserve">Taken together, these findings reinforce that strategies focusing on high-risk MSM </w:t>
      </w:r>
      <w:r>
        <w:rPr>
          <w:sz w:val="20"/>
          <w:szCs w:val="20"/>
        </w:rPr>
        <w:t>-</w:t>
      </w:r>
      <w:r w:rsidRPr="00752EF7">
        <w:rPr>
          <w:sz w:val="20"/>
          <w:szCs w:val="20"/>
        </w:rPr>
        <w:t xml:space="preserve"> particularly prescribing doxy-PEP at diagnosis (</w:t>
      </w:r>
      <w:r w:rsidRPr="00752EF7">
        <w:rPr>
          <w:rStyle w:val="Emphasis"/>
          <w:rFonts w:eastAsiaTheme="majorEastAsia"/>
          <w:sz w:val="20"/>
          <w:szCs w:val="20"/>
        </w:rPr>
        <w:t>DoD(H)</w:t>
      </w:r>
      <w:r w:rsidRPr="00752EF7">
        <w:rPr>
          <w:sz w:val="20"/>
          <w:szCs w:val="20"/>
        </w:rPr>
        <w:t xml:space="preserve">) </w:t>
      </w:r>
      <w:r>
        <w:rPr>
          <w:sz w:val="20"/>
          <w:szCs w:val="20"/>
        </w:rPr>
        <w:t>-</w:t>
      </w:r>
      <w:r w:rsidRPr="00752EF7">
        <w:rPr>
          <w:sz w:val="20"/>
          <w:szCs w:val="20"/>
        </w:rPr>
        <w:t xml:space="preserve"> offer the most efficient use of resources. Including low-risk MSM provides minimal additional benefit while dramatically increasing prescription volume, which could exacerbate antibiotic overuse concerns.</w:t>
      </w:r>
      <w:r w:rsidR="00A33D4F">
        <w:rPr>
          <w:sz w:val="20"/>
          <w:szCs w:val="20"/>
        </w:rPr>
        <w:t xml:space="preserve"> </w:t>
      </w:r>
      <w:r w:rsidR="00A33D4F" w:rsidRPr="00A33D4F">
        <w:rPr>
          <w:sz w:val="20"/>
          <w:szCs w:val="20"/>
        </w:rPr>
        <w:t xml:space="preserve">Given the balance between population-level impact and prescription efficiency, our findings support prioritising a targeted </w:t>
      </w:r>
      <w:r w:rsidR="00A33D4F" w:rsidRPr="00882EF1">
        <w:rPr>
          <w:i/>
          <w:iCs/>
          <w:sz w:val="20"/>
          <w:szCs w:val="20"/>
        </w:rPr>
        <w:t>DoD(H)</w:t>
      </w:r>
      <w:r w:rsidR="00A33D4F" w:rsidRPr="00A33D4F">
        <w:rPr>
          <w:sz w:val="20"/>
          <w:szCs w:val="20"/>
        </w:rPr>
        <w:t xml:space="preserve"> strategy as the most sustainable and equitable approach to implementing doxy-PEP</w:t>
      </w:r>
      <w:r w:rsidR="0070759E">
        <w:rPr>
          <w:sz w:val="20"/>
          <w:szCs w:val="20"/>
        </w:rPr>
        <w:t>.</w:t>
      </w:r>
    </w:p>
    <w:p w14:paraId="3DD26367" w14:textId="3AF90675" w:rsidR="00752EF7" w:rsidRDefault="0070759E" w:rsidP="00752EF7">
      <w:pPr>
        <w:pStyle w:val="NormalWeb"/>
        <w:spacing w:line="276" w:lineRule="auto"/>
        <w:jc w:val="both"/>
        <w:rPr>
          <w:sz w:val="20"/>
          <w:szCs w:val="20"/>
        </w:rPr>
      </w:pPr>
      <w:r w:rsidRPr="001118C2">
        <w:rPr>
          <w:sz w:val="20"/>
          <w:szCs w:val="20"/>
        </w:rPr>
        <w:t xml:space="preserve">In summary, </w:t>
      </w:r>
      <w:r w:rsidRPr="001118C2">
        <w:rPr>
          <w:rStyle w:val="Strong"/>
          <w:rFonts w:eastAsiaTheme="majorEastAsia"/>
          <w:b w:val="0"/>
          <w:bCs w:val="0"/>
          <w:sz w:val="20"/>
          <w:szCs w:val="20"/>
        </w:rPr>
        <w:t>under high screening rates</w:t>
      </w:r>
      <w:r w:rsidRPr="001118C2">
        <w:rPr>
          <w:sz w:val="20"/>
          <w:szCs w:val="20"/>
        </w:rPr>
        <w:t xml:space="preserve">, </w:t>
      </w:r>
      <w:r w:rsidRPr="001118C2">
        <w:rPr>
          <w:rStyle w:val="Strong"/>
          <w:rFonts w:eastAsiaTheme="majorEastAsia"/>
          <w:b w:val="0"/>
          <w:bCs w:val="0"/>
          <w:sz w:val="20"/>
          <w:szCs w:val="20"/>
        </w:rPr>
        <w:t>DoD(H)</w:t>
      </w:r>
      <w:r w:rsidRPr="001118C2">
        <w:rPr>
          <w:sz w:val="20"/>
          <w:szCs w:val="20"/>
        </w:rPr>
        <w:t xml:space="preserve"> should be prioritized across all uptake scenarios due to its superior efficiency and solid effectiveness. </w:t>
      </w:r>
      <w:r w:rsidRPr="001118C2">
        <w:rPr>
          <w:rStyle w:val="Strong"/>
          <w:rFonts w:eastAsiaTheme="majorEastAsia"/>
          <w:b w:val="0"/>
          <w:bCs w:val="0"/>
          <w:sz w:val="20"/>
          <w:szCs w:val="20"/>
        </w:rPr>
        <w:t>Under low screening rates</w:t>
      </w:r>
      <w:r w:rsidRPr="001118C2">
        <w:rPr>
          <w:sz w:val="20"/>
          <w:szCs w:val="20"/>
        </w:rPr>
        <w:t xml:space="preserve">, </w:t>
      </w:r>
      <w:r w:rsidRPr="001118C2">
        <w:rPr>
          <w:rStyle w:val="Strong"/>
          <w:rFonts w:eastAsiaTheme="majorEastAsia"/>
          <w:b w:val="0"/>
          <w:bCs w:val="0"/>
          <w:sz w:val="20"/>
          <w:szCs w:val="20"/>
        </w:rPr>
        <w:t>DoA(H)</w:t>
      </w:r>
      <w:r w:rsidRPr="001118C2">
        <w:rPr>
          <w:sz w:val="20"/>
          <w:szCs w:val="20"/>
        </w:rPr>
        <w:t xml:space="preserve"> is preferred. This tailored approach ensures that doxy-PEP strategies align with both public health goals and practical resource considerations, optimizing outcomes across diverse implementation settings</w:t>
      </w:r>
      <w:r>
        <w:rPr>
          <w:sz w:val="20"/>
          <w:szCs w:val="20"/>
        </w:rPr>
        <w:t>.</w:t>
      </w:r>
    </w:p>
    <w:p w14:paraId="1428DA1C" w14:textId="4E8C85B6" w:rsidR="005625A4" w:rsidRPr="005625A4" w:rsidRDefault="005625A4" w:rsidP="005625A4">
      <w:pPr>
        <w:pStyle w:val="NormalWeb"/>
        <w:numPr>
          <w:ilvl w:val="0"/>
          <w:numId w:val="31"/>
        </w:numPr>
        <w:spacing w:line="276" w:lineRule="auto"/>
        <w:jc w:val="both"/>
        <w:rPr>
          <w:b/>
          <w:bCs/>
          <w:sz w:val="20"/>
          <w:szCs w:val="20"/>
        </w:rPr>
      </w:pPr>
      <w:r w:rsidRPr="005625A4">
        <w:rPr>
          <w:b/>
          <w:bCs/>
          <w:sz w:val="20"/>
          <w:szCs w:val="20"/>
        </w:rPr>
        <w:t>Conclusion</w:t>
      </w:r>
    </w:p>
    <w:p w14:paraId="7FA49651" w14:textId="6E6F8839" w:rsidR="00F938FF" w:rsidRPr="00B934F2" w:rsidRDefault="00F938FF" w:rsidP="00AF5F3A">
      <w:pPr>
        <w:pStyle w:val="NormalWeb"/>
        <w:spacing w:line="276" w:lineRule="auto"/>
        <w:jc w:val="both"/>
        <w:rPr>
          <w:b/>
          <w:bCs/>
          <w:sz w:val="20"/>
          <w:szCs w:val="20"/>
          <w:lang w:val="en-US"/>
        </w:rPr>
      </w:pPr>
      <w:r w:rsidRPr="00B934F2">
        <w:rPr>
          <w:b/>
          <w:bCs/>
          <w:sz w:val="20"/>
          <w:szCs w:val="20"/>
          <w:lang w:val="en-US"/>
        </w:rPr>
        <w:t>Reference:</w:t>
      </w:r>
    </w:p>
    <w:p w14:paraId="38B6C875" w14:textId="77777777" w:rsidR="009016FC" w:rsidRPr="009016FC" w:rsidRDefault="00756851" w:rsidP="009016FC">
      <w:pPr>
        <w:pStyle w:val="Bibliography"/>
        <w:rPr>
          <w:rFonts w:ascii="Aptos"/>
          <w:lang w:val="en-GB"/>
        </w:rPr>
      </w:pPr>
      <w:r w:rsidRPr="00B934F2">
        <w:rPr>
          <w:sz w:val="20"/>
          <w:szCs w:val="20"/>
        </w:rPr>
        <w:fldChar w:fldCharType="begin"/>
      </w:r>
      <w:r w:rsidR="009016FC">
        <w:rPr>
          <w:sz w:val="20"/>
          <w:szCs w:val="20"/>
        </w:rPr>
        <w:instrText xml:space="preserve"> ADDIN ZOTERO_BIBL {"uncited":[],"omitted":[],"custom":[]} CSL_BIBLIOGRAPHY </w:instrText>
      </w:r>
      <w:r w:rsidRPr="00B934F2">
        <w:rPr>
          <w:sz w:val="20"/>
          <w:szCs w:val="20"/>
        </w:rPr>
        <w:fldChar w:fldCharType="separate"/>
      </w:r>
      <w:r w:rsidR="009016FC" w:rsidRPr="009016FC">
        <w:rPr>
          <w:rFonts w:ascii="Aptos"/>
          <w:lang w:val="en-GB"/>
        </w:rPr>
        <w:t>[1]</w:t>
      </w:r>
      <w:r w:rsidR="009016FC" w:rsidRPr="009016FC">
        <w:rPr>
          <w:rFonts w:ascii="Aptos"/>
          <w:lang w:val="en-GB"/>
        </w:rPr>
        <w:tab/>
        <w:t>“Global Sexually Transmitted Infections Programme,” World Health Organization. Accessed: Jun. 29, 2025. [Online]. Available: https://www.who.int/teams/global-hiv-hepatitis-and-stis-programmes/stis/strategic-information</w:t>
      </w:r>
    </w:p>
    <w:p w14:paraId="57350147" w14:textId="77777777" w:rsidR="009016FC" w:rsidRPr="009016FC" w:rsidRDefault="009016FC" w:rsidP="009016FC">
      <w:pPr>
        <w:pStyle w:val="Bibliography"/>
        <w:rPr>
          <w:rFonts w:ascii="Aptos"/>
          <w:lang w:val="en-GB"/>
        </w:rPr>
      </w:pPr>
      <w:r w:rsidRPr="009016FC">
        <w:rPr>
          <w:rFonts w:ascii="Aptos"/>
          <w:lang w:val="en-GB"/>
        </w:rPr>
        <w:t>[2]</w:t>
      </w:r>
      <w:r w:rsidRPr="009016FC">
        <w:rPr>
          <w:rFonts w:ascii="Aptos"/>
          <w:lang w:val="en-GB"/>
        </w:rPr>
        <w:tab/>
        <w:t>“[ARCHIVED CONTENT] UK Government Web Archive - The National Archives.” Accessed: Jun. 25, 2025. [Online]. Available: https://webarchive.nationalarchives.gov.uk/ukgwa/20170517101539/https:/www.gov.uk/government/statistics/sexually-transmitted-infections-stis-annual-data-tables</w:t>
      </w:r>
    </w:p>
    <w:p w14:paraId="277ED34A" w14:textId="77777777" w:rsidR="009016FC" w:rsidRPr="009016FC" w:rsidRDefault="009016FC" w:rsidP="009016FC">
      <w:pPr>
        <w:pStyle w:val="Bibliography"/>
        <w:rPr>
          <w:rFonts w:ascii="Aptos"/>
          <w:lang w:val="en-GB"/>
        </w:rPr>
      </w:pPr>
      <w:r w:rsidRPr="009016FC">
        <w:rPr>
          <w:rFonts w:ascii="Aptos"/>
          <w:lang w:val="en-GB"/>
        </w:rPr>
        <w:t>[3]</w:t>
      </w:r>
      <w:r w:rsidRPr="009016FC">
        <w:rPr>
          <w:rFonts w:ascii="Aptos"/>
          <w:lang w:val="en-GB"/>
        </w:rPr>
        <w:tab/>
        <w:t>“Sexually transmitted infections (STIs): annual data,” GOV.UK. Accessed: Jun. 25, 2025. [Online]. Available: https://www.gov.uk/government/statistics/sexually-transmitted-infections-stis-annual-data-tables</w:t>
      </w:r>
    </w:p>
    <w:p w14:paraId="477C9732" w14:textId="77777777" w:rsidR="009016FC" w:rsidRPr="009016FC" w:rsidRDefault="009016FC" w:rsidP="009016FC">
      <w:pPr>
        <w:pStyle w:val="Bibliography"/>
        <w:rPr>
          <w:rFonts w:ascii="Aptos"/>
          <w:lang w:val="en-GB"/>
        </w:rPr>
      </w:pPr>
      <w:r w:rsidRPr="009016FC">
        <w:rPr>
          <w:rFonts w:ascii="Aptos"/>
          <w:lang w:val="en-GB"/>
        </w:rPr>
        <w:t>[4]</w:t>
      </w:r>
      <w:r w:rsidRPr="009016FC">
        <w:rPr>
          <w:rFonts w:ascii="Aptos"/>
          <w:lang w:val="en-GB"/>
        </w:rPr>
        <w:tab/>
        <w:t>“The Communicable Disease Surveillance in Singapore 2004,” Ministry of Health. Accessed: Feb. 08, 2025. [Online]. Available: https://www.moh.gov.sg/others/resources-and-statistics/reports-communicable-disease-surveillance-in-singapore-2004/</w:t>
      </w:r>
    </w:p>
    <w:p w14:paraId="11C146CA" w14:textId="77777777" w:rsidR="009016FC" w:rsidRPr="009016FC" w:rsidRDefault="009016FC" w:rsidP="009016FC">
      <w:pPr>
        <w:pStyle w:val="Bibliography"/>
        <w:rPr>
          <w:rFonts w:ascii="Aptos"/>
          <w:lang w:val="en-GB"/>
        </w:rPr>
      </w:pPr>
      <w:r w:rsidRPr="009016FC">
        <w:rPr>
          <w:rFonts w:ascii="Aptos"/>
          <w:lang w:val="en-GB"/>
        </w:rPr>
        <w:t>[5]</w:t>
      </w:r>
      <w:r w:rsidRPr="009016FC">
        <w:rPr>
          <w:rFonts w:ascii="Aptos"/>
          <w:lang w:val="en-GB"/>
        </w:rPr>
        <w:tab/>
        <w:t>“The Communicable Diseases Surveillance in Singapore 2018,” Ministry of Health. Accessed: Feb. 08, 2025. [Online]. Available: https://www.moh.gov.sg/others/resources-and-statistics/the-communicable-diseases-surveillance-in-singapore-2018/</w:t>
      </w:r>
    </w:p>
    <w:p w14:paraId="3EC55CE5" w14:textId="77777777" w:rsidR="009016FC" w:rsidRPr="009016FC" w:rsidRDefault="009016FC" w:rsidP="009016FC">
      <w:pPr>
        <w:pStyle w:val="Bibliography"/>
        <w:rPr>
          <w:rFonts w:ascii="Aptos"/>
          <w:lang w:val="en-GB"/>
        </w:rPr>
      </w:pPr>
      <w:r w:rsidRPr="009016FC">
        <w:rPr>
          <w:rFonts w:ascii="Aptos"/>
          <w:lang w:val="en-GB"/>
        </w:rPr>
        <w:t>[6]</w:t>
      </w:r>
      <w:r w:rsidRPr="009016FC">
        <w:rPr>
          <w:rFonts w:ascii="Aptos"/>
          <w:lang w:val="en-GB"/>
        </w:rPr>
        <w:tab/>
        <w:t>“COMMUNICABLE DISEASES SURVEILLANCE IN SINGAPORE 2019-2020,” Ministry of Health. Accessed: Feb. 08, 2025. [Online]. Available: https://www.moh.gov.sg/others/resources-and-statistics/reports-communicable-diseases-surveillance-in-singapore-2019-2020/</w:t>
      </w:r>
    </w:p>
    <w:p w14:paraId="348988CC" w14:textId="77777777" w:rsidR="009016FC" w:rsidRPr="009016FC" w:rsidRDefault="009016FC" w:rsidP="009016FC">
      <w:pPr>
        <w:pStyle w:val="Bibliography"/>
        <w:rPr>
          <w:rFonts w:ascii="Aptos"/>
          <w:lang w:val="en-GB"/>
        </w:rPr>
      </w:pPr>
      <w:r w:rsidRPr="009016FC">
        <w:rPr>
          <w:rFonts w:ascii="Aptos"/>
          <w:lang w:val="en-GB"/>
        </w:rPr>
        <w:t>[7]</w:t>
      </w:r>
      <w:r w:rsidRPr="009016FC">
        <w:rPr>
          <w:rFonts w:ascii="Aptos"/>
          <w:lang w:val="en-GB"/>
        </w:rPr>
        <w:tab/>
        <w:t xml:space="preserve">K. Sinka, “The global burden of sexually transmitted infections,” </w:t>
      </w:r>
      <w:r w:rsidRPr="009016FC">
        <w:rPr>
          <w:rFonts w:ascii="Aptos"/>
          <w:i/>
          <w:iCs/>
          <w:lang w:val="en-GB"/>
        </w:rPr>
        <w:t>Clin Dermatol</w:t>
      </w:r>
      <w:r w:rsidRPr="009016FC">
        <w:rPr>
          <w:rFonts w:ascii="Aptos"/>
          <w:lang w:val="en-GB"/>
        </w:rPr>
        <w:t>, vol. 42, no. 2, pp. 110–118, 2024, doi: 10.1016/j.clindermatol.2023.12.002.</w:t>
      </w:r>
    </w:p>
    <w:p w14:paraId="1B51B827" w14:textId="77777777" w:rsidR="009016FC" w:rsidRPr="009016FC" w:rsidRDefault="009016FC" w:rsidP="009016FC">
      <w:pPr>
        <w:pStyle w:val="Bibliography"/>
        <w:rPr>
          <w:rFonts w:ascii="Aptos"/>
          <w:lang w:val="en-GB"/>
        </w:rPr>
      </w:pPr>
      <w:r w:rsidRPr="009016FC">
        <w:rPr>
          <w:rFonts w:ascii="Aptos"/>
          <w:lang w:val="en-GB"/>
        </w:rPr>
        <w:lastRenderedPageBreak/>
        <w:t>[8]</w:t>
      </w:r>
      <w:r w:rsidRPr="009016FC">
        <w:rPr>
          <w:rFonts w:ascii="Aptos"/>
          <w:lang w:val="en-GB"/>
        </w:rPr>
        <w:tab/>
        <w:t xml:space="preserve">D. E. Mauck </w:t>
      </w:r>
      <w:r w:rsidRPr="009016FC">
        <w:rPr>
          <w:rFonts w:ascii="Aptos"/>
          <w:i/>
          <w:iCs/>
          <w:lang w:val="en-GB"/>
        </w:rPr>
        <w:t>et al.</w:t>
      </w:r>
      <w:r w:rsidRPr="009016FC">
        <w:rPr>
          <w:rFonts w:ascii="Aptos"/>
          <w:lang w:val="en-GB"/>
        </w:rPr>
        <w:t xml:space="preserve">, “Population-based methods for estimating the number of men who have sex with men: A systematic review,” </w:t>
      </w:r>
      <w:r w:rsidRPr="009016FC">
        <w:rPr>
          <w:rFonts w:ascii="Aptos"/>
          <w:i/>
          <w:iCs/>
          <w:lang w:val="en-GB"/>
        </w:rPr>
        <w:t>Sex Health</w:t>
      </w:r>
      <w:r w:rsidRPr="009016FC">
        <w:rPr>
          <w:rFonts w:ascii="Aptos"/>
          <w:lang w:val="en-GB"/>
        </w:rPr>
        <w:t>, vol. 16, no. 6, pp. 527–538, Nov. 2019, doi: 10.1071/SH18172.</w:t>
      </w:r>
    </w:p>
    <w:p w14:paraId="291272EE" w14:textId="77777777" w:rsidR="009016FC" w:rsidRPr="009016FC" w:rsidRDefault="009016FC" w:rsidP="009016FC">
      <w:pPr>
        <w:pStyle w:val="Bibliography"/>
        <w:rPr>
          <w:rFonts w:ascii="Aptos"/>
          <w:lang w:val="en-GB"/>
        </w:rPr>
      </w:pPr>
      <w:r w:rsidRPr="009016FC">
        <w:rPr>
          <w:rFonts w:ascii="Aptos"/>
          <w:lang w:val="en-GB"/>
        </w:rPr>
        <w:t>[9]</w:t>
      </w:r>
      <w:r w:rsidRPr="009016FC">
        <w:rPr>
          <w:rFonts w:ascii="Aptos"/>
          <w:lang w:val="en-GB"/>
        </w:rPr>
        <w:tab/>
        <w:t xml:space="preserve">L. H. Bachmann, “CDC Clinical Guidelines on the Use of Doxycycline Postexposure Prophylaxis for Bacterial Sexually Transmitted Infection Prevention, United States, 2024,” </w:t>
      </w:r>
      <w:r w:rsidRPr="009016FC">
        <w:rPr>
          <w:rFonts w:ascii="Aptos"/>
          <w:i/>
          <w:iCs/>
          <w:lang w:val="en-GB"/>
        </w:rPr>
        <w:t>MMWR Recomm Rep</w:t>
      </w:r>
      <w:r w:rsidRPr="009016FC">
        <w:rPr>
          <w:rFonts w:ascii="Aptos"/>
          <w:lang w:val="en-GB"/>
        </w:rPr>
        <w:t>, vol. 73, 2024, doi: 10.15585/mmwr.rr7302a1.</w:t>
      </w:r>
    </w:p>
    <w:p w14:paraId="43CFE83B" w14:textId="77777777" w:rsidR="009016FC" w:rsidRPr="009016FC" w:rsidRDefault="009016FC" w:rsidP="009016FC">
      <w:pPr>
        <w:pStyle w:val="Bibliography"/>
        <w:rPr>
          <w:rFonts w:ascii="Aptos"/>
          <w:lang w:val="en-GB"/>
        </w:rPr>
      </w:pPr>
      <w:r w:rsidRPr="009016FC">
        <w:rPr>
          <w:rFonts w:ascii="Aptos"/>
          <w:lang w:val="en-GB"/>
        </w:rPr>
        <w:t>[10]</w:t>
      </w:r>
      <w:r w:rsidRPr="009016FC">
        <w:rPr>
          <w:rFonts w:ascii="Aptos"/>
          <w:lang w:val="en-GB"/>
        </w:rPr>
        <w:tab/>
        <w:t xml:space="preserve">J. C. Dombrowski </w:t>
      </w:r>
      <w:r w:rsidRPr="009016FC">
        <w:rPr>
          <w:rFonts w:ascii="Aptos"/>
          <w:i/>
          <w:iCs/>
          <w:lang w:val="en-GB"/>
        </w:rPr>
        <w:t>et al.</w:t>
      </w:r>
      <w:r w:rsidRPr="009016FC">
        <w:rPr>
          <w:rFonts w:ascii="Aptos"/>
          <w:lang w:val="en-GB"/>
        </w:rPr>
        <w:t xml:space="preserve">, “Evidence-Informed Provision of Doxycycline Postexposure Prophylaxis for Prevention of Bacterial Sexually Transmitted Infections,” </w:t>
      </w:r>
      <w:r w:rsidRPr="009016FC">
        <w:rPr>
          <w:rFonts w:ascii="Aptos"/>
          <w:i/>
          <w:iCs/>
          <w:lang w:val="en-GB"/>
        </w:rPr>
        <w:t>Clinical Infectious Diseases</w:t>
      </w:r>
      <w:r w:rsidRPr="009016FC">
        <w:rPr>
          <w:rFonts w:ascii="Aptos"/>
          <w:lang w:val="en-GB"/>
        </w:rPr>
        <w:t>, p. ciae527, Oct. 2024, doi: 10.1093/cid/ciae527.</w:t>
      </w:r>
    </w:p>
    <w:p w14:paraId="1A0CFC1F" w14:textId="77777777" w:rsidR="009016FC" w:rsidRPr="009016FC" w:rsidRDefault="009016FC" w:rsidP="009016FC">
      <w:pPr>
        <w:pStyle w:val="Bibliography"/>
        <w:rPr>
          <w:rFonts w:ascii="Aptos"/>
          <w:lang w:val="en-GB"/>
        </w:rPr>
      </w:pPr>
      <w:r w:rsidRPr="009016FC">
        <w:rPr>
          <w:rFonts w:ascii="Aptos"/>
          <w:lang w:val="en-GB"/>
        </w:rPr>
        <w:t>[11]</w:t>
      </w:r>
      <w:r w:rsidRPr="009016FC">
        <w:rPr>
          <w:rFonts w:ascii="Aptos"/>
          <w:lang w:val="en-GB"/>
        </w:rPr>
        <w:tab/>
        <w:t>J. Saunders, J. Deering, C. Dewsnap, R. Drayton, and J. Gilmore, “UK National Guideline for the Use of Doxycycline Post-Exposure Prophylaxis (DoxyPEP) for the Prevention of Syphilis”.</w:t>
      </w:r>
    </w:p>
    <w:p w14:paraId="7F30FF2F" w14:textId="77777777" w:rsidR="009016FC" w:rsidRPr="009016FC" w:rsidRDefault="009016FC" w:rsidP="009016FC">
      <w:pPr>
        <w:pStyle w:val="Bibliography"/>
        <w:rPr>
          <w:rFonts w:ascii="Aptos"/>
          <w:lang w:val="en-GB"/>
        </w:rPr>
      </w:pPr>
      <w:r w:rsidRPr="009016FC">
        <w:rPr>
          <w:rFonts w:ascii="Aptos"/>
          <w:lang w:val="en-GB"/>
        </w:rPr>
        <w:t>[12]</w:t>
      </w:r>
      <w:r w:rsidRPr="009016FC">
        <w:rPr>
          <w:rFonts w:ascii="Aptos"/>
          <w:lang w:val="en-GB"/>
        </w:rPr>
        <w:tab/>
        <w:t xml:space="preserve">J.-M. Molina </w:t>
      </w:r>
      <w:r w:rsidRPr="009016FC">
        <w:rPr>
          <w:rFonts w:ascii="Aptos"/>
          <w:i/>
          <w:iCs/>
          <w:lang w:val="en-GB"/>
        </w:rPr>
        <w:t>et al.</w:t>
      </w:r>
      <w:r w:rsidRPr="009016FC">
        <w:rPr>
          <w:rFonts w:ascii="Aptos"/>
          <w:lang w:val="en-GB"/>
        </w:rPr>
        <w:t xml:space="preserve">, “Post-exposure prophylaxis with doxycycline to prevent sexually transmitted infections in men who have sex with men: an open-label randomised substudy of the ANRS IPERGAY trial,” </w:t>
      </w:r>
      <w:r w:rsidRPr="009016FC">
        <w:rPr>
          <w:rFonts w:ascii="Aptos"/>
          <w:i/>
          <w:iCs/>
          <w:lang w:val="en-GB"/>
        </w:rPr>
        <w:t>Lancet Infect Dis</w:t>
      </w:r>
      <w:r w:rsidRPr="009016FC">
        <w:rPr>
          <w:rFonts w:ascii="Aptos"/>
          <w:lang w:val="en-GB"/>
        </w:rPr>
        <w:t>, vol. 18, no. 3, pp. 308–317, Mar. 2018, doi: 10.1016/S1473-3099(17)30725-9.</w:t>
      </w:r>
    </w:p>
    <w:p w14:paraId="15BAAAAF" w14:textId="77777777" w:rsidR="009016FC" w:rsidRPr="009016FC" w:rsidRDefault="009016FC" w:rsidP="009016FC">
      <w:pPr>
        <w:pStyle w:val="Bibliography"/>
        <w:rPr>
          <w:rFonts w:ascii="Aptos"/>
          <w:lang w:val="en-GB"/>
        </w:rPr>
      </w:pPr>
      <w:r w:rsidRPr="009016FC">
        <w:rPr>
          <w:rFonts w:ascii="Aptos"/>
          <w:lang w:val="en-GB"/>
        </w:rPr>
        <w:t>[13]</w:t>
      </w:r>
      <w:r w:rsidRPr="009016FC">
        <w:rPr>
          <w:rFonts w:ascii="Aptos"/>
          <w:lang w:val="en-GB"/>
        </w:rPr>
        <w:tab/>
        <w:t xml:space="preserve">J.-M. Molina </w:t>
      </w:r>
      <w:r w:rsidRPr="009016FC">
        <w:rPr>
          <w:rFonts w:ascii="Aptos"/>
          <w:i/>
          <w:iCs/>
          <w:lang w:val="en-GB"/>
        </w:rPr>
        <w:t>et al.</w:t>
      </w:r>
      <w:r w:rsidRPr="009016FC">
        <w:rPr>
          <w:rFonts w:ascii="Aptos"/>
          <w:lang w:val="en-GB"/>
        </w:rPr>
        <w:t xml:space="preserve">, “Doxycycline prophylaxis and meningococcal group B vaccine to prevent bacterial sexually transmitted infections in France (ANRS 174 DOXYVAC): a multicentre, open-label, randomised trial with a 2 × 2 factorial design,” </w:t>
      </w:r>
      <w:r w:rsidRPr="009016FC">
        <w:rPr>
          <w:rFonts w:ascii="Aptos"/>
          <w:i/>
          <w:iCs/>
          <w:lang w:val="en-GB"/>
        </w:rPr>
        <w:t>The Lancet Infectious Diseases</w:t>
      </w:r>
      <w:r w:rsidRPr="009016FC">
        <w:rPr>
          <w:rFonts w:ascii="Aptos"/>
          <w:lang w:val="en-GB"/>
        </w:rPr>
        <w:t>, vol. 24, no. 10, pp. 1093–1104, Oct. 2024, doi: 10.1016/S1473-3099(24)00236-6.</w:t>
      </w:r>
    </w:p>
    <w:p w14:paraId="3532B1C0" w14:textId="77777777" w:rsidR="009016FC" w:rsidRPr="009016FC" w:rsidRDefault="009016FC" w:rsidP="009016FC">
      <w:pPr>
        <w:pStyle w:val="Bibliography"/>
        <w:rPr>
          <w:rFonts w:ascii="Aptos"/>
          <w:lang w:val="en-GB"/>
        </w:rPr>
      </w:pPr>
      <w:r w:rsidRPr="009016FC">
        <w:rPr>
          <w:rFonts w:ascii="Aptos"/>
          <w:lang w:val="en-GB"/>
        </w:rPr>
        <w:t>[14]</w:t>
      </w:r>
      <w:r w:rsidRPr="009016FC">
        <w:rPr>
          <w:rFonts w:ascii="Aptos"/>
          <w:lang w:val="en-GB"/>
        </w:rPr>
        <w:tab/>
        <w:t xml:space="preserve">R. K. Bolan, M. R. Beymer, R. E. Weiss, R. P. Flynn, A. A. Leibowitz, and J. D. Klausner, “Doxycycline prophylaxis to reduce incident syphilis among HIV-infected men who have sex with men who continue to engage in high-risk sex: a randomized, controlled pilot study,” </w:t>
      </w:r>
      <w:r w:rsidRPr="009016FC">
        <w:rPr>
          <w:rFonts w:ascii="Aptos"/>
          <w:i/>
          <w:iCs/>
          <w:lang w:val="en-GB"/>
        </w:rPr>
        <w:t>Sex Transm Dis</w:t>
      </w:r>
      <w:r w:rsidRPr="009016FC">
        <w:rPr>
          <w:rFonts w:ascii="Aptos"/>
          <w:lang w:val="en-GB"/>
        </w:rPr>
        <w:t>, vol. 42, no. 2, pp. 98–103, Feb. 2015, doi: 10.1097/OLQ.0000000000000216.</w:t>
      </w:r>
    </w:p>
    <w:p w14:paraId="74D9D2BC" w14:textId="77777777" w:rsidR="009016FC" w:rsidRPr="009016FC" w:rsidRDefault="009016FC" w:rsidP="009016FC">
      <w:pPr>
        <w:pStyle w:val="Bibliography"/>
        <w:rPr>
          <w:rFonts w:ascii="Aptos"/>
          <w:lang w:val="en-GB"/>
        </w:rPr>
      </w:pPr>
      <w:r w:rsidRPr="009016FC">
        <w:rPr>
          <w:rFonts w:ascii="Aptos"/>
          <w:lang w:val="en-GB"/>
        </w:rPr>
        <w:t>[15]</w:t>
      </w:r>
      <w:r w:rsidRPr="009016FC">
        <w:rPr>
          <w:rFonts w:ascii="Aptos"/>
          <w:lang w:val="en-GB"/>
        </w:rPr>
        <w:tab/>
        <w:t xml:space="preserve">A. F. Luetkemeyer </w:t>
      </w:r>
      <w:r w:rsidRPr="009016FC">
        <w:rPr>
          <w:rFonts w:ascii="Aptos"/>
          <w:i/>
          <w:iCs/>
          <w:lang w:val="en-GB"/>
        </w:rPr>
        <w:t>et al.</w:t>
      </w:r>
      <w:r w:rsidRPr="009016FC">
        <w:rPr>
          <w:rFonts w:ascii="Aptos"/>
          <w:lang w:val="en-GB"/>
        </w:rPr>
        <w:t xml:space="preserve">, “Postexposure Doxycycline to Prevent Bacterial Sexually Transmitted Infections,” </w:t>
      </w:r>
      <w:r w:rsidRPr="009016FC">
        <w:rPr>
          <w:rFonts w:ascii="Aptos"/>
          <w:i/>
          <w:iCs/>
          <w:lang w:val="en-GB"/>
        </w:rPr>
        <w:t>N Engl J Med</w:t>
      </w:r>
      <w:r w:rsidRPr="009016FC">
        <w:rPr>
          <w:rFonts w:ascii="Aptos"/>
          <w:lang w:val="en-GB"/>
        </w:rPr>
        <w:t>, vol. 388, no. 14, pp. 1296–1306, Apr. 2023, doi: 10.1056/NEJMoa2211934.</w:t>
      </w:r>
    </w:p>
    <w:p w14:paraId="63767B25" w14:textId="77777777" w:rsidR="009016FC" w:rsidRPr="009016FC" w:rsidRDefault="009016FC" w:rsidP="009016FC">
      <w:pPr>
        <w:pStyle w:val="Bibliography"/>
        <w:rPr>
          <w:rFonts w:ascii="Aptos"/>
          <w:lang w:val="en-GB"/>
        </w:rPr>
      </w:pPr>
      <w:r w:rsidRPr="009016FC">
        <w:rPr>
          <w:rFonts w:ascii="Aptos"/>
          <w:lang w:val="en-GB"/>
        </w:rPr>
        <w:t>[16]</w:t>
      </w:r>
      <w:r w:rsidRPr="009016FC">
        <w:rPr>
          <w:rFonts w:ascii="Aptos"/>
          <w:lang w:val="en-GB"/>
        </w:rPr>
        <w:tab/>
        <w:t xml:space="preserve">J. Stewart </w:t>
      </w:r>
      <w:r w:rsidRPr="009016FC">
        <w:rPr>
          <w:rFonts w:ascii="Aptos"/>
          <w:i/>
          <w:iCs/>
          <w:lang w:val="en-GB"/>
        </w:rPr>
        <w:t>et al.</w:t>
      </w:r>
      <w:r w:rsidRPr="009016FC">
        <w:rPr>
          <w:rFonts w:ascii="Aptos"/>
          <w:lang w:val="en-GB"/>
        </w:rPr>
        <w:t xml:space="preserve">, “Doxycycline Prophylaxis to Prevent Sexually Transmitted Infections in Women,” </w:t>
      </w:r>
      <w:r w:rsidRPr="009016FC">
        <w:rPr>
          <w:rFonts w:ascii="Aptos"/>
          <w:i/>
          <w:iCs/>
          <w:lang w:val="en-GB"/>
        </w:rPr>
        <w:t>N Engl J Med</w:t>
      </w:r>
      <w:r w:rsidRPr="009016FC">
        <w:rPr>
          <w:rFonts w:ascii="Aptos"/>
          <w:lang w:val="en-GB"/>
        </w:rPr>
        <w:t>, vol. 389, no. 25, pp. 2331–2340, Dec. 2023, doi: 10.1056/NEJMoa2304007.</w:t>
      </w:r>
    </w:p>
    <w:p w14:paraId="535F163A" w14:textId="77777777" w:rsidR="009016FC" w:rsidRPr="009016FC" w:rsidRDefault="009016FC" w:rsidP="009016FC">
      <w:pPr>
        <w:pStyle w:val="Bibliography"/>
        <w:rPr>
          <w:rFonts w:ascii="Aptos"/>
          <w:lang w:val="en-GB"/>
        </w:rPr>
      </w:pPr>
      <w:r w:rsidRPr="009016FC">
        <w:rPr>
          <w:rFonts w:ascii="Aptos"/>
          <w:lang w:val="en-GB"/>
        </w:rPr>
        <w:t>[17]</w:t>
      </w:r>
      <w:r w:rsidRPr="009016FC">
        <w:rPr>
          <w:rFonts w:ascii="Aptos"/>
          <w:lang w:val="en-GB"/>
        </w:rPr>
        <w:tab/>
        <w:t xml:space="preserve">M. Sankaran </w:t>
      </w:r>
      <w:r w:rsidRPr="009016FC">
        <w:rPr>
          <w:rFonts w:ascii="Aptos"/>
          <w:i/>
          <w:iCs/>
          <w:lang w:val="en-GB"/>
        </w:rPr>
        <w:t>et al.</w:t>
      </w:r>
      <w:r w:rsidRPr="009016FC">
        <w:rPr>
          <w:rFonts w:ascii="Aptos"/>
          <w:lang w:val="en-GB"/>
        </w:rPr>
        <w:t xml:space="preserve">, “Doxycycline Postexposure Prophylaxis and Sexually Transmitted Infection Trends,” </w:t>
      </w:r>
      <w:r w:rsidRPr="009016FC">
        <w:rPr>
          <w:rFonts w:ascii="Aptos"/>
          <w:i/>
          <w:iCs/>
          <w:lang w:val="en-GB"/>
        </w:rPr>
        <w:t>JAMA Internal Medicine</w:t>
      </w:r>
      <w:r w:rsidRPr="009016FC">
        <w:rPr>
          <w:rFonts w:ascii="Aptos"/>
          <w:lang w:val="en-GB"/>
        </w:rPr>
        <w:t>, Jan. 2025, doi: 10.1001/jamainternmed.2024.7178.</w:t>
      </w:r>
    </w:p>
    <w:p w14:paraId="01E49C78" w14:textId="77777777" w:rsidR="009016FC" w:rsidRPr="009016FC" w:rsidRDefault="009016FC" w:rsidP="009016FC">
      <w:pPr>
        <w:pStyle w:val="Bibliography"/>
        <w:rPr>
          <w:rFonts w:ascii="Aptos"/>
          <w:lang w:val="en-GB"/>
        </w:rPr>
      </w:pPr>
      <w:r w:rsidRPr="009016FC">
        <w:rPr>
          <w:rFonts w:ascii="Aptos"/>
          <w:lang w:val="en-GB"/>
        </w:rPr>
        <w:t>[18]</w:t>
      </w:r>
      <w:r w:rsidRPr="009016FC">
        <w:rPr>
          <w:rFonts w:ascii="Aptos"/>
          <w:lang w:val="en-GB"/>
        </w:rPr>
        <w:tab/>
        <w:t xml:space="preserve">M. W. Traeger </w:t>
      </w:r>
      <w:r w:rsidRPr="009016FC">
        <w:rPr>
          <w:rFonts w:ascii="Aptos"/>
          <w:i/>
          <w:iCs/>
          <w:lang w:val="en-GB"/>
        </w:rPr>
        <w:t>et al.</w:t>
      </w:r>
      <w:r w:rsidRPr="009016FC">
        <w:rPr>
          <w:rFonts w:ascii="Aptos"/>
          <w:lang w:val="en-GB"/>
        </w:rPr>
        <w:t xml:space="preserve">, “Doxycycline Postexposure Prophylaxis and Bacterial Sexually Transmitted Infections Among Individuals Using HIV Preexposure Prophylaxis,” </w:t>
      </w:r>
      <w:r w:rsidRPr="009016FC">
        <w:rPr>
          <w:rFonts w:ascii="Aptos"/>
          <w:i/>
          <w:iCs/>
          <w:lang w:val="en-GB"/>
        </w:rPr>
        <w:t>JAMA Internal Medicine</w:t>
      </w:r>
      <w:r w:rsidRPr="009016FC">
        <w:rPr>
          <w:rFonts w:ascii="Aptos"/>
          <w:lang w:val="en-GB"/>
        </w:rPr>
        <w:t>, Jan. 2025, doi: 10.1001/jamainternmed.2024.7186.</w:t>
      </w:r>
    </w:p>
    <w:p w14:paraId="3A536290" w14:textId="77777777" w:rsidR="009016FC" w:rsidRPr="009016FC" w:rsidRDefault="009016FC" w:rsidP="009016FC">
      <w:pPr>
        <w:pStyle w:val="Bibliography"/>
        <w:rPr>
          <w:rFonts w:ascii="Aptos"/>
          <w:lang w:val="en-GB"/>
        </w:rPr>
      </w:pPr>
      <w:r w:rsidRPr="009016FC">
        <w:rPr>
          <w:rFonts w:ascii="Aptos"/>
          <w:lang w:val="en-GB"/>
        </w:rPr>
        <w:t>[19]</w:t>
      </w:r>
      <w:r w:rsidRPr="009016FC">
        <w:rPr>
          <w:rFonts w:ascii="Aptos"/>
          <w:lang w:val="en-GB"/>
        </w:rPr>
        <w:tab/>
        <w:t xml:space="preserve">J. S. Grant </w:t>
      </w:r>
      <w:r w:rsidRPr="009016FC">
        <w:rPr>
          <w:rFonts w:ascii="Aptos"/>
          <w:i/>
          <w:iCs/>
          <w:lang w:val="en-GB"/>
        </w:rPr>
        <w:t>et al.</w:t>
      </w:r>
      <w:r w:rsidRPr="009016FC">
        <w:rPr>
          <w:rFonts w:ascii="Aptos"/>
          <w:lang w:val="en-GB"/>
        </w:rPr>
        <w:t xml:space="preserve">, “Doxycycline Prophylaxis for Bacterial Sexually Transmitted Infections,” </w:t>
      </w:r>
      <w:r w:rsidRPr="009016FC">
        <w:rPr>
          <w:rFonts w:ascii="Aptos"/>
          <w:i/>
          <w:iCs/>
          <w:lang w:val="en-GB"/>
        </w:rPr>
        <w:t>Clinical Infectious Diseases</w:t>
      </w:r>
      <w:r w:rsidRPr="009016FC">
        <w:rPr>
          <w:rFonts w:ascii="Aptos"/>
          <w:lang w:val="en-GB"/>
        </w:rPr>
        <w:t>, vol. 70, no. 6, pp. 1247–1253, Mar. 2020, doi: 10.1093/cid/ciz866.</w:t>
      </w:r>
    </w:p>
    <w:p w14:paraId="2BF90648" w14:textId="77777777" w:rsidR="009016FC" w:rsidRPr="009016FC" w:rsidRDefault="009016FC" w:rsidP="009016FC">
      <w:pPr>
        <w:pStyle w:val="Bibliography"/>
        <w:rPr>
          <w:rFonts w:ascii="Aptos"/>
          <w:lang w:val="en-GB"/>
        </w:rPr>
      </w:pPr>
      <w:r w:rsidRPr="009016FC">
        <w:rPr>
          <w:rFonts w:ascii="Aptos"/>
          <w:lang w:val="en-GB"/>
        </w:rPr>
        <w:t>[20]</w:t>
      </w:r>
      <w:r w:rsidRPr="009016FC">
        <w:rPr>
          <w:rFonts w:ascii="Aptos"/>
          <w:lang w:val="en-GB"/>
        </w:rPr>
        <w:tab/>
        <w:t xml:space="preserve">A. Hazra </w:t>
      </w:r>
      <w:r w:rsidRPr="009016FC">
        <w:rPr>
          <w:rFonts w:ascii="Aptos"/>
          <w:i/>
          <w:iCs/>
          <w:lang w:val="en-GB"/>
        </w:rPr>
        <w:t>et al.</w:t>
      </w:r>
      <w:r w:rsidRPr="009016FC">
        <w:rPr>
          <w:rFonts w:ascii="Aptos"/>
          <w:lang w:val="en-GB"/>
        </w:rPr>
        <w:t xml:space="preserve">, “Filling in the Gaps: Updates on Doxycycline Prophylaxis for Bacterial Sexually Transmitted Infections,” </w:t>
      </w:r>
      <w:r w:rsidRPr="009016FC">
        <w:rPr>
          <w:rFonts w:ascii="Aptos"/>
          <w:i/>
          <w:iCs/>
          <w:lang w:val="en-GB"/>
        </w:rPr>
        <w:t>Clinical Infectious Diseases</w:t>
      </w:r>
      <w:r w:rsidRPr="009016FC">
        <w:rPr>
          <w:rFonts w:ascii="Aptos"/>
          <w:lang w:val="en-GB"/>
        </w:rPr>
        <w:t>, p. ciae062, Feb. 2024, doi: 10.1093/cid/ciae062.</w:t>
      </w:r>
    </w:p>
    <w:p w14:paraId="0B72CC14" w14:textId="77777777" w:rsidR="009016FC" w:rsidRPr="009016FC" w:rsidRDefault="009016FC" w:rsidP="009016FC">
      <w:pPr>
        <w:pStyle w:val="Bibliography"/>
        <w:rPr>
          <w:rFonts w:ascii="Aptos"/>
          <w:lang w:val="en-GB"/>
        </w:rPr>
      </w:pPr>
      <w:r w:rsidRPr="009016FC">
        <w:rPr>
          <w:rFonts w:ascii="Aptos"/>
          <w:lang w:val="en-GB"/>
        </w:rPr>
        <w:lastRenderedPageBreak/>
        <w:t>[21]</w:t>
      </w:r>
      <w:r w:rsidRPr="009016FC">
        <w:rPr>
          <w:rFonts w:ascii="Aptos"/>
          <w:lang w:val="en-GB"/>
        </w:rPr>
        <w:tab/>
        <w:t xml:space="preserve">M. W. Traeger, K. H. Mayer, D. S. Krakower, S. Gitin, S. M. Jenness, and J. L. Marcus, “Potential Impact of Doxycycline Post-exposure Prophylaxis Prescribing Strategies on Incidence of Bacterial Sexually Transmitted Infections,” </w:t>
      </w:r>
      <w:r w:rsidRPr="009016FC">
        <w:rPr>
          <w:rFonts w:ascii="Aptos"/>
          <w:i/>
          <w:iCs/>
          <w:lang w:val="en-GB"/>
        </w:rPr>
        <w:t>Clinical Infectious Diseases</w:t>
      </w:r>
      <w:r w:rsidRPr="009016FC">
        <w:rPr>
          <w:rFonts w:ascii="Aptos"/>
          <w:lang w:val="en-GB"/>
        </w:rPr>
        <w:t>, p. ciad488, Aug. 2023, doi: 10.1093/cid/ciad488.</w:t>
      </w:r>
    </w:p>
    <w:p w14:paraId="4E0BDF86" w14:textId="77777777" w:rsidR="009016FC" w:rsidRPr="009016FC" w:rsidRDefault="009016FC" w:rsidP="009016FC">
      <w:pPr>
        <w:pStyle w:val="Bibliography"/>
        <w:rPr>
          <w:rFonts w:ascii="Aptos"/>
          <w:lang w:val="en-GB"/>
        </w:rPr>
      </w:pPr>
      <w:r w:rsidRPr="009016FC">
        <w:rPr>
          <w:rFonts w:ascii="Aptos"/>
          <w:lang w:val="en-GB"/>
        </w:rPr>
        <w:t>[22]</w:t>
      </w:r>
      <w:r w:rsidRPr="009016FC">
        <w:rPr>
          <w:rFonts w:ascii="Aptos"/>
          <w:lang w:val="en-GB"/>
        </w:rPr>
        <w:tab/>
        <w:t xml:space="preserve">D. P. Wilson </w:t>
      </w:r>
      <w:r w:rsidRPr="009016FC">
        <w:rPr>
          <w:rFonts w:ascii="Aptos"/>
          <w:i/>
          <w:iCs/>
          <w:lang w:val="en-GB"/>
        </w:rPr>
        <w:t>et al.</w:t>
      </w:r>
      <w:r w:rsidRPr="009016FC">
        <w:rPr>
          <w:rFonts w:ascii="Aptos"/>
          <w:lang w:val="en-GB"/>
        </w:rPr>
        <w:t xml:space="preserve">, “Chemoprophylaxis is likely to be acceptable and could mitigate syphilis epidemics among populations of gay men,” </w:t>
      </w:r>
      <w:r w:rsidRPr="009016FC">
        <w:rPr>
          <w:rFonts w:ascii="Aptos"/>
          <w:i/>
          <w:iCs/>
          <w:lang w:val="en-GB"/>
        </w:rPr>
        <w:t>Sex Transm Dis</w:t>
      </w:r>
      <w:r w:rsidRPr="009016FC">
        <w:rPr>
          <w:rFonts w:ascii="Aptos"/>
          <w:lang w:val="en-GB"/>
        </w:rPr>
        <w:t>, vol. 38, no. 7, pp. 573–579, Jul. 2011, doi: 10.1097/OLQ.0b013e31820e64fd.</w:t>
      </w:r>
    </w:p>
    <w:p w14:paraId="388B03BA" w14:textId="77777777" w:rsidR="009016FC" w:rsidRPr="009016FC" w:rsidRDefault="009016FC" w:rsidP="009016FC">
      <w:pPr>
        <w:pStyle w:val="Bibliography"/>
        <w:rPr>
          <w:rFonts w:ascii="Aptos"/>
          <w:lang w:val="en-GB"/>
        </w:rPr>
      </w:pPr>
      <w:r w:rsidRPr="009016FC">
        <w:rPr>
          <w:rFonts w:ascii="Aptos"/>
          <w:lang w:val="en-GB"/>
        </w:rPr>
        <w:t>[23]</w:t>
      </w:r>
      <w:r w:rsidRPr="009016FC">
        <w:rPr>
          <w:rFonts w:ascii="Aptos"/>
          <w:lang w:val="en-GB"/>
        </w:rPr>
        <w:tab/>
        <w:t xml:space="preserve">J. Zeggagh </w:t>
      </w:r>
      <w:r w:rsidRPr="009016FC">
        <w:rPr>
          <w:rFonts w:ascii="Aptos"/>
          <w:i/>
          <w:iCs/>
          <w:lang w:val="en-GB"/>
        </w:rPr>
        <w:t>et al.</w:t>
      </w:r>
      <w:r w:rsidRPr="009016FC">
        <w:rPr>
          <w:rFonts w:ascii="Aptos"/>
          <w:lang w:val="en-GB"/>
        </w:rPr>
        <w:t xml:space="preserve">, “Incidence and risk factors for recurrent sexually transmitted infections among MSM on HIV pre-exposure prophylaxis,” </w:t>
      </w:r>
      <w:r w:rsidRPr="009016FC">
        <w:rPr>
          <w:rFonts w:ascii="Aptos"/>
          <w:i/>
          <w:iCs/>
          <w:lang w:val="en-GB"/>
        </w:rPr>
        <w:t>AIDS</w:t>
      </w:r>
      <w:r w:rsidRPr="009016FC">
        <w:rPr>
          <w:rFonts w:ascii="Aptos"/>
          <w:lang w:val="en-GB"/>
        </w:rPr>
        <w:t>, vol. 36, no. 8, pp. 1129–1134, Jul. 2022, doi: 10.1097/QAD.0000000000003187.</w:t>
      </w:r>
    </w:p>
    <w:p w14:paraId="481ACD90" w14:textId="77777777" w:rsidR="009016FC" w:rsidRPr="009016FC" w:rsidRDefault="009016FC" w:rsidP="009016FC">
      <w:pPr>
        <w:pStyle w:val="Bibliography"/>
        <w:rPr>
          <w:rFonts w:ascii="Aptos"/>
          <w:lang w:val="en-GB"/>
        </w:rPr>
      </w:pPr>
      <w:r w:rsidRPr="009016FC">
        <w:rPr>
          <w:rFonts w:ascii="Aptos"/>
          <w:lang w:val="en-GB"/>
        </w:rPr>
        <w:t>[24]</w:t>
      </w:r>
      <w:r w:rsidRPr="009016FC">
        <w:rPr>
          <w:rFonts w:ascii="Aptos"/>
          <w:lang w:val="en-GB"/>
        </w:rPr>
        <w:tab/>
        <w:t xml:space="preserve">J. Zhu </w:t>
      </w:r>
      <w:r w:rsidRPr="009016FC">
        <w:rPr>
          <w:rFonts w:ascii="Aptos"/>
          <w:i/>
          <w:iCs/>
          <w:lang w:val="en-GB"/>
        </w:rPr>
        <w:t>et al.</w:t>
      </w:r>
      <w:r w:rsidRPr="009016FC">
        <w:rPr>
          <w:rFonts w:ascii="Aptos"/>
          <w:lang w:val="en-GB"/>
        </w:rPr>
        <w:t xml:space="preserve">, “Impact of screening and doxycycline prevention on the syphilis epidemic among men who have sex with men in British Columbia: a mathematical modelling study,” </w:t>
      </w:r>
      <w:r w:rsidRPr="009016FC">
        <w:rPr>
          <w:rFonts w:ascii="Aptos"/>
          <w:i/>
          <w:iCs/>
          <w:lang w:val="en-GB"/>
        </w:rPr>
        <w:t>The Lancet Regional Health - Americas</w:t>
      </w:r>
      <w:r w:rsidRPr="009016FC">
        <w:rPr>
          <w:rFonts w:ascii="Aptos"/>
          <w:lang w:val="en-GB"/>
        </w:rPr>
        <w:t>, vol. 33, p. 100725, May 2024, doi: 10.1016/j.lana.2024.100725.</w:t>
      </w:r>
    </w:p>
    <w:p w14:paraId="474CE2BB" w14:textId="77777777" w:rsidR="009016FC" w:rsidRPr="009016FC" w:rsidRDefault="009016FC" w:rsidP="009016FC">
      <w:pPr>
        <w:pStyle w:val="Bibliography"/>
        <w:rPr>
          <w:rFonts w:ascii="Aptos"/>
          <w:lang w:val="en-GB"/>
        </w:rPr>
      </w:pPr>
      <w:r w:rsidRPr="009016FC">
        <w:rPr>
          <w:rFonts w:ascii="Aptos"/>
          <w:lang w:val="en-GB"/>
        </w:rPr>
        <w:t>[25]</w:t>
      </w:r>
      <w:r w:rsidRPr="009016FC">
        <w:rPr>
          <w:rFonts w:ascii="Aptos"/>
          <w:lang w:val="en-GB"/>
        </w:rPr>
        <w:tab/>
        <w:t xml:space="preserve">L. Geng </w:t>
      </w:r>
      <w:r w:rsidRPr="009016FC">
        <w:rPr>
          <w:rFonts w:ascii="Aptos"/>
          <w:i/>
          <w:iCs/>
          <w:lang w:val="en-GB"/>
        </w:rPr>
        <w:t>et al.</w:t>
      </w:r>
      <w:r w:rsidRPr="009016FC">
        <w:rPr>
          <w:rFonts w:ascii="Aptos"/>
          <w:lang w:val="en-GB"/>
        </w:rPr>
        <w:t xml:space="preserve">, “Potential public health impacts of gonorrhea vaccination programmes under declining incidences: A modeling study,” </w:t>
      </w:r>
      <w:r w:rsidRPr="009016FC">
        <w:rPr>
          <w:rFonts w:ascii="Aptos"/>
          <w:i/>
          <w:iCs/>
          <w:lang w:val="en-GB"/>
        </w:rPr>
        <w:t>PLoS Med</w:t>
      </w:r>
      <w:r w:rsidRPr="009016FC">
        <w:rPr>
          <w:rFonts w:ascii="Aptos"/>
          <w:lang w:val="en-GB"/>
        </w:rPr>
        <w:t>, vol. 22, no. 2, p. e1004521, Feb. 2025, doi: 10.1371/journal.pmed.1004521.</w:t>
      </w:r>
    </w:p>
    <w:p w14:paraId="6BA2FC78" w14:textId="77777777" w:rsidR="009016FC" w:rsidRPr="009016FC" w:rsidRDefault="009016FC" w:rsidP="009016FC">
      <w:pPr>
        <w:pStyle w:val="Bibliography"/>
        <w:rPr>
          <w:rFonts w:ascii="Aptos"/>
          <w:lang w:val="en-GB"/>
        </w:rPr>
      </w:pPr>
      <w:r w:rsidRPr="009016FC">
        <w:rPr>
          <w:rFonts w:ascii="Aptos"/>
          <w:lang w:val="en-GB"/>
        </w:rPr>
        <w:t>[26]</w:t>
      </w:r>
      <w:r w:rsidRPr="009016FC">
        <w:rPr>
          <w:rFonts w:ascii="Aptos"/>
          <w:lang w:val="en-GB"/>
        </w:rPr>
        <w:tab/>
        <w:t xml:space="preserve">S. E. D. Quaye </w:t>
      </w:r>
      <w:r w:rsidRPr="009016FC">
        <w:rPr>
          <w:rFonts w:ascii="Aptos"/>
          <w:i/>
          <w:iCs/>
          <w:lang w:val="en-GB"/>
        </w:rPr>
        <w:t>et al.</w:t>
      </w:r>
      <w:r w:rsidRPr="009016FC">
        <w:rPr>
          <w:rFonts w:ascii="Aptos"/>
          <w:lang w:val="en-GB"/>
        </w:rPr>
        <w:t xml:space="preserve">, “Application of the network scale-up method to estimate the sizes of key populations for HIV in Singapore using online surveys,” </w:t>
      </w:r>
      <w:r w:rsidRPr="009016FC">
        <w:rPr>
          <w:rFonts w:ascii="Aptos"/>
          <w:i/>
          <w:iCs/>
          <w:lang w:val="en-GB"/>
        </w:rPr>
        <w:t>J Int AIDS Soc</w:t>
      </w:r>
      <w:r w:rsidRPr="009016FC">
        <w:rPr>
          <w:rFonts w:ascii="Aptos"/>
          <w:lang w:val="en-GB"/>
        </w:rPr>
        <w:t>, vol. 26, no. 3, p. e25973, Mar. 2023, doi: 10.1002/jia2.25973.</w:t>
      </w:r>
    </w:p>
    <w:p w14:paraId="66BC6DF2" w14:textId="77777777" w:rsidR="009016FC" w:rsidRPr="009016FC" w:rsidRDefault="009016FC" w:rsidP="009016FC">
      <w:pPr>
        <w:pStyle w:val="Bibliography"/>
        <w:rPr>
          <w:rFonts w:ascii="Aptos"/>
          <w:lang w:val="en-GB"/>
        </w:rPr>
      </w:pPr>
      <w:r w:rsidRPr="009016FC">
        <w:rPr>
          <w:rFonts w:ascii="Aptos"/>
          <w:lang w:val="en-GB"/>
        </w:rPr>
        <w:t>[27]</w:t>
      </w:r>
      <w:r w:rsidRPr="009016FC">
        <w:rPr>
          <w:rFonts w:ascii="Aptos"/>
          <w:lang w:val="en-GB"/>
        </w:rPr>
        <w:tab/>
        <w:t xml:space="preserve">L. K. Whittles, X. Didelot, and P. J. White, “Public health impact and cost-effectiveness of gonorrhoea vaccination: an integrated transmission-dynamic health-economic modelling analysis,” </w:t>
      </w:r>
      <w:r w:rsidRPr="009016FC">
        <w:rPr>
          <w:rFonts w:ascii="Aptos"/>
          <w:i/>
          <w:iCs/>
          <w:lang w:val="en-GB"/>
        </w:rPr>
        <w:t>The Lancet Infectious Diseases</w:t>
      </w:r>
      <w:r w:rsidRPr="009016FC">
        <w:rPr>
          <w:rFonts w:ascii="Aptos"/>
          <w:lang w:val="en-GB"/>
        </w:rPr>
        <w:t>, vol. 22, no. 7, pp. 1030–1041, Jul. 2022, doi: 10.1016/S1473-3099(21)00744-1.</w:t>
      </w:r>
    </w:p>
    <w:p w14:paraId="65D2BB66" w14:textId="77777777" w:rsidR="009016FC" w:rsidRPr="009016FC" w:rsidRDefault="009016FC" w:rsidP="009016FC">
      <w:pPr>
        <w:pStyle w:val="Bibliography"/>
        <w:rPr>
          <w:rFonts w:ascii="Aptos"/>
          <w:lang w:val="en-GB"/>
        </w:rPr>
      </w:pPr>
      <w:r w:rsidRPr="009016FC">
        <w:rPr>
          <w:rFonts w:ascii="Aptos"/>
          <w:lang w:val="en-GB"/>
        </w:rPr>
        <w:t>[28]</w:t>
      </w:r>
      <w:r w:rsidRPr="009016FC">
        <w:rPr>
          <w:rFonts w:ascii="Aptos"/>
          <w:lang w:val="en-GB"/>
        </w:rPr>
        <w:tab/>
        <w:t xml:space="preserve">J. Zhang </w:t>
      </w:r>
      <w:r w:rsidRPr="009016FC">
        <w:rPr>
          <w:rFonts w:ascii="Aptos"/>
          <w:i/>
          <w:iCs/>
          <w:lang w:val="en-GB"/>
        </w:rPr>
        <w:t>et al.</w:t>
      </w:r>
      <w:r w:rsidRPr="009016FC">
        <w:rPr>
          <w:rFonts w:ascii="Aptos"/>
          <w:lang w:val="en-GB"/>
        </w:rPr>
        <w:t xml:space="preserve">, “Discontinuation, suboptimal adherence, and reinitiation of oral HIV pre-exposure prophylaxis: a global systematic review and meta-analysis,” </w:t>
      </w:r>
      <w:r w:rsidRPr="009016FC">
        <w:rPr>
          <w:rFonts w:ascii="Aptos"/>
          <w:i/>
          <w:iCs/>
          <w:lang w:val="en-GB"/>
        </w:rPr>
        <w:t>The Lancet HIV</w:t>
      </w:r>
      <w:r w:rsidRPr="009016FC">
        <w:rPr>
          <w:rFonts w:ascii="Aptos"/>
          <w:lang w:val="en-GB"/>
        </w:rPr>
        <w:t>, vol. 9, no. 4, pp. e254–e268, Apr. 2022, doi: 10.1016/S2352-3018(22)00030-3.</w:t>
      </w:r>
    </w:p>
    <w:p w14:paraId="606C13C4" w14:textId="77777777" w:rsidR="009016FC" w:rsidRPr="009016FC" w:rsidRDefault="009016FC" w:rsidP="009016FC">
      <w:pPr>
        <w:pStyle w:val="Bibliography"/>
        <w:rPr>
          <w:rFonts w:ascii="Aptos"/>
          <w:lang w:val="en-GB"/>
        </w:rPr>
      </w:pPr>
      <w:r w:rsidRPr="009016FC">
        <w:rPr>
          <w:rFonts w:ascii="Aptos"/>
          <w:lang w:val="en-GB"/>
        </w:rPr>
        <w:t>[29]</w:t>
      </w:r>
      <w:r w:rsidRPr="009016FC">
        <w:rPr>
          <w:rFonts w:ascii="Aptos"/>
          <w:lang w:val="en-GB"/>
        </w:rPr>
        <w:tab/>
        <w:t>“Taking doxycycline with other medicines and herbal supplements,” National Health Service. Accessed: Feb. 10, 2025. [Online]. Available: https://www.nhs.uk/medicines/doxycycline/taking-doxycycline-with-other-medicines-and-herbal-supplements/</w:t>
      </w:r>
    </w:p>
    <w:p w14:paraId="2D3F2CA2" w14:textId="77777777" w:rsidR="009016FC" w:rsidRPr="009016FC" w:rsidRDefault="009016FC" w:rsidP="009016FC">
      <w:pPr>
        <w:pStyle w:val="Bibliography"/>
        <w:rPr>
          <w:rFonts w:ascii="Aptos"/>
          <w:lang w:val="en-GB"/>
        </w:rPr>
      </w:pPr>
      <w:r w:rsidRPr="009016FC">
        <w:rPr>
          <w:rFonts w:ascii="Aptos"/>
          <w:lang w:val="en-GB"/>
        </w:rPr>
        <w:t>[30]</w:t>
      </w:r>
      <w:r w:rsidRPr="009016FC">
        <w:rPr>
          <w:rFonts w:ascii="Aptos"/>
          <w:lang w:val="en-GB"/>
        </w:rPr>
        <w:tab/>
        <w:t>“Who can and cannot take doxycycline,” National Health Service. Accessed: Feb. 10, 2025. [Online]. Available: https://www.nhs.uk/medicines/doxycycline/who-can-and-cannot-take-doxycycline/</w:t>
      </w:r>
    </w:p>
    <w:p w14:paraId="6BA001F0" w14:textId="77777777" w:rsidR="009016FC" w:rsidRPr="009016FC" w:rsidRDefault="009016FC" w:rsidP="009016FC">
      <w:pPr>
        <w:pStyle w:val="Bibliography"/>
        <w:rPr>
          <w:rFonts w:ascii="Aptos"/>
          <w:lang w:val="en-GB"/>
        </w:rPr>
      </w:pPr>
      <w:r w:rsidRPr="009016FC">
        <w:rPr>
          <w:rFonts w:ascii="Aptos"/>
          <w:lang w:val="en-GB"/>
        </w:rPr>
        <w:t>[31]</w:t>
      </w:r>
      <w:r w:rsidRPr="009016FC">
        <w:rPr>
          <w:rFonts w:ascii="Aptos"/>
          <w:lang w:val="en-GB"/>
        </w:rPr>
        <w:tab/>
        <w:t xml:space="preserve">M. H. Junejo, J. L. Marcus, and K. A. Katz, “Doxycycline Postexposure Prophylaxis (DoxyPEP) for Bacterial STI Prevention,” </w:t>
      </w:r>
      <w:r w:rsidRPr="009016FC">
        <w:rPr>
          <w:rFonts w:ascii="Aptos"/>
          <w:i/>
          <w:iCs/>
          <w:lang w:val="en-GB"/>
        </w:rPr>
        <w:t>JAMA Dermatology</w:t>
      </w:r>
      <w:r w:rsidRPr="009016FC">
        <w:rPr>
          <w:rFonts w:ascii="Aptos"/>
          <w:lang w:val="en-GB"/>
        </w:rPr>
        <w:t>, vol. 161, no. 1, pp. 7–8, Jan. 2025, doi: 10.1001/jamadermatol.2024.4567.</w:t>
      </w:r>
    </w:p>
    <w:p w14:paraId="74775224" w14:textId="77777777" w:rsidR="009016FC" w:rsidRPr="009016FC" w:rsidRDefault="009016FC" w:rsidP="009016FC">
      <w:pPr>
        <w:pStyle w:val="Bibliography"/>
        <w:rPr>
          <w:rFonts w:ascii="Aptos"/>
          <w:lang w:val="en-GB"/>
        </w:rPr>
      </w:pPr>
      <w:r w:rsidRPr="009016FC">
        <w:rPr>
          <w:rFonts w:ascii="Aptos"/>
          <w:lang w:val="en-GB"/>
        </w:rPr>
        <w:t>[32]</w:t>
      </w:r>
      <w:r w:rsidRPr="009016FC">
        <w:rPr>
          <w:rFonts w:ascii="Aptos"/>
          <w:lang w:val="en-GB"/>
        </w:rPr>
        <w:tab/>
        <w:t>“About doxycycline,” National Health Service. Accessed: Feb. 20, 2025. [Online]. Available: https://www.nhs.uk/medicines/doxycycline/about-doxycycline/</w:t>
      </w:r>
    </w:p>
    <w:p w14:paraId="209715F5" w14:textId="77777777" w:rsidR="009016FC" w:rsidRPr="009016FC" w:rsidRDefault="009016FC" w:rsidP="009016FC">
      <w:pPr>
        <w:pStyle w:val="Bibliography"/>
        <w:rPr>
          <w:rFonts w:ascii="Aptos"/>
          <w:lang w:val="en-GB"/>
        </w:rPr>
      </w:pPr>
      <w:r w:rsidRPr="009016FC">
        <w:rPr>
          <w:rFonts w:ascii="Aptos"/>
          <w:lang w:val="en-GB"/>
        </w:rPr>
        <w:t>[33]</w:t>
      </w:r>
      <w:r w:rsidRPr="009016FC">
        <w:rPr>
          <w:rFonts w:ascii="Aptos"/>
          <w:lang w:val="en-GB"/>
        </w:rPr>
        <w:tab/>
        <w:t>“STI Screening Recommendations,” Centers for Disease Control and Prevention. Accessed: Jun. 08, 2025. [Online]. Available: https://www.cdc.gov/std/treatment-guidelines/screening-recommendations.htm</w:t>
      </w:r>
    </w:p>
    <w:p w14:paraId="0E5590FF" w14:textId="5F321A9D" w:rsidR="00770CE9" w:rsidRPr="002314F5" w:rsidRDefault="00756851" w:rsidP="009016FC">
      <w:pPr>
        <w:pStyle w:val="Bibliography"/>
        <w:rPr>
          <w:rFonts w:ascii="Times New Roman" w:hAnsi="Times New Roman" w:cs="Times New Roman"/>
          <w:sz w:val="20"/>
          <w:szCs w:val="20"/>
        </w:rPr>
      </w:pPr>
      <w:r w:rsidRPr="00B934F2">
        <w:rPr>
          <w:rFonts w:ascii="Times New Roman" w:hAnsi="Times New Roman" w:cs="Times New Roman"/>
          <w:sz w:val="20"/>
          <w:szCs w:val="20"/>
        </w:rPr>
        <w:fldChar w:fldCharType="end"/>
      </w:r>
    </w:p>
    <w:sectPr w:rsidR="00770CE9" w:rsidRPr="002314F5" w:rsidSect="00155CF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ue Tao Lim (Asst Prof)" w:date="2025-06-28T09:01:00Z" w:initials="JL">
    <w:p w14:paraId="43A0DCFD" w14:textId="77777777" w:rsidR="00691CD0" w:rsidRDefault="00691CD0" w:rsidP="00691CD0">
      <w:r>
        <w:rPr>
          <w:rStyle w:val="CommentReference"/>
        </w:rPr>
        <w:annotationRef/>
      </w:r>
      <w:r>
        <w:rPr>
          <w:sz w:val="20"/>
          <w:szCs w:val="20"/>
        </w:rPr>
        <w:t xml:space="preserve">Middle suggest </w:t>
      </w:r>
    </w:p>
    <w:p w14:paraId="0D4AA783" w14:textId="77777777" w:rsidR="00691CD0" w:rsidRDefault="00691CD0" w:rsidP="00691CD0"/>
    <w:p w14:paraId="0408F8A7" w14:textId="77777777" w:rsidR="00691CD0" w:rsidRDefault="00691CD0" w:rsidP="00691CD0">
      <w:r>
        <w:rPr>
          <w:sz w:val="20"/>
          <w:szCs w:val="20"/>
        </w:rPr>
        <w:t>azra ghani</w:t>
      </w:r>
    </w:p>
    <w:p w14:paraId="6737CAA6" w14:textId="77777777" w:rsidR="00691CD0" w:rsidRDefault="00691CD0" w:rsidP="00691CD0">
      <w:r>
        <w:rPr>
          <w:sz w:val="20"/>
          <w:szCs w:val="20"/>
        </w:rPr>
        <w:t>lillith whittles</w:t>
      </w:r>
    </w:p>
    <w:p w14:paraId="6266340B" w14:textId="77777777" w:rsidR="00691CD0" w:rsidRDefault="00691CD0" w:rsidP="00691CD0">
      <w:r>
        <w:rPr>
          <w:sz w:val="20"/>
          <w:szCs w:val="20"/>
        </w:rPr>
        <w:t>dariya nikitin</w:t>
      </w:r>
    </w:p>
    <w:p w14:paraId="05E77FDD" w14:textId="77777777" w:rsidR="00691CD0" w:rsidRDefault="00691CD0" w:rsidP="00691CD0">
      <w:r>
        <w:rPr>
          <w:sz w:val="20"/>
          <w:szCs w:val="20"/>
        </w:rPr>
        <w:t>borame dickens</w:t>
      </w:r>
    </w:p>
    <w:p w14:paraId="1D20EA0C" w14:textId="77777777" w:rsidR="00691CD0" w:rsidRDefault="00691CD0" w:rsidP="00691CD0">
      <w:r>
        <w:rPr>
          <w:sz w:val="20"/>
          <w:szCs w:val="20"/>
        </w:rPr>
        <w:t>martin chio</w:t>
      </w:r>
    </w:p>
    <w:p w14:paraId="7068F6C1" w14:textId="77777777" w:rsidR="00691CD0" w:rsidRDefault="00691CD0" w:rsidP="00691CD0">
      <w:r>
        <w:rPr>
          <w:sz w:val="20"/>
          <w:szCs w:val="20"/>
        </w:rPr>
        <w:t>rayner kay jin tan</w:t>
      </w:r>
    </w:p>
  </w:comment>
  <w:comment w:id="1" w:author="Jue Tao Lim (Asst Prof)" w:date="2025-06-29T09:39:00Z" w:initials="JL">
    <w:p w14:paraId="5C983130" w14:textId="77777777" w:rsidR="00137A7A" w:rsidRDefault="00137A7A" w:rsidP="00137A7A">
      <w:r>
        <w:rPr>
          <w:rStyle w:val="CommentReference"/>
        </w:rPr>
        <w:annotationRef/>
      </w:r>
      <w:hyperlink r:id="rId1" w:history="1">
        <w:r w:rsidRPr="00553BDE">
          <w:rPr>
            <w:rStyle w:val="Hyperlink"/>
            <w:sz w:val="20"/>
            <w:szCs w:val="20"/>
          </w:rPr>
          <w:t>https://www.who.int/teams/global-hiv-hepatitis-and-stis-programmes/stis/strategic-information</w:t>
        </w:r>
      </w:hyperlink>
    </w:p>
  </w:comment>
  <w:comment w:id="2" w:author="Jue Tao Lim (Asst Prof)" w:date="2025-06-29T09:46:00Z" w:initials="JL">
    <w:p w14:paraId="59FDF202" w14:textId="77777777" w:rsidR="00BA001A" w:rsidRDefault="00BA001A" w:rsidP="00BA001A">
      <w:r>
        <w:rPr>
          <w:rStyle w:val="CommentReference"/>
        </w:rPr>
        <w:annotationRef/>
      </w:r>
      <w:r>
        <w:rPr>
          <w:sz w:val="20"/>
          <w:szCs w:val="20"/>
        </w:rPr>
        <w:t xml:space="preserve">Usually  no linking to SI in intro, maybe put to methods on prescription </w:t>
      </w:r>
    </w:p>
  </w:comment>
  <w:comment w:id="3" w:author="Jue Tao Lim (Asst Prof)" w:date="2025-06-29T10:31:00Z" w:initials="JL">
    <w:p w14:paraId="6DA2B913" w14:textId="77777777" w:rsidR="00FF48E2" w:rsidRDefault="00FF48E2" w:rsidP="00FF48E2">
      <w:r>
        <w:rPr>
          <w:rStyle w:val="CommentReference"/>
        </w:rPr>
        <w:annotationRef/>
      </w:r>
      <w:r>
        <w:rPr>
          <w:sz w:val="20"/>
          <w:szCs w:val="20"/>
        </w:rPr>
        <w:t>key limitation. downplayed</w:t>
      </w:r>
    </w:p>
  </w:comment>
  <w:comment w:id="5" w:author="Jue Tao Lim (Asst Prof)" w:date="2025-06-29T10:36:00Z" w:initials="JL">
    <w:p w14:paraId="5DEA0463" w14:textId="77777777" w:rsidR="00726F48" w:rsidRDefault="00726F48" w:rsidP="00726F48">
      <w:r>
        <w:rPr>
          <w:rStyle w:val="CommentReference"/>
        </w:rPr>
        <w:annotationRef/>
      </w:r>
      <w:r>
        <w:rPr>
          <w:sz w:val="20"/>
          <w:szCs w:val="20"/>
        </w:rPr>
        <w:t>Need additional details – how we compute efficiency, raw population health impact, do sensitivity analysis</w:t>
      </w:r>
    </w:p>
  </w:comment>
  <w:comment w:id="4" w:author="Jue Tao Lim (Asst Prof)" w:date="2025-06-29T10:10:00Z" w:initials="JL">
    <w:p w14:paraId="27CF2CD1" w14:textId="44D7524F" w:rsidR="0077470F" w:rsidRDefault="0077470F" w:rsidP="0077470F">
      <w:r>
        <w:rPr>
          <w:rStyle w:val="CommentReference"/>
        </w:rPr>
        <w:annotationRef/>
      </w:r>
      <w:r>
        <w:rPr>
          <w:sz w:val="20"/>
          <w:szCs w:val="20"/>
        </w:rPr>
        <w:t>Repeated from intro, see how to integrate both portions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068F6C1" w15:done="1"/>
  <w15:commentEx w15:paraId="5C983130" w15:done="1"/>
  <w15:commentEx w15:paraId="59FDF202" w15:done="1"/>
  <w15:commentEx w15:paraId="6DA2B913" w15:done="1"/>
  <w15:commentEx w15:paraId="5DEA0463" w15:done="1"/>
  <w15:commentEx w15:paraId="27CF2CD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E6E28BC" w16cex:dateUtc="2025-06-28T01:01:00Z"/>
  <w16cex:commentExtensible w16cex:durableId="5AF0D5FC" w16cex:dateUtc="2025-06-29T01:39:00Z"/>
  <w16cex:commentExtensible w16cex:durableId="13058D26" w16cex:dateUtc="2025-06-29T01:46:00Z"/>
  <w16cex:commentExtensible w16cex:durableId="506A793A" w16cex:dateUtc="2025-06-29T02:31:00Z"/>
  <w16cex:commentExtensible w16cex:durableId="4D05C66C" w16cex:dateUtc="2025-06-29T02:36:00Z"/>
  <w16cex:commentExtensible w16cex:durableId="470D854C" w16cex:dateUtc="2025-06-29T0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068F6C1" w16cid:durableId="4E6E28BC"/>
  <w16cid:commentId w16cid:paraId="5C983130" w16cid:durableId="5AF0D5FC"/>
  <w16cid:commentId w16cid:paraId="59FDF202" w16cid:durableId="13058D26"/>
  <w16cid:commentId w16cid:paraId="6DA2B913" w16cid:durableId="506A793A"/>
  <w16cid:commentId w16cid:paraId="5DEA0463" w16cid:durableId="4D05C66C"/>
  <w16cid:commentId w16cid:paraId="27CF2CD1" w16cid:durableId="470D85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CC9A66" w14:textId="77777777" w:rsidR="009A5E5C" w:rsidRDefault="009A5E5C" w:rsidP="00FC200C">
      <w:pPr>
        <w:spacing w:after="0" w:line="240" w:lineRule="auto"/>
      </w:pPr>
      <w:r>
        <w:separator/>
      </w:r>
    </w:p>
  </w:endnote>
  <w:endnote w:type="continuationSeparator" w:id="0">
    <w:p w14:paraId="198083C7" w14:textId="77777777" w:rsidR="009A5E5C" w:rsidRDefault="009A5E5C" w:rsidP="00FC2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8245E9" w14:textId="77777777" w:rsidR="009A5E5C" w:rsidRDefault="009A5E5C" w:rsidP="00FC200C">
      <w:pPr>
        <w:spacing w:after="0" w:line="240" w:lineRule="auto"/>
      </w:pPr>
      <w:r>
        <w:separator/>
      </w:r>
    </w:p>
  </w:footnote>
  <w:footnote w:type="continuationSeparator" w:id="0">
    <w:p w14:paraId="036F4E64" w14:textId="77777777" w:rsidR="009A5E5C" w:rsidRDefault="009A5E5C" w:rsidP="00FC200C">
      <w:pPr>
        <w:spacing w:after="0" w:line="240" w:lineRule="auto"/>
      </w:pPr>
      <w:r>
        <w:continuationSeparator/>
      </w:r>
    </w:p>
  </w:footnote>
  <w:footnote w:id="1">
    <w:p w14:paraId="1750959E" w14:textId="0624000D" w:rsidR="004058B4" w:rsidRPr="00B20A02" w:rsidRDefault="004058B4" w:rsidP="004058B4">
      <w:pPr>
        <w:pStyle w:val="FootnoteText"/>
        <w:rPr>
          <w:rFonts w:ascii="Times New Roman" w:hAnsi="Times New Roman" w:cs="Times New Roman"/>
          <w:sz w:val="16"/>
          <w:szCs w:val="16"/>
          <w:lang w:val="en-US"/>
        </w:rPr>
      </w:pPr>
      <w:r w:rsidRPr="00B20A02">
        <w:rPr>
          <w:rStyle w:val="FootnoteReference"/>
          <w:rFonts w:ascii="Times New Roman" w:hAnsi="Times New Roman" w:cs="Times New Roman"/>
          <w:sz w:val="16"/>
          <w:szCs w:val="16"/>
        </w:rPr>
        <w:footnoteRef/>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Lee Kong Chian School of Medicine, Nanyang Technological University, Singapore, Singapore</w:t>
      </w:r>
    </w:p>
  </w:footnote>
  <w:footnote w:id="2">
    <w:p w14:paraId="27A05B77" w14:textId="7F665CDE" w:rsidR="004058B4" w:rsidRPr="00B20A02" w:rsidRDefault="004058B4" w:rsidP="004058B4">
      <w:pPr>
        <w:pStyle w:val="FootnoteText"/>
        <w:rPr>
          <w:rFonts w:ascii="Times New Roman" w:hAnsi="Times New Roman" w:cs="Times New Roman"/>
          <w:sz w:val="16"/>
          <w:szCs w:val="16"/>
          <w:lang w:val="en-US"/>
        </w:rPr>
      </w:pPr>
      <w:r w:rsidRPr="00B20A02">
        <w:rPr>
          <w:rStyle w:val="FootnoteReference"/>
          <w:rFonts w:ascii="Times New Roman" w:hAnsi="Times New Roman" w:cs="Times New Roman"/>
          <w:sz w:val="16"/>
          <w:szCs w:val="16"/>
        </w:rPr>
        <w:footnoteRef/>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Department of Infectious Disease Epidemiology, Imperial College London, London, United Kingdom</w:t>
      </w:r>
    </w:p>
  </w:footnote>
  <w:footnote w:id="3">
    <w:p w14:paraId="7BDEAFD1" w14:textId="0E637D48" w:rsidR="004058B4" w:rsidRPr="00B20A02" w:rsidRDefault="004058B4" w:rsidP="004058B4">
      <w:pPr>
        <w:pStyle w:val="FootnoteText"/>
        <w:rPr>
          <w:rFonts w:ascii="Times New Roman" w:hAnsi="Times New Roman" w:cs="Times New Roman"/>
          <w:sz w:val="16"/>
          <w:szCs w:val="16"/>
          <w:lang w:val="en-US"/>
        </w:rPr>
      </w:pPr>
      <w:r w:rsidRPr="00B20A02">
        <w:rPr>
          <w:rStyle w:val="FootnoteReference"/>
          <w:rFonts w:ascii="Times New Roman" w:hAnsi="Times New Roman" w:cs="Times New Roman"/>
          <w:sz w:val="16"/>
          <w:szCs w:val="16"/>
        </w:rPr>
        <w:footnoteRef/>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Saw Swee Hock School of Public Health, National University of Singapore, Singapore, Singapore</w:t>
      </w:r>
    </w:p>
  </w:footnote>
  <w:footnote w:id="4">
    <w:p w14:paraId="5A5C1C7F" w14:textId="619ECF4F" w:rsidR="004058B4" w:rsidRPr="00B20A02" w:rsidRDefault="004058B4" w:rsidP="004058B4">
      <w:pPr>
        <w:pStyle w:val="FootnoteText"/>
        <w:rPr>
          <w:rFonts w:ascii="Times New Roman" w:hAnsi="Times New Roman" w:cs="Times New Roman"/>
          <w:sz w:val="16"/>
          <w:szCs w:val="16"/>
          <w:lang w:val="en-US"/>
        </w:rPr>
      </w:pPr>
      <w:r w:rsidRPr="00B20A02">
        <w:rPr>
          <w:rStyle w:val="FootnoteReference"/>
          <w:rFonts w:ascii="Times New Roman" w:hAnsi="Times New Roman" w:cs="Times New Roman"/>
          <w:sz w:val="16"/>
          <w:szCs w:val="16"/>
        </w:rPr>
        <w:footnoteRef/>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National Skin Centre, Singapore, Singapore</w:t>
      </w:r>
    </w:p>
  </w:footnote>
  <w:footnote w:id="5">
    <w:p w14:paraId="06A67148" w14:textId="1F3BDF74" w:rsidR="004058B4" w:rsidRPr="004058B4" w:rsidRDefault="004058B4" w:rsidP="004058B4">
      <w:pPr>
        <w:pStyle w:val="FootnoteText"/>
        <w:rPr>
          <w:lang w:val="en-US"/>
        </w:rPr>
      </w:pPr>
      <w:r w:rsidRPr="00B20A02">
        <w:rPr>
          <w:rStyle w:val="FootnoteReference"/>
          <w:rFonts w:ascii="Times New Roman" w:hAnsi="Times New Roman" w:cs="Times New Roman"/>
          <w:sz w:val="16"/>
          <w:szCs w:val="16"/>
        </w:rPr>
        <w:sym w:font="Symbol" w:char="F02A"/>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 xml:space="preserve">Corresponding author. E-mail: </w:t>
      </w:r>
      <w:hyperlink r:id="rId1" w:history="1">
        <w:r w:rsidRPr="00B20A02">
          <w:rPr>
            <w:rStyle w:val="Hyperlink"/>
            <w:rFonts w:ascii="Times New Roman" w:hAnsi="Times New Roman" w:cs="Times New Roman"/>
            <w:sz w:val="16"/>
            <w:szCs w:val="16"/>
            <w:lang w:val="en-US"/>
          </w:rPr>
          <w:t>juetao.lim@ntu.edu.sg</w:t>
        </w:r>
      </w:hyperlink>
      <w:r w:rsidRPr="00B20A02">
        <w:rPr>
          <w:rFonts w:ascii="Times New Roman" w:hAnsi="Times New Roman" w:cs="Times New Roman"/>
          <w:sz w:val="16"/>
          <w:szCs w:val="16"/>
          <w:lang w:val="en-US"/>
        </w:rPr>
        <w:t xml:space="preserve">. Source code is available in </w:t>
      </w:r>
      <w:hyperlink r:id="rId2" w:history="1">
        <w:r w:rsidRPr="00B20A02">
          <w:rPr>
            <w:rStyle w:val="Hyperlink"/>
            <w:rFonts w:ascii="Times New Roman" w:hAnsi="Times New Roman" w:cs="Times New Roman"/>
            <w:sz w:val="16"/>
            <w:szCs w:val="16"/>
            <w:lang w:val="en-US"/>
          </w:rPr>
          <w:t>https://github.com/killingbear999/doxypep_syphilis</w:t>
        </w:r>
      </w:hyperlink>
      <w:r w:rsidRPr="00B20A02">
        <w:rPr>
          <w:rFonts w:ascii="Times New Roman" w:hAnsi="Times New Roman" w:cs="Times New Roman"/>
          <w:sz w:val="16"/>
          <w:szCs w:val="16"/>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E1E88"/>
    <w:multiLevelType w:val="hybridMultilevel"/>
    <w:tmpl w:val="BEB0DBBC"/>
    <w:lvl w:ilvl="0" w:tplc="1916BCF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0A56DFA"/>
    <w:multiLevelType w:val="multilevel"/>
    <w:tmpl w:val="A78A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75A03"/>
    <w:multiLevelType w:val="multilevel"/>
    <w:tmpl w:val="152C9A8E"/>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6E2CFB"/>
    <w:multiLevelType w:val="hybridMultilevel"/>
    <w:tmpl w:val="4288D268"/>
    <w:lvl w:ilvl="0" w:tplc="139A37DC">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464523"/>
    <w:multiLevelType w:val="multilevel"/>
    <w:tmpl w:val="1486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83C96"/>
    <w:multiLevelType w:val="multilevel"/>
    <w:tmpl w:val="35E88D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CC913F7"/>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AF690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5E02B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C90A2C"/>
    <w:multiLevelType w:val="hybridMultilevel"/>
    <w:tmpl w:val="7302A3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F5BF0"/>
    <w:multiLevelType w:val="hybridMultilevel"/>
    <w:tmpl w:val="64DA99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480C19"/>
    <w:multiLevelType w:val="hybridMultilevel"/>
    <w:tmpl w:val="F6B0493A"/>
    <w:lvl w:ilvl="0" w:tplc="1F5A1EB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FB2D1B"/>
    <w:multiLevelType w:val="multilevel"/>
    <w:tmpl w:val="5B2AE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F04BDF"/>
    <w:multiLevelType w:val="multilevel"/>
    <w:tmpl w:val="6A7A3C00"/>
    <w:styleLink w:val="CurrentList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68402E"/>
    <w:multiLevelType w:val="hybridMultilevel"/>
    <w:tmpl w:val="5FC0AD84"/>
    <w:lvl w:ilvl="0" w:tplc="A914E1A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EB5A9F"/>
    <w:multiLevelType w:val="hybridMultilevel"/>
    <w:tmpl w:val="03588C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49451C"/>
    <w:multiLevelType w:val="hybridMultilevel"/>
    <w:tmpl w:val="D960B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7F53AE"/>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D569FE"/>
    <w:multiLevelType w:val="hybridMultilevel"/>
    <w:tmpl w:val="FF609B62"/>
    <w:lvl w:ilvl="0" w:tplc="8BDAC804">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797B03"/>
    <w:multiLevelType w:val="hybridMultilevel"/>
    <w:tmpl w:val="DFE03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0F79DE"/>
    <w:multiLevelType w:val="hybridMultilevel"/>
    <w:tmpl w:val="6DC6DC5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2A33CE"/>
    <w:multiLevelType w:val="hybridMultilevel"/>
    <w:tmpl w:val="F94A0FF0"/>
    <w:lvl w:ilvl="0" w:tplc="D6D413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C7118B0"/>
    <w:multiLevelType w:val="hybridMultilevel"/>
    <w:tmpl w:val="C39A7EB6"/>
    <w:lvl w:ilvl="0" w:tplc="3AECF7D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F4E74C9"/>
    <w:multiLevelType w:val="hybridMultilevel"/>
    <w:tmpl w:val="8FCADA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057809"/>
    <w:multiLevelType w:val="hybridMultilevel"/>
    <w:tmpl w:val="88966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46E2ABE"/>
    <w:multiLevelType w:val="multilevel"/>
    <w:tmpl w:val="8250B278"/>
    <w:styleLink w:val="CurrentList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67441EE"/>
    <w:multiLevelType w:val="multilevel"/>
    <w:tmpl w:val="35E88D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4A24532"/>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9824F3"/>
    <w:multiLevelType w:val="multilevel"/>
    <w:tmpl w:val="37668CAE"/>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8C27342"/>
    <w:multiLevelType w:val="hybridMultilevel"/>
    <w:tmpl w:val="B254E8F0"/>
    <w:lvl w:ilvl="0" w:tplc="42E26D7C">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A7564D"/>
    <w:multiLevelType w:val="hybridMultilevel"/>
    <w:tmpl w:val="E85258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69176226">
    <w:abstractNumId w:val="0"/>
  </w:num>
  <w:num w:numId="2" w16cid:durableId="1046561201">
    <w:abstractNumId w:val="17"/>
  </w:num>
  <w:num w:numId="3" w16cid:durableId="1146388273">
    <w:abstractNumId w:val="25"/>
  </w:num>
  <w:num w:numId="4" w16cid:durableId="1247686311">
    <w:abstractNumId w:val="20"/>
  </w:num>
  <w:num w:numId="5" w16cid:durableId="698699353">
    <w:abstractNumId w:val="16"/>
  </w:num>
  <w:num w:numId="6" w16cid:durableId="174922237">
    <w:abstractNumId w:val="10"/>
  </w:num>
  <w:num w:numId="7" w16cid:durableId="2020741265">
    <w:abstractNumId w:val="24"/>
  </w:num>
  <w:num w:numId="8" w16cid:durableId="1445421526">
    <w:abstractNumId w:val="5"/>
  </w:num>
  <w:num w:numId="9" w16cid:durableId="648704120">
    <w:abstractNumId w:val="31"/>
  </w:num>
  <w:num w:numId="10" w16cid:durableId="2073961287">
    <w:abstractNumId w:val="12"/>
  </w:num>
  <w:num w:numId="11" w16cid:durableId="1335643114">
    <w:abstractNumId w:val="1"/>
  </w:num>
  <w:num w:numId="12" w16cid:durableId="1785155370">
    <w:abstractNumId w:val="15"/>
  </w:num>
  <w:num w:numId="13" w16cid:durableId="723024325">
    <w:abstractNumId w:val="19"/>
  </w:num>
  <w:num w:numId="14" w16cid:durableId="487333640">
    <w:abstractNumId w:val="30"/>
  </w:num>
  <w:num w:numId="15" w16cid:durableId="1955474374">
    <w:abstractNumId w:val="4"/>
  </w:num>
  <w:num w:numId="16" w16cid:durableId="1077559257">
    <w:abstractNumId w:val="21"/>
  </w:num>
  <w:num w:numId="17" w16cid:durableId="1131479914">
    <w:abstractNumId w:val="23"/>
  </w:num>
  <w:num w:numId="18" w16cid:durableId="1988394465">
    <w:abstractNumId w:val="22"/>
  </w:num>
  <w:num w:numId="19" w16cid:durableId="60101904">
    <w:abstractNumId w:val="2"/>
  </w:num>
  <w:num w:numId="20" w16cid:durableId="647394505">
    <w:abstractNumId w:val="7"/>
  </w:num>
  <w:num w:numId="21" w16cid:durableId="1802456421">
    <w:abstractNumId w:val="3"/>
  </w:num>
  <w:num w:numId="22" w16cid:durableId="290524854">
    <w:abstractNumId w:val="18"/>
  </w:num>
  <w:num w:numId="23" w16cid:durableId="647981438">
    <w:abstractNumId w:val="29"/>
  </w:num>
  <w:num w:numId="24" w16cid:durableId="2080663860">
    <w:abstractNumId w:val="9"/>
  </w:num>
  <w:num w:numId="25" w16cid:durableId="1922328136">
    <w:abstractNumId w:val="26"/>
  </w:num>
  <w:num w:numId="26" w16cid:durableId="1441140284">
    <w:abstractNumId w:val="13"/>
  </w:num>
  <w:num w:numId="27" w16cid:durableId="1630934155">
    <w:abstractNumId w:val="28"/>
  </w:num>
  <w:num w:numId="28" w16cid:durableId="1082944182">
    <w:abstractNumId w:val="27"/>
  </w:num>
  <w:num w:numId="29" w16cid:durableId="161285574">
    <w:abstractNumId w:val="6"/>
  </w:num>
  <w:num w:numId="30" w16cid:durableId="850683101">
    <w:abstractNumId w:val="11"/>
  </w:num>
  <w:num w:numId="31" w16cid:durableId="173768186">
    <w:abstractNumId w:val="8"/>
  </w:num>
  <w:num w:numId="32" w16cid:durableId="168840936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ue Tao Lim (Asst Prof)">
    <w15:presenceInfo w15:providerId="AD" w15:userId="S::juetao.lim@staff.main.ntu.edu.sg::c0a2fae7-5994-4aff-a32a-1c1725a35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4E2"/>
    <w:rsid w:val="000000B0"/>
    <w:rsid w:val="00000A76"/>
    <w:rsid w:val="00001756"/>
    <w:rsid w:val="0000469E"/>
    <w:rsid w:val="000061AE"/>
    <w:rsid w:val="00007916"/>
    <w:rsid w:val="00007DDC"/>
    <w:rsid w:val="00013399"/>
    <w:rsid w:val="000144F0"/>
    <w:rsid w:val="0001558D"/>
    <w:rsid w:val="000165A7"/>
    <w:rsid w:val="00020AA3"/>
    <w:rsid w:val="000211EC"/>
    <w:rsid w:val="00022D15"/>
    <w:rsid w:val="00023408"/>
    <w:rsid w:val="000249A3"/>
    <w:rsid w:val="00025DA5"/>
    <w:rsid w:val="00025EF4"/>
    <w:rsid w:val="00026583"/>
    <w:rsid w:val="00031403"/>
    <w:rsid w:val="00031F56"/>
    <w:rsid w:val="0003385D"/>
    <w:rsid w:val="00033BE4"/>
    <w:rsid w:val="0003491D"/>
    <w:rsid w:val="000367DF"/>
    <w:rsid w:val="0004014D"/>
    <w:rsid w:val="000414A7"/>
    <w:rsid w:val="0004219E"/>
    <w:rsid w:val="0004249C"/>
    <w:rsid w:val="00043E1D"/>
    <w:rsid w:val="00044A68"/>
    <w:rsid w:val="0004535C"/>
    <w:rsid w:val="00046459"/>
    <w:rsid w:val="000464C5"/>
    <w:rsid w:val="00047A41"/>
    <w:rsid w:val="000509F3"/>
    <w:rsid w:val="00051090"/>
    <w:rsid w:val="000512B8"/>
    <w:rsid w:val="00052BB4"/>
    <w:rsid w:val="000537ED"/>
    <w:rsid w:val="00054106"/>
    <w:rsid w:val="000576C8"/>
    <w:rsid w:val="000618C0"/>
    <w:rsid w:val="00061E6F"/>
    <w:rsid w:val="000645E8"/>
    <w:rsid w:val="000646AA"/>
    <w:rsid w:val="00065418"/>
    <w:rsid w:val="00065A01"/>
    <w:rsid w:val="00065F71"/>
    <w:rsid w:val="00070873"/>
    <w:rsid w:val="00070A1C"/>
    <w:rsid w:val="000710D6"/>
    <w:rsid w:val="00071C42"/>
    <w:rsid w:val="00074B41"/>
    <w:rsid w:val="000752AD"/>
    <w:rsid w:val="00075B7A"/>
    <w:rsid w:val="00077E35"/>
    <w:rsid w:val="00081022"/>
    <w:rsid w:val="000835D2"/>
    <w:rsid w:val="00084E68"/>
    <w:rsid w:val="00085807"/>
    <w:rsid w:val="000871D7"/>
    <w:rsid w:val="0008798B"/>
    <w:rsid w:val="00090D6A"/>
    <w:rsid w:val="00090F3A"/>
    <w:rsid w:val="0009171F"/>
    <w:rsid w:val="000942FE"/>
    <w:rsid w:val="00094702"/>
    <w:rsid w:val="0009632C"/>
    <w:rsid w:val="00096D4A"/>
    <w:rsid w:val="000A0D25"/>
    <w:rsid w:val="000A12E5"/>
    <w:rsid w:val="000A33FA"/>
    <w:rsid w:val="000A7D9A"/>
    <w:rsid w:val="000B2F01"/>
    <w:rsid w:val="000B5B77"/>
    <w:rsid w:val="000B72A0"/>
    <w:rsid w:val="000B7575"/>
    <w:rsid w:val="000B781B"/>
    <w:rsid w:val="000B7F7B"/>
    <w:rsid w:val="000C09A0"/>
    <w:rsid w:val="000C15F6"/>
    <w:rsid w:val="000C1E72"/>
    <w:rsid w:val="000C2CA4"/>
    <w:rsid w:val="000C5448"/>
    <w:rsid w:val="000C5DB4"/>
    <w:rsid w:val="000C7DA4"/>
    <w:rsid w:val="000D1502"/>
    <w:rsid w:val="000D59C8"/>
    <w:rsid w:val="000D5DE9"/>
    <w:rsid w:val="000E0585"/>
    <w:rsid w:val="000E124D"/>
    <w:rsid w:val="000E18E6"/>
    <w:rsid w:val="000E21DC"/>
    <w:rsid w:val="000E47E8"/>
    <w:rsid w:val="000E6AAF"/>
    <w:rsid w:val="000E6B73"/>
    <w:rsid w:val="000F283B"/>
    <w:rsid w:val="000F3FC3"/>
    <w:rsid w:val="000F4461"/>
    <w:rsid w:val="000F474F"/>
    <w:rsid w:val="000F53D3"/>
    <w:rsid w:val="00104557"/>
    <w:rsid w:val="0010534C"/>
    <w:rsid w:val="00106CF2"/>
    <w:rsid w:val="00106D73"/>
    <w:rsid w:val="001112A9"/>
    <w:rsid w:val="001118C2"/>
    <w:rsid w:val="001135E4"/>
    <w:rsid w:val="00117681"/>
    <w:rsid w:val="001214CA"/>
    <w:rsid w:val="001230B7"/>
    <w:rsid w:val="00130E21"/>
    <w:rsid w:val="00132DF9"/>
    <w:rsid w:val="0013346A"/>
    <w:rsid w:val="001334AA"/>
    <w:rsid w:val="001374EB"/>
    <w:rsid w:val="00137A7A"/>
    <w:rsid w:val="00140703"/>
    <w:rsid w:val="00147799"/>
    <w:rsid w:val="00150435"/>
    <w:rsid w:val="00153433"/>
    <w:rsid w:val="0015461F"/>
    <w:rsid w:val="001557DB"/>
    <w:rsid w:val="00155BB8"/>
    <w:rsid w:val="00155CFE"/>
    <w:rsid w:val="00160041"/>
    <w:rsid w:val="00160B14"/>
    <w:rsid w:val="00163A1A"/>
    <w:rsid w:val="00163FFE"/>
    <w:rsid w:val="001654FF"/>
    <w:rsid w:val="0017123B"/>
    <w:rsid w:val="001726DC"/>
    <w:rsid w:val="00172AC8"/>
    <w:rsid w:val="00173BBD"/>
    <w:rsid w:val="00174B2B"/>
    <w:rsid w:val="00177136"/>
    <w:rsid w:val="001771FE"/>
    <w:rsid w:val="00177B87"/>
    <w:rsid w:val="001808EC"/>
    <w:rsid w:val="00180BA1"/>
    <w:rsid w:val="00180E6A"/>
    <w:rsid w:val="00181F37"/>
    <w:rsid w:val="00184DBA"/>
    <w:rsid w:val="00187BFC"/>
    <w:rsid w:val="00191EC5"/>
    <w:rsid w:val="0019570D"/>
    <w:rsid w:val="00196A35"/>
    <w:rsid w:val="00196C2F"/>
    <w:rsid w:val="00197025"/>
    <w:rsid w:val="00197903"/>
    <w:rsid w:val="00197E0D"/>
    <w:rsid w:val="001A2E6B"/>
    <w:rsid w:val="001A3024"/>
    <w:rsid w:val="001A31E6"/>
    <w:rsid w:val="001A360D"/>
    <w:rsid w:val="001A7ACE"/>
    <w:rsid w:val="001B061F"/>
    <w:rsid w:val="001B075D"/>
    <w:rsid w:val="001B0FBD"/>
    <w:rsid w:val="001B2847"/>
    <w:rsid w:val="001B4454"/>
    <w:rsid w:val="001B4582"/>
    <w:rsid w:val="001B46FD"/>
    <w:rsid w:val="001B52E4"/>
    <w:rsid w:val="001B5B95"/>
    <w:rsid w:val="001B7A3F"/>
    <w:rsid w:val="001B7E54"/>
    <w:rsid w:val="001C2286"/>
    <w:rsid w:val="001C2A98"/>
    <w:rsid w:val="001C59C1"/>
    <w:rsid w:val="001C75B7"/>
    <w:rsid w:val="001D02C7"/>
    <w:rsid w:val="001D2FB2"/>
    <w:rsid w:val="001D4323"/>
    <w:rsid w:val="001D45D2"/>
    <w:rsid w:val="001D4B0B"/>
    <w:rsid w:val="001D5CF2"/>
    <w:rsid w:val="001D7C63"/>
    <w:rsid w:val="001E0171"/>
    <w:rsid w:val="001E2896"/>
    <w:rsid w:val="001E58D7"/>
    <w:rsid w:val="001E637B"/>
    <w:rsid w:val="001E6482"/>
    <w:rsid w:val="001E65EC"/>
    <w:rsid w:val="001E78AF"/>
    <w:rsid w:val="001F1DAC"/>
    <w:rsid w:val="001F2274"/>
    <w:rsid w:val="001F245A"/>
    <w:rsid w:val="001F3035"/>
    <w:rsid w:val="001F3820"/>
    <w:rsid w:val="001F6F85"/>
    <w:rsid w:val="00201102"/>
    <w:rsid w:val="00202BE8"/>
    <w:rsid w:val="00204102"/>
    <w:rsid w:val="00204D4F"/>
    <w:rsid w:val="00207E1F"/>
    <w:rsid w:val="002111EB"/>
    <w:rsid w:val="00211291"/>
    <w:rsid w:val="002113BF"/>
    <w:rsid w:val="00214473"/>
    <w:rsid w:val="00214A19"/>
    <w:rsid w:val="00216B87"/>
    <w:rsid w:val="002176B3"/>
    <w:rsid w:val="00223697"/>
    <w:rsid w:val="00224213"/>
    <w:rsid w:val="0022485C"/>
    <w:rsid w:val="002274E1"/>
    <w:rsid w:val="002314F5"/>
    <w:rsid w:val="002321DA"/>
    <w:rsid w:val="00234C89"/>
    <w:rsid w:val="00235D3A"/>
    <w:rsid w:val="00243FCA"/>
    <w:rsid w:val="00245A8D"/>
    <w:rsid w:val="00247BD5"/>
    <w:rsid w:val="002514C1"/>
    <w:rsid w:val="0025152F"/>
    <w:rsid w:val="00251608"/>
    <w:rsid w:val="00252B80"/>
    <w:rsid w:val="00253087"/>
    <w:rsid w:val="00253FFF"/>
    <w:rsid w:val="002554B3"/>
    <w:rsid w:val="00256D13"/>
    <w:rsid w:val="0025776C"/>
    <w:rsid w:val="002615A1"/>
    <w:rsid w:val="00262B58"/>
    <w:rsid w:val="0026451D"/>
    <w:rsid w:val="00264BF8"/>
    <w:rsid w:val="00265C62"/>
    <w:rsid w:val="00270070"/>
    <w:rsid w:val="00271809"/>
    <w:rsid w:val="002725B2"/>
    <w:rsid w:val="00272EEC"/>
    <w:rsid w:val="00274235"/>
    <w:rsid w:val="00277A95"/>
    <w:rsid w:val="00280706"/>
    <w:rsid w:val="00280C37"/>
    <w:rsid w:val="002811E4"/>
    <w:rsid w:val="002837D4"/>
    <w:rsid w:val="0028426E"/>
    <w:rsid w:val="0028592E"/>
    <w:rsid w:val="00285F0F"/>
    <w:rsid w:val="002861C7"/>
    <w:rsid w:val="00295085"/>
    <w:rsid w:val="00296CE3"/>
    <w:rsid w:val="002A09D3"/>
    <w:rsid w:val="002A0ACF"/>
    <w:rsid w:val="002A5DC5"/>
    <w:rsid w:val="002B4922"/>
    <w:rsid w:val="002B61A9"/>
    <w:rsid w:val="002B6FAB"/>
    <w:rsid w:val="002C3E06"/>
    <w:rsid w:val="002C4FF1"/>
    <w:rsid w:val="002D14FA"/>
    <w:rsid w:val="002D1E75"/>
    <w:rsid w:val="002D1F74"/>
    <w:rsid w:val="002D4C14"/>
    <w:rsid w:val="002D68F6"/>
    <w:rsid w:val="002D6C14"/>
    <w:rsid w:val="002D6C6A"/>
    <w:rsid w:val="002E0D34"/>
    <w:rsid w:val="002E2E54"/>
    <w:rsid w:val="002E493B"/>
    <w:rsid w:val="002E5927"/>
    <w:rsid w:val="002E67A8"/>
    <w:rsid w:val="002F05D5"/>
    <w:rsid w:val="002F1B4C"/>
    <w:rsid w:val="002F3EBE"/>
    <w:rsid w:val="002F48C8"/>
    <w:rsid w:val="002F597B"/>
    <w:rsid w:val="002F645A"/>
    <w:rsid w:val="002F65C0"/>
    <w:rsid w:val="00302958"/>
    <w:rsid w:val="00304A5B"/>
    <w:rsid w:val="00306EEB"/>
    <w:rsid w:val="003129CA"/>
    <w:rsid w:val="00315761"/>
    <w:rsid w:val="00315D4E"/>
    <w:rsid w:val="00315EC9"/>
    <w:rsid w:val="003170E3"/>
    <w:rsid w:val="0032009C"/>
    <w:rsid w:val="00323031"/>
    <w:rsid w:val="003239D9"/>
    <w:rsid w:val="00325919"/>
    <w:rsid w:val="00325DDF"/>
    <w:rsid w:val="00326B3D"/>
    <w:rsid w:val="00330B18"/>
    <w:rsid w:val="00332430"/>
    <w:rsid w:val="00333AB0"/>
    <w:rsid w:val="003340E1"/>
    <w:rsid w:val="003355F2"/>
    <w:rsid w:val="00341A2F"/>
    <w:rsid w:val="003421D0"/>
    <w:rsid w:val="003430E9"/>
    <w:rsid w:val="003454EF"/>
    <w:rsid w:val="003473FC"/>
    <w:rsid w:val="00352399"/>
    <w:rsid w:val="00353655"/>
    <w:rsid w:val="00354729"/>
    <w:rsid w:val="003632D6"/>
    <w:rsid w:val="00366EDD"/>
    <w:rsid w:val="00370844"/>
    <w:rsid w:val="003722C6"/>
    <w:rsid w:val="003739EF"/>
    <w:rsid w:val="00375177"/>
    <w:rsid w:val="00377551"/>
    <w:rsid w:val="00377B0E"/>
    <w:rsid w:val="00382181"/>
    <w:rsid w:val="003828DB"/>
    <w:rsid w:val="00386083"/>
    <w:rsid w:val="003867E3"/>
    <w:rsid w:val="00386A60"/>
    <w:rsid w:val="00387172"/>
    <w:rsid w:val="0038759D"/>
    <w:rsid w:val="0039116B"/>
    <w:rsid w:val="00392B05"/>
    <w:rsid w:val="0039402E"/>
    <w:rsid w:val="00395148"/>
    <w:rsid w:val="00395ABF"/>
    <w:rsid w:val="003960CE"/>
    <w:rsid w:val="00396C12"/>
    <w:rsid w:val="003979EA"/>
    <w:rsid w:val="003A06BC"/>
    <w:rsid w:val="003A2824"/>
    <w:rsid w:val="003A32C2"/>
    <w:rsid w:val="003A4E7B"/>
    <w:rsid w:val="003A5F5D"/>
    <w:rsid w:val="003A5FBE"/>
    <w:rsid w:val="003A6305"/>
    <w:rsid w:val="003A6461"/>
    <w:rsid w:val="003B05C7"/>
    <w:rsid w:val="003B11BC"/>
    <w:rsid w:val="003B1D80"/>
    <w:rsid w:val="003B3355"/>
    <w:rsid w:val="003B3670"/>
    <w:rsid w:val="003B37A4"/>
    <w:rsid w:val="003B5454"/>
    <w:rsid w:val="003B5B8C"/>
    <w:rsid w:val="003B68EE"/>
    <w:rsid w:val="003B7189"/>
    <w:rsid w:val="003C2899"/>
    <w:rsid w:val="003C3094"/>
    <w:rsid w:val="003D0CF4"/>
    <w:rsid w:val="003D247D"/>
    <w:rsid w:val="003D722C"/>
    <w:rsid w:val="003D777B"/>
    <w:rsid w:val="003D7F9F"/>
    <w:rsid w:val="003E0FCC"/>
    <w:rsid w:val="003E6079"/>
    <w:rsid w:val="003E61AA"/>
    <w:rsid w:val="003E6670"/>
    <w:rsid w:val="003E6F47"/>
    <w:rsid w:val="003E7306"/>
    <w:rsid w:val="003F1F8F"/>
    <w:rsid w:val="003F21B2"/>
    <w:rsid w:val="003F632F"/>
    <w:rsid w:val="003F7244"/>
    <w:rsid w:val="00400552"/>
    <w:rsid w:val="00401796"/>
    <w:rsid w:val="00401E18"/>
    <w:rsid w:val="00402C73"/>
    <w:rsid w:val="004040EB"/>
    <w:rsid w:val="004058B4"/>
    <w:rsid w:val="004062A5"/>
    <w:rsid w:val="00406C9E"/>
    <w:rsid w:val="00407401"/>
    <w:rsid w:val="00412161"/>
    <w:rsid w:val="00413D2E"/>
    <w:rsid w:val="00414D0C"/>
    <w:rsid w:val="00414F9C"/>
    <w:rsid w:val="004171BB"/>
    <w:rsid w:val="004173D6"/>
    <w:rsid w:val="00420AFA"/>
    <w:rsid w:val="004234E3"/>
    <w:rsid w:val="00424B19"/>
    <w:rsid w:val="0042611F"/>
    <w:rsid w:val="004319FC"/>
    <w:rsid w:val="00431A9C"/>
    <w:rsid w:val="00431C29"/>
    <w:rsid w:val="00435011"/>
    <w:rsid w:val="00435A11"/>
    <w:rsid w:val="00441D99"/>
    <w:rsid w:val="00444E89"/>
    <w:rsid w:val="004452AD"/>
    <w:rsid w:val="00451CD2"/>
    <w:rsid w:val="00453B47"/>
    <w:rsid w:val="0045636E"/>
    <w:rsid w:val="004568FB"/>
    <w:rsid w:val="00456B42"/>
    <w:rsid w:val="0046159C"/>
    <w:rsid w:val="0046190B"/>
    <w:rsid w:val="00462BBF"/>
    <w:rsid w:val="004650EC"/>
    <w:rsid w:val="00470C74"/>
    <w:rsid w:val="0047169F"/>
    <w:rsid w:val="004728B0"/>
    <w:rsid w:val="00475F46"/>
    <w:rsid w:val="00477A5E"/>
    <w:rsid w:val="0048180B"/>
    <w:rsid w:val="00482283"/>
    <w:rsid w:val="00482A88"/>
    <w:rsid w:val="004865D3"/>
    <w:rsid w:val="004874E7"/>
    <w:rsid w:val="00490284"/>
    <w:rsid w:val="0049375F"/>
    <w:rsid w:val="00494C12"/>
    <w:rsid w:val="00494FE1"/>
    <w:rsid w:val="00495C5E"/>
    <w:rsid w:val="0049665C"/>
    <w:rsid w:val="004973F9"/>
    <w:rsid w:val="00497B94"/>
    <w:rsid w:val="004A0059"/>
    <w:rsid w:val="004A0481"/>
    <w:rsid w:val="004A3ED4"/>
    <w:rsid w:val="004A43DD"/>
    <w:rsid w:val="004A57CA"/>
    <w:rsid w:val="004B0D41"/>
    <w:rsid w:val="004B1CFE"/>
    <w:rsid w:val="004B3251"/>
    <w:rsid w:val="004B5C54"/>
    <w:rsid w:val="004B7523"/>
    <w:rsid w:val="004C2FCF"/>
    <w:rsid w:val="004C66AC"/>
    <w:rsid w:val="004C776B"/>
    <w:rsid w:val="004C79B3"/>
    <w:rsid w:val="004D130D"/>
    <w:rsid w:val="004D321E"/>
    <w:rsid w:val="004D3692"/>
    <w:rsid w:val="004D434F"/>
    <w:rsid w:val="004D4E54"/>
    <w:rsid w:val="004D504C"/>
    <w:rsid w:val="004E3383"/>
    <w:rsid w:val="004E3DB1"/>
    <w:rsid w:val="004E5078"/>
    <w:rsid w:val="004E5E6F"/>
    <w:rsid w:val="004E7E9B"/>
    <w:rsid w:val="004E7EE9"/>
    <w:rsid w:val="004F1238"/>
    <w:rsid w:val="004F130D"/>
    <w:rsid w:val="004F1858"/>
    <w:rsid w:val="004F1875"/>
    <w:rsid w:val="004F3369"/>
    <w:rsid w:val="004F4C8F"/>
    <w:rsid w:val="004F5A7B"/>
    <w:rsid w:val="00501C0D"/>
    <w:rsid w:val="00505258"/>
    <w:rsid w:val="005064E7"/>
    <w:rsid w:val="005067B6"/>
    <w:rsid w:val="005115FE"/>
    <w:rsid w:val="00513023"/>
    <w:rsid w:val="00514740"/>
    <w:rsid w:val="00514B30"/>
    <w:rsid w:val="00516084"/>
    <w:rsid w:val="00516471"/>
    <w:rsid w:val="0051648A"/>
    <w:rsid w:val="0051788B"/>
    <w:rsid w:val="0052061E"/>
    <w:rsid w:val="005217B5"/>
    <w:rsid w:val="00522228"/>
    <w:rsid w:val="005238A6"/>
    <w:rsid w:val="00525F26"/>
    <w:rsid w:val="00526844"/>
    <w:rsid w:val="00531F79"/>
    <w:rsid w:val="00534895"/>
    <w:rsid w:val="00537E94"/>
    <w:rsid w:val="00540885"/>
    <w:rsid w:val="00540BD4"/>
    <w:rsid w:val="005412D7"/>
    <w:rsid w:val="0054227A"/>
    <w:rsid w:val="00543EDE"/>
    <w:rsid w:val="00544B36"/>
    <w:rsid w:val="00547526"/>
    <w:rsid w:val="0054766F"/>
    <w:rsid w:val="0055025D"/>
    <w:rsid w:val="005520F2"/>
    <w:rsid w:val="0055592F"/>
    <w:rsid w:val="00556442"/>
    <w:rsid w:val="005625A4"/>
    <w:rsid w:val="00562BDD"/>
    <w:rsid w:val="00563194"/>
    <w:rsid w:val="005639EF"/>
    <w:rsid w:val="00563E86"/>
    <w:rsid w:val="00563EC8"/>
    <w:rsid w:val="00567F04"/>
    <w:rsid w:val="00577269"/>
    <w:rsid w:val="005772DE"/>
    <w:rsid w:val="00580595"/>
    <w:rsid w:val="00580888"/>
    <w:rsid w:val="00581C40"/>
    <w:rsid w:val="00582D3D"/>
    <w:rsid w:val="005860CA"/>
    <w:rsid w:val="0059162E"/>
    <w:rsid w:val="0059180F"/>
    <w:rsid w:val="00593F96"/>
    <w:rsid w:val="005951AD"/>
    <w:rsid w:val="005954D6"/>
    <w:rsid w:val="00595F44"/>
    <w:rsid w:val="00597BA4"/>
    <w:rsid w:val="005A038F"/>
    <w:rsid w:val="005A1EFE"/>
    <w:rsid w:val="005A2F9D"/>
    <w:rsid w:val="005A2FE7"/>
    <w:rsid w:val="005A3DEE"/>
    <w:rsid w:val="005A4C0F"/>
    <w:rsid w:val="005A6CF6"/>
    <w:rsid w:val="005B09E6"/>
    <w:rsid w:val="005B130F"/>
    <w:rsid w:val="005B3659"/>
    <w:rsid w:val="005B5A22"/>
    <w:rsid w:val="005B69A4"/>
    <w:rsid w:val="005C0B17"/>
    <w:rsid w:val="005C30CA"/>
    <w:rsid w:val="005D1804"/>
    <w:rsid w:val="005D288A"/>
    <w:rsid w:val="005D3FCA"/>
    <w:rsid w:val="005D5392"/>
    <w:rsid w:val="005D5B6C"/>
    <w:rsid w:val="005D77AD"/>
    <w:rsid w:val="005E0E48"/>
    <w:rsid w:val="005E1070"/>
    <w:rsid w:val="005E1E3A"/>
    <w:rsid w:val="005E6F0A"/>
    <w:rsid w:val="005F0A5A"/>
    <w:rsid w:val="005F14FB"/>
    <w:rsid w:val="005F151B"/>
    <w:rsid w:val="005F2B26"/>
    <w:rsid w:val="005F3D41"/>
    <w:rsid w:val="005F504A"/>
    <w:rsid w:val="005F6BB7"/>
    <w:rsid w:val="00600110"/>
    <w:rsid w:val="0060134A"/>
    <w:rsid w:val="006100F0"/>
    <w:rsid w:val="00610480"/>
    <w:rsid w:val="00610BC1"/>
    <w:rsid w:val="00611B6B"/>
    <w:rsid w:val="00617443"/>
    <w:rsid w:val="00627969"/>
    <w:rsid w:val="00632549"/>
    <w:rsid w:val="006351FD"/>
    <w:rsid w:val="0063599F"/>
    <w:rsid w:val="006364AE"/>
    <w:rsid w:val="00637350"/>
    <w:rsid w:val="00637C3F"/>
    <w:rsid w:val="00640DE8"/>
    <w:rsid w:val="00640F69"/>
    <w:rsid w:val="00642C7A"/>
    <w:rsid w:val="00645488"/>
    <w:rsid w:val="00651DD5"/>
    <w:rsid w:val="006525F7"/>
    <w:rsid w:val="006536BE"/>
    <w:rsid w:val="00653D1A"/>
    <w:rsid w:val="0065519A"/>
    <w:rsid w:val="0065609B"/>
    <w:rsid w:val="00657E82"/>
    <w:rsid w:val="00660E38"/>
    <w:rsid w:val="00664C1E"/>
    <w:rsid w:val="006660B5"/>
    <w:rsid w:val="00666C2F"/>
    <w:rsid w:val="00666C7F"/>
    <w:rsid w:val="00671405"/>
    <w:rsid w:val="00674C2A"/>
    <w:rsid w:val="00677B7A"/>
    <w:rsid w:val="006817C5"/>
    <w:rsid w:val="00684A7D"/>
    <w:rsid w:val="006862D2"/>
    <w:rsid w:val="00687DE0"/>
    <w:rsid w:val="0069100A"/>
    <w:rsid w:val="00691909"/>
    <w:rsid w:val="00691CD0"/>
    <w:rsid w:val="00691F49"/>
    <w:rsid w:val="0069390B"/>
    <w:rsid w:val="00693D3C"/>
    <w:rsid w:val="006974C5"/>
    <w:rsid w:val="006979F4"/>
    <w:rsid w:val="00697DE1"/>
    <w:rsid w:val="006A091C"/>
    <w:rsid w:val="006A1447"/>
    <w:rsid w:val="006A4525"/>
    <w:rsid w:val="006A4F7D"/>
    <w:rsid w:val="006A5D97"/>
    <w:rsid w:val="006A6492"/>
    <w:rsid w:val="006B0F77"/>
    <w:rsid w:val="006B16FF"/>
    <w:rsid w:val="006B18C7"/>
    <w:rsid w:val="006B302D"/>
    <w:rsid w:val="006B42CB"/>
    <w:rsid w:val="006B4A95"/>
    <w:rsid w:val="006B70A7"/>
    <w:rsid w:val="006B7303"/>
    <w:rsid w:val="006B754F"/>
    <w:rsid w:val="006B7EC8"/>
    <w:rsid w:val="006C1934"/>
    <w:rsid w:val="006C48AC"/>
    <w:rsid w:val="006C6178"/>
    <w:rsid w:val="006C676A"/>
    <w:rsid w:val="006C7107"/>
    <w:rsid w:val="006D09A7"/>
    <w:rsid w:val="006D3C5C"/>
    <w:rsid w:val="006D417E"/>
    <w:rsid w:val="006D4FD1"/>
    <w:rsid w:val="006E041C"/>
    <w:rsid w:val="006E0F79"/>
    <w:rsid w:val="006E1A59"/>
    <w:rsid w:val="006E3438"/>
    <w:rsid w:val="006E3DF3"/>
    <w:rsid w:val="006E4ADB"/>
    <w:rsid w:val="006E74FF"/>
    <w:rsid w:val="006F09D8"/>
    <w:rsid w:val="006F125F"/>
    <w:rsid w:val="006F13E1"/>
    <w:rsid w:val="006F1EBE"/>
    <w:rsid w:val="006F27B6"/>
    <w:rsid w:val="006F2E48"/>
    <w:rsid w:val="006F31DE"/>
    <w:rsid w:val="006F3C0F"/>
    <w:rsid w:val="006F7E1C"/>
    <w:rsid w:val="00700ABE"/>
    <w:rsid w:val="00702EAC"/>
    <w:rsid w:val="00703C64"/>
    <w:rsid w:val="00703F40"/>
    <w:rsid w:val="007045F5"/>
    <w:rsid w:val="0070759E"/>
    <w:rsid w:val="00710B5C"/>
    <w:rsid w:val="007124A7"/>
    <w:rsid w:val="00712E2B"/>
    <w:rsid w:val="00713222"/>
    <w:rsid w:val="007145AC"/>
    <w:rsid w:val="00715279"/>
    <w:rsid w:val="00720835"/>
    <w:rsid w:val="0072102B"/>
    <w:rsid w:val="00721BAC"/>
    <w:rsid w:val="00723D50"/>
    <w:rsid w:val="007240ED"/>
    <w:rsid w:val="007261D0"/>
    <w:rsid w:val="00726F48"/>
    <w:rsid w:val="00730AE4"/>
    <w:rsid w:val="0073131D"/>
    <w:rsid w:val="00731BB6"/>
    <w:rsid w:val="007342B1"/>
    <w:rsid w:val="00743554"/>
    <w:rsid w:val="007442AF"/>
    <w:rsid w:val="00744349"/>
    <w:rsid w:val="00746EA4"/>
    <w:rsid w:val="00750A3A"/>
    <w:rsid w:val="0075145D"/>
    <w:rsid w:val="00752EF7"/>
    <w:rsid w:val="00756851"/>
    <w:rsid w:val="00756D94"/>
    <w:rsid w:val="007571BB"/>
    <w:rsid w:val="00760048"/>
    <w:rsid w:val="00761D00"/>
    <w:rsid w:val="00762845"/>
    <w:rsid w:val="00762E94"/>
    <w:rsid w:val="0076345E"/>
    <w:rsid w:val="00770CE9"/>
    <w:rsid w:val="007733E3"/>
    <w:rsid w:val="00773808"/>
    <w:rsid w:val="0077449D"/>
    <w:rsid w:val="0077470F"/>
    <w:rsid w:val="00774808"/>
    <w:rsid w:val="00774EE9"/>
    <w:rsid w:val="00775DAC"/>
    <w:rsid w:val="0077649A"/>
    <w:rsid w:val="00776DF1"/>
    <w:rsid w:val="00784422"/>
    <w:rsid w:val="007848D3"/>
    <w:rsid w:val="00793783"/>
    <w:rsid w:val="00794004"/>
    <w:rsid w:val="00796744"/>
    <w:rsid w:val="007A00F0"/>
    <w:rsid w:val="007A0349"/>
    <w:rsid w:val="007A1AF6"/>
    <w:rsid w:val="007A1E1D"/>
    <w:rsid w:val="007A4C89"/>
    <w:rsid w:val="007A4F11"/>
    <w:rsid w:val="007A6EF8"/>
    <w:rsid w:val="007A7A80"/>
    <w:rsid w:val="007B1710"/>
    <w:rsid w:val="007B42C1"/>
    <w:rsid w:val="007B4AFE"/>
    <w:rsid w:val="007C2EB1"/>
    <w:rsid w:val="007C2EF3"/>
    <w:rsid w:val="007C59D9"/>
    <w:rsid w:val="007C6E3D"/>
    <w:rsid w:val="007D0EB4"/>
    <w:rsid w:val="007D2225"/>
    <w:rsid w:val="007D3E83"/>
    <w:rsid w:val="007D4401"/>
    <w:rsid w:val="007D54EF"/>
    <w:rsid w:val="007E13E0"/>
    <w:rsid w:val="007E4EC4"/>
    <w:rsid w:val="007E52BF"/>
    <w:rsid w:val="007E7C62"/>
    <w:rsid w:val="007F0702"/>
    <w:rsid w:val="007F0DD3"/>
    <w:rsid w:val="007F3941"/>
    <w:rsid w:val="007F3FF4"/>
    <w:rsid w:val="007F4B4D"/>
    <w:rsid w:val="007F4E48"/>
    <w:rsid w:val="007F53AA"/>
    <w:rsid w:val="007F5CB0"/>
    <w:rsid w:val="007F7C12"/>
    <w:rsid w:val="008017B1"/>
    <w:rsid w:val="00802709"/>
    <w:rsid w:val="00802A2E"/>
    <w:rsid w:val="00805B3E"/>
    <w:rsid w:val="0080641D"/>
    <w:rsid w:val="00806902"/>
    <w:rsid w:val="00806D57"/>
    <w:rsid w:val="00810DED"/>
    <w:rsid w:val="0081164B"/>
    <w:rsid w:val="00812EC9"/>
    <w:rsid w:val="008169A3"/>
    <w:rsid w:val="00817A1B"/>
    <w:rsid w:val="008201C9"/>
    <w:rsid w:val="00820236"/>
    <w:rsid w:val="00822C62"/>
    <w:rsid w:val="00826777"/>
    <w:rsid w:val="008273C4"/>
    <w:rsid w:val="00827ED2"/>
    <w:rsid w:val="00832A9E"/>
    <w:rsid w:val="00832B25"/>
    <w:rsid w:val="00833417"/>
    <w:rsid w:val="0083441A"/>
    <w:rsid w:val="00835862"/>
    <w:rsid w:val="00835986"/>
    <w:rsid w:val="00835D37"/>
    <w:rsid w:val="008366C1"/>
    <w:rsid w:val="00840A56"/>
    <w:rsid w:val="00841F1B"/>
    <w:rsid w:val="008434EC"/>
    <w:rsid w:val="008440FB"/>
    <w:rsid w:val="00844450"/>
    <w:rsid w:val="00845543"/>
    <w:rsid w:val="008504E2"/>
    <w:rsid w:val="0085096C"/>
    <w:rsid w:val="0085159A"/>
    <w:rsid w:val="00851C37"/>
    <w:rsid w:val="0085325E"/>
    <w:rsid w:val="00853C33"/>
    <w:rsid w:val="008615D8"/>
    <w:rsid w:val="00863AA1"/>
    <w:rsid w:val="00865FB2"/>
    <w:rsid w:val="008678D9"/>
    <w:rsid w:val="00870B40"/>
    <w:rsid w:val="00870F2C"/>
    <w:rsid w:val="008712C3"/>
    <w:rsid w:val="0087252D"/>
    <w:rsid w:val="008754D6"/>
    <w:rsid w:val="0087604D"/>
    <w:rsid w:val="008764BD"/>
    <w:rsid w:val="008767AE"/>
    <w:rsid w:val="0087707E"/>
    <w:rsid w:val="00877DBB"/>
    <w:rsid w:val="008815B9"/>
    <w:rsid w:val="00882EF1"/>
    <w:rsid w:val="00885CF4"/>
    <w:rsid w:val="008860D9"/>
    <w:rsid w:val="008936EC"/>
    <w:rsid w:val="0089381F"/>
    <w:rsid w:val="008953A3"/>
    <w:rsid w:val="008954A7"/>
    <w:rsid w:val="008962E0"/>
    <w:rsid w:val="0089752E"/>
    <w:rsid w:val="00897F3A"/>
    <w:rsid w:val="008A293A"/>
    <w:rsid w:val="008A2B57"/>
    <w:rsid w:val="008A2BB6"/>
    <w:rsid w:val="008A3048"/>
    <w:rsid w:val="008A445A"/>
    <w:rsid w:val="008A57D0"/>
    <w:rsid w:val="008A64C9"/>
    <w:rsid w:val="008B04A7"/>
    <w:rsid w:val="008B1A60"/>
    <w:rsid w:val="008B455B"/>
    <w:rsid w:val="008B5631"/>
    <w:rsid w:val="008B5936"/>
    <w:rsid w:val="008B6C09"/>
    <w:rsid w:val="008C03C9"/>
    <w:rsid w:val="008C0E3A"/>
    <w:rsid w:val="008C1E0E"/>
    <w:rsid w:val="008C1E19"/>
    <w:rsid w:val="008C30E6"/>
    <w:rsid w:val="008C32D7"/>
    <w:rsid w:val="008C349D"/>
    <w:rsid w:val="008C66A3"/>
    <w:rsid w:val="008C68AE"/>
    <w:rsid w:val="008C78BF"/>
    <w:rsid w:val="008D1563"/>
    <w:rsid w:val="008D3C26"/>
    <w:rsid w:val="008D4AC9"/>
    <w:rsid w:val="008D5068"/>
    <w:rsid w:val="008D789D"/>
    <w:rsid w:val="008D7E65"/>
    <w:rsid w:val="008E07D7"/>
    <w:rsid w:val="008E0F80"/>
    <w:rsid w:val="008E2C69"/>
    <w:rsid w:val="008E5702"/>
    <w:rsid w:val="008E5AB8"/>
    <w:rsid w:val="008E738B"/>
    <w:rsid w:val="008E7419"/>
    <w:rsid w:val="008F064D"/>
    <w:rsid w:val="008F1DFA"/>
    <w:rsid w:val="008F2FE1"/>
    <w:rsid w:val="00900F9A"/>
    <w:rsid w:val="009011D1"/>
    <w:rsid w:val="009016FC"/>
    <w:rsid w:val="009034CA"/>
    <w:rsid w:val="009045B0"/>
    <w:rsid w:val="00910DD5"/>
    <w:rsid w:val="0091436E"/>
    <w:rsid w:val="0091632D"/>
    <w:rsid w:val="009169AC"/>
    <w:rsid w:val="00916B6C"/>
    <w:rsid w:val="0092025F"/>
    <w:rsid w:val="00921062"/>
    <w:rsid w:val="00922634"/>
    <w:rsid w:val="00924C99"/>
    <w:rsid w:val="00930483"/>
    <w:rsid w:val="00934CD3"/>
    <w:rsid w:val="00936A37"/>
    <w:rsid w:val="009374AF"/>
    <w:rsid w:val="00937EB4"/>
    <w:rsid w:val="00941A53"/>
    <w:rsid w:val="00943B43"/>
    <w:rsid w:val="00943C52"/>
    <w:rsid w:val="00944C7A"/>
    <w:rsid w:val="00945EFB"/>
    <w:rsid w:val="00947F6B"/>
    <w:rsid w:val="00950DC0"/>
    <w:rsid w:val="00953AFD"/>
    <w:rsid w:val="00955A80"/>
    <w:rsid w:val="0096064E"/>
    <w:rsid w:val="00962974"/>
    <w:rsid w:val="0096398F"/>
    <w:rsid w:val="00964D28"/>
    <w:rsid w:val="00965F09"/>
    <w:rsid w:val="00966517"/>
    <w:rsid w:val="009673F5"/>
    <w:rsid w:val="00974D1B"/>
    <w:rsid w:val="0097600C"/>
    <w:rsid w:val="009767EA"/>
    <w:rsid w:val="00982127"/>
    <w:rsid w:val="00982C67"/>
    <w:rsid w:val="00983FF6"/>
    <w:rsid w:val="0098410D"/>
    <w:rsid w:val="00985222"/>
    <w:rsid w:val="009856A5"/>
    <w:rsid w:val="00985E26"/>
    <w:rsid w:val="00986087"/>
    <w:rsid w:val="00986523"/>
    <w:rsid w:val="00986B7B"/>
    <w:rsid w:val="00993469"/>
    <w:rsid w:val="00994789"/>
    <w:rsid w:val="00995079"/>
    <w:rsid w:val="00995695"/>
    <w:rsid w:val="009A026F"/>
    <w:rsid w:val="009A0F2F"/>
    <w:rsid w:val="009A2FCC"/>
    <w:rsid w:val="009A4CFA"/>
    <w:rsid w:val="009A5025"/>
    <w:rsid w:val="009A5193"/>
    <w:rsid w:val="009A5E5C"/>
    <w:rsid w:val="009B136B"/>
    <w:rsid w:val="009B2D40"/>
    <w:rsid w:val="009B30C8"/>
    <w:rsid w:val="009B3A70"/>
    <w:rsid w:val="009B3E2C"/>
    <w:rsid w:val="009B5780"/>
    <w:rsid w:val="009C080B"/>
    <w:rsid w:val="009C125E"/>
    <w:rsid w:val="009C1CBA"/>
    <w:rsid w:val="009C2789"/>
    <w:rsid w:val="009C2AEC"/>
    <w:rsid w:val="009C3146"/>
    <w:rsid w:val="009C499C"/>
    <w:rsid w:val="009C5758"/>
    <w:rsid w:val="009C627C"/>
    <w:rsid w:val="009C7527"/>
    <w:rsid w:val="009D1CAB"/>
    <w:rsid w:val="009D2614"/>
    <w:rsid w:val="009D47ED"/>
    <w:rsid w:val="009D5A8D"/>
    <w:rsid w:val="009E0ABC"/>
    <w:rsid w:val="009E38AA"/>
    <w:rsid w:val="009E48D1"/>
    <w:rsid w:val="009E5049"/>
    <w:rsid w:val="009E64FE"/>
    <w:rsid w:val="009E77F4"/>
    <w:rsid w:val="009F2059"/>
    <w:rsid w:val="009F24A8"/>
    <w:rsid w:val="009F355E"/>
    <w:rsid w:val="009F4788"/>
    <w:rsid w:val="009F5BDA"/>
    <w:rsid w:val="00A0224F"/>
    <w:rsid w:val="00A02475"/>
    <w:rsid w:val="00A035D8"/>
    <w:rsid w:val="00A043A4"/>
    <w:rsid w:val="00A045B9"/>
    <w:rsid w:val="00A04D1B"/>
    <w:rsid w:val="00A04E37"/>
    <w:rsid w:val="00A0504B"/>
    <w:rsid w:val="00A0674C"/>
    <w:rsid w:val="00A074EC"/>
    <w:rsid w:val="00A118AA"/>
    <w:rsid w:val="00A1302F"/>
    <w:rsid w:val="00A17E3A"/>
    <w:rsid w:val="00A20835"/>
    <w:rsid w:val="00A2157B"/>
    <w:rsid w:val="00A25AD8"/>
    <w:rsid w:val="00A27DDF"/>
    <w:rsid w:val="00A3143D"/>
    <w:rsid w:val="00A3239D"/>
    <w:rsid w:val="00A32882"/>
    <w:rsid w:val="00A33D4F"/>
    <w:rsid w:val="00A34E07"/>
    <w:rsid w:val="00A40298"/>
    <w:rsid w:val="00A40B98"/>
    <w:rsid w:val="00A41D18"/>
    <w:rsid w:val="00A44816"/>
    <w:rsid w:val="00A4571D"/>
    <w:rsid w:val="00A46B9E"/>
    <w:rsid w:val="00A4766B"/>
    <w:rsid w:val="00A511ED"/>
    <w:rsid w:val="00A529B6"/>
    <w:rsid w:val="00A5319F"/>
    <w:rsid w:val="00A53402"/>
    <w:rsid w:val="00A53871"/>
    <w:rsid w:val="00A53EFD"/>
    <w:rsid w:val="00A565DC"/>
    <w:rsid w:val="00A56767"/>
    <w:rsid w:val="00A613D1"/>
    <w:rsid w:val="00A62CE2"/>
    <w:rsid w:val="00A63AA3"/>
    <w:rsid w:val="00A64478"/>
    <w:rsid w:val="00A64901"/>
    <w:rsid w:val="00A64F9F"/>
    <w:rsid w:val="00A71CF7"/>
    <w:rsid w:val="00A73E17"/>
    <w:rsid w:val="00A740E3"/>
    <w:rsid w:val="00A82B3B"/>
    <w:rsid w:val="00A84ED1"/>
    <w:rsid w:val="00A867E2"/>
    <w:rsid w:val="00A86B04"/>
    <w:rsid w:val="00A91896"/>
    <w:rsid w:val="00A918B0"/>
    <w:rsid w:val="00A92196"/>
    <w:rsid w:val="00A921B3"/>
    <w:rsid w:val="00A93F77"/>
    <w:rsid w:val="00A9534C"/>
    <w:rsid w:val="00A958A0"/>
    <w:rsid w:val="00A95C03"/>
    <w:rsid w:val="00A9655E"/>
    <w:rsid w:val="00AA0290"/>
    <w:rsid w:val="00AA1572"/>
    <w:rsid w:val="00AA7324"/>
    <w:rsid w:val="00AA76AD"/>
    <w:rsid w:val="00AB01E1"/>
    <w:rsid w:val="00AB02DD"/>
    <w:rsid w:val="00AB166F"/>
    <w:rsid w:val="00AB329E"/>
    <w:rsid w:val="00AB3B0D"/>
    <w:rsid w:val="00AB3D2C"/>
    <w:rsid w:val="00AB3E7C"/>
    <w:rsid w:val="00AB3FB4"/>
    <w:rsid w:val="00AB40FC"/>
    <w:rsid w:val="00AB4CF6"/>
    <w:rsid w:val="00AB55AF"/>
    <w:rsid w:val="00AB7DC6"/>
    <w:rsid w:val="00AB7EEC"/>
    <w:rsid w:val="00AC07EB"/>
    <w:rsid w:val="00AC0869"/>
    <w:rsid w:val="00AC1B34"/>
    <w:rsid w:val="00AC2A40"/>
    <w:rsid w:val="00AC3018"/>
    <w:rsid w:val="00AC450E"/>
    <w:rsid w:val="00AC4D68"/>
    <w:rsid w:val="00AC6110"/>
    <w:rsid w:val="00AC6447"/>
    <w:rsid w:val="00AC7294"/>
    <w:rsid w:val="00AD1352"/>
    <w:rsid w:val="00AD1A48"/>
    <w:rsid w:val="00AD1BDF"/>
    <w:rsid w:val="00AD244C"/>
    <w:rsid w:val="00AD2C77"/>
    <w:rsid w:val="00AD372A"/>
    <w:rsid w:val="00AD378D"/>
    <w:rsid w:val="00AD3E30"/>
    <w:rsid w:val="00AD4425"/>
    <w:rsid w:val="00AD5BA8"/>
    <w:rsid w:val="00AD748A"/>
    <w:rsid w:val="00AD7F72"/>
    <w:rsid w:val="00AE0B8D"/>
    <w:rsid w:val="00AE1C6E"/>
    <w:rsid w:val="00AE1E75"/>
    <w:rsid w:val="00AE33D1"/>
    <w:rsid w:val="00AE44B5"/>
    <w:rsid w:val="00AE4998"/>
    <w:rsid w:val="00AE5CF3"/>
    <w:rsid w:val="00AE5FE1"/>
    <w:rsid w:val="00AE7C36"/>
    <w:rsid w:val="00AF10DF"/>
    <w:rsid w:val="00AF3402"/>
    <w:rsid w:val="00AF3B45"/>
    <w:rsid w:val="00AF5147"/>
    <w:rsid w:val="00AF5F3A"/>
    <w:rsid w:val="00AF629B"/>
    <w:rsid w:val="00B0134B"/>
    <w:rsid w:val="00B02BA5"/>
    <w:rsid w:val="00B12E70"/>
    <w:rsid w:val="00B14A04"/>
    <w:rsid w:val="00B15983"/>
    <w:rsid w:val="00B15A39"/>
    <w:rsid w:val="00B20A02"/>
    <w:rsid w:val="00B223D8"/>
    <w:rsid w:val="00B22679"/>
    <w:rsid w:val="00B22EB1"/>
    <w:rsid w:val="00B22EDB"/>
    <w:rsid w:val="00B234BC"/>
    <w:rsid w:val="00B24723"/>
    <w:rsid w:val="00B25E4A"/>
    <w:rsid w:val="00B25F61"/>
    <w:rsid w:val="00B2711F"/>
    <w:rsid w:val="00B27803"/>
    <w:rsid w:val="00B314C2"/>
    <w:rsid w:val="00B3214D"/>
    <w:rsid w:val="00B32427"/>
    <w:rsid w:val="00B32E7A"/>
    <w:rsid w:val="00B32F3A"/>
    <w:rsid w:val="00B33B21"/>
    <w:rsid w:val="00B347E0"/>
    <w:rsid w:val="00B37DE7"/>
    <w:rsid w:val="00B41C63"/>
    <w:rsid w:val="00B423B6"/>
    <w:rsid w:val="00B44617"/>
    <w:rsid w:val="00B4560A"/>
    <w:rsid w:val="00B47608"/>
    <w:rsid w:val="00B47A2C"/>
    <w:rsid w:val="00B47FF2"/>
    <w:rsid w:val="00B524AD"/>
    <w:rsid w:val="00B5291E"/>
    <w:rsid w:val="00B52F5A"/>
    <w:rsid w:val="00B53188"/>
    <w:rsid w:val="00B533AF"/>
    <w:rsid w:val="00B53C4A"/>
    <w:rsid w:val="00B611ED"/>
    <w:rsid w:val="00B6137A"/>
    <w:rsid w:val="00B630C9"/>
    <w:rsid w:val="00B63C1D"/>
    <w:rsid w:val="00B65B5A"/>
    <w:rsid w:val="00B65DBD"/>
    <w:rsid w:val="00B6735A"/>
    <w:rsid w:val="00B70091"/>
    <w:rsid w:val="00B711B6"/>
    <w:rsid w:val="00B72229"/>
    <w:rsid w:val="00B73444"/>
    <w:rsid w:val="00B739EA"/>
    <w:rsid w:val="00B76E1B"/>
    <w:rsid w:val="00B833E8"/>
    <w:rsid w:val="00B833F9"/>
    <w:rsid w:val="00B83610"/>
    <w:rsid w:val="00B87B4F"/>
    <w:rsid w:val="00B934F2"/>
    <w:rsid w:val="00B93770"/>
    <w:rsid w:val="00B951EB"/>
    <w:rsid w:val="00B97204"/>
    <w:rsid w:val="00BA001A"/>
    <w:rsid w:val="00BA2F7F"/>
    <w:rsid w:val="00BA6C55"/>
    <w:rsid w:val="00BB4AE2"/>
    <w:rsid w:val="00BB4BB4"/>
    <w:rsid w:val="00BB562E"/>
    <w:rsid w:val="00BB7C26"/>
    <w:rsid w:val="00BC207D"/>
    <w:rsid w:val="00BC7012"/>
    <w:rsid w:val="00BC7A20"/>
    <w:rsid w:val="00BC7F46"/>
    <w:rsid w:val="00BD1D71"/>
    <w:rsid w:val="00BD2490"/>
    <w:rsid w:val="00BD2804"/>
    <w:rsid w:val="00BD3FCD"/>
    <w:rsid w:val="00BD42D0"/>
    <w:rsid w:val="00BD6F0A"/>
    <w:rsid w:val="00BD7CFE"/>
    <w:rsid w:val="00BD7F71"/>
    <w:rsid w:val="00BE0FAE"/>
    <w:rsid w:val="00BE1265"/>
    <w:rsid w:val="00BE35D0"/>
    <w:rsid w:val="00BE4093"/>
    <w:rsid w:val="00BE4349"/>
    <w:rsid w:val="00BE6FD2"/>
    <w:rsid w:val="00BF1890"/>
    <w:rsid w:val="00BF2885"/>
    <w:rsid w:val="00BF2E58"/>
    <w:rsid w:val="00BF5C85"/>
    <w:rsid w:val="00BF60D7"/>
    <w:rsid w:val="00C01C84"/>
    <w:rsid w:val="00C01F4B"/>
    <w:rsid w:val="00C0353E"/>
    <w:rsid w:val="00C045D3"/>
    <w:rsid w:val="00C04772"/>
    <w:rsid w:val="00C12596"/>
    <w:rsid w:val="00C12B2A"/>
    <w:rsid w:val="00C143C4"/>
    <w:rsid w:val="00C15518"/>
    <w:rsid w:val="00C1622E"/>
    <w:rsid w:val="00C21625"/>
    <w:rsid w:val="00C2373A"/>
    <w:rsid w:val="00C24F7C"/>
    <w:rsid w:val="00C265FB"/>
    <w:rsid w:val="00C26D17"/>
    <w:rsid w:val="00C27747"/>
    <w:rsid w:val="00C36682"/>
    <w:rsid w:val="00C42088"/>
    <w:rsid w:val="00C43365"/>
    <w:rsid w:val="00C438C8"/>
    <w:rsid w:val="00C447A5"/>
    <w:rsid w:val="00C4604C"/>
    <w:rsid w:val="00C4765B"/>
    <w:rsid w:val="00C47CF8"/>
    <w:rsid w:val="00C47EE3"/>
    <w:rsid w:val="00C51581"/>
    <w:rsid w:val="00C52280"/>
    <w:rsid w:val="00C52698"/>
    <w:rsid w:val="00C546A9"/>
    <w:rsid w:val="00C567A4"/>
    <w:rsid w:val="00C62053"/>
    <w:rsid w:val="00C621E1"/>
    <w:rsid w:val="00C62BD8"/>
    <w:rsid w:val="00C6481B"/>
    <w:rsid w:val="00C65147"/>
    <w:rsid w:val="00C656B6"/>
    <w:rsid w:val="00C666E2"/>
    <w:rsid w:val="00C67D34"/>
    <w:rsid w:val="00C701BF"/>
    <w:rsid w:val="00C72F9F"/>
    <w:rsid w:val="00C73486"/>
    <w:rsid w:val="00C73563"/>
    <w:rsid w:val="00C74DF7"/>
    <w:rsid w:val="00C77651"/>
    <w:rsid w:val="00C80D47"/>
    <w:rsid w:val="00C81FED"/>
    <w:rsid w:val="00C874B9"/>
    <w:rsid w:val="00C87658"/>
    <w:rsid w:val="00C90EB8"/>
    <w:rsid w:val="00C91471"/>
    <w:rsid w:val="00C917BA"/>
    <w:rsid w:val="00C931E4"/>
    <w:rsid w:val="00C93922"/>
    <w:rsid w:val="00C9480C"/>
    <w:rsid w:val="00C9605C"/>
    <w:rsid w:val="00C970BA"/>
    <w:rsid w:val="00C972AE"/>
    <w:rsid w:val="00CA1AED"/>
    <w:rsid w:val="00CA553C"/>
    <w:rsid w:val="00CA7982"/>
    <w:rsid w:val="00CB0143"/>
    <w:rsid w:val="00CB12B1"/>
    <w:rsid w:val="00CB1667"/>
    <w:rsid w:val="00CB17E6"/>
    <w:rsid w:val="00CB211A"/>
    <w:rsid w:val="00CB2129"/>
    <w:rsid w:val="00CC0C92"/>
    <w:rsid w:val="00CC1516"/>
    <w:rsid w:val="00CC3B1B"/>
    <w:rsid w:val="00CC6817"/>
    <w:rsid w:val="00CC781D"/>
    <w:rsid w:val="00CC787B"/>
    <w:rsid w:val="00CD1BB4"/>
    <w:rsid w:val="00CD6660"/>
    <w:rsid w:val="00CD6AA4"/>
    <w:rsid w:val="00CD7CA5"/>
    <w:rsid w:val="00CE3F12"/>
    <w:rsid w:val="00CE6024"/>
    <w:rsid w:val="00CF31DC"/>
    <w:rsid w:val="00CF3212"/>
    <w:rsid w:val="00CF6465"/>
    <w:rsid w:val="00D01331"/>
    <w:rsid w:val="00D01DFD"/>
    <w:rsid w:val="00D059BF"/>
    <w:rsid w:val="00D05C8F"/>
    <w:rsid w:val="00D064DB"/>
    <w:rsid w:val="00D0676D"/>
    <w:rsid w:val="00D06952"/>
    <w:rsid w:val="00D06EC0"/>
    <w:rsid w:val="00D122F0"/>
    <w:rsid w:val="00D14C20"/>
    <w:rsid w:val="00D1567F"/>
    <w:rsid w:val="00D15C99"/>
    <w:rsid w:val="00D22C11"/>
    <w:rsid w:val="00D23513"/>
    <w:rsid w:val="00D23AFC"/>
    <w:rsid w:val="00D27A8C"/>
    <w:rsid w:val="00D31000"/>
    <w:rsid w:val="00D31A1F"/>
    <w:rsid w:val="00D33422"/>
    <w:rsid w:val="00D3347E"/>
    <w:rsid w:val="00D3397F"/>
    <w:rsid w:val="00D401D7"/>
    <w:rsid w:val="00D415A2"/>
    <w:rsid w:val="00D41694"/>
    <w:rsid w:val="00D4172E"/>
    <w:rsid w:val="00D44D42"/>
    <w:rsid w:val="00D46013"/>
    <w:rsid w:val="00D5195F"/>
    <w:rsid w:val="00D53F10"/>
    <w:rsid w:val="00D56DD4"/>
    <w:rsid w:val="00D5711A"/>
    <w:rsid w:val="00D57B98"/>
    <w:rsid w:val="00D62724"/>
    <w:rsid w:val="00D62CF5"/>
    <w:rsid w:val="00D66556"/>
    <w:rsid w:val="00D710B3"/>
    <w:rsid w:val="00D715A0"/>
    <w:rsid w:val="00D72442"/>
    <w:rsid w:val="00D733F8"/>
    <w:rsid w:val="00D74C78"/>
    <w:rsid w:val="00D7672E"/>
    <w:rsid w:val="00D779D8"/>
    <w:rsid w:val="00D80B0A"/>
    <w:rsid w:val="00D8121A"/>
    <w:rsid w:val="00D81369"/>
    <w:rsid w:val="00D86CE5"/>
    <w:rsid w:val="00D92BA1"/>
    <w:rsid w:val="00D95900"/>
    <w:rsid w:val="00D9770E"/>
    <w:rsid w:val="00DA0231"/>
    <w:rsid w:val="00DA0BD2"/>
    <w:rsid w:val="00DA3411"/>
    <w:rsid w:val="00DA3B81"/>
    <w:rsid w:val="00DA4A84"/>
    <w:rsid w:val="00DA51D1"/>
    <w:rsid w:val="00DB3E10"/>
    <w:rsid w:val="00DB3E19"/>
    <w:rsid w:val="00DB41D8"/>
    <w:rsid w:val="00DB5DCD"/>
    <w:rsid w:val="00DB69C9"/>
    <w:rsid w:val="00DC1866"/>
    <w:rsid w:val="00DC7358"/>
    <w:rsid w:val="00DC7A23"/>
    <w:rsid w:val="00DD0CCE"/>
    <w:rsid w:val="00DD1666"/>
    <w:rsid w:val="00DD3009"/>
    <w:rsid w:val="00DD370C"/>
    <w:rsid w:val="00DE159F"/>
    <w:rsid w:val="00DE749D"/>
    <w:rsid w:val="00DE7B54"/>
    <w:rsid w:val="00DF028B"/>
    <w:rsid w:val="00DF16C5"/>
    <w:rsid w:val="00DF3D07"/>
    <w:rsid w:val="00DF437A"/>
    <w:rsid w:val="00DF6D01"/>
    <w:rsid w:val="00E016C1"/>
    <w:rsid w:val="00E02EAA"/>
    <w:rsid w:val="00E03D8B"/>
    <w:rsid w:val="00E0414B"/>
    <w:rsid w:val="00E04308"/>
    <w:rsid w:val="00E05546"/>
    <w:rsid w:val="00E05C7D"/>
    <w:rsid w:val="00E06340"/>
    <w:rsid w:val="00E10DA0"/>
    <w:rsid w:val="00E12742"/>
    <w:rsid w:val="00E14ADE"/>
    <w:rsid w:val="00E157AE"/>
    <w:rsid w:val="00E219BD"/>
    <w:rsid w:val="00E226C8"/>
    <w:rsid w:val="00E23161"/>
    <w:rsid w:val="00E232BD"/>
    <w:rsid w:val="00E23CBF"/>
    <w:rsid w:val="00E24AB1"/>
    <w:rsid w:val="00E25A10"/>
    <w:rsid w:val="00E2643F"/>
    <w:rsid w:val="00E30645"/>
    <w:rsid w:val="00E37098"/>
    <w:rsid w:val="00E37C03"/>
    <w:rsid w:val="00E403E2"/>
    <w:rsid w:val="00E40D36"/>
    <w:rsid w:val="00E42224"/>
    <w:rsid w:val="00E42967"/>
    <w:rsid w:val="00E42CF4"/>
    <w:rsid w:val="00E43644"/>
    <w:rsid w:val="00E454D5"/>
    <w:rsid w:val="00E547F0"/>
    <w:rsid w:val="00E54C25"/>
    <w:rsid w:val="00E55419"/>
    <w:rsid w:val="00E5546C"/>
    <w:rsid w:val="00E6107F"/>
    <w:rsid w:val="00E61E14"/>
    <w:rsid w:val="00E62314"/>
    <w:rsid w:val="00E64FC1"/>
    <w:rsid w:val="00E65716"/>
    <w:rsid w:val="00E67AF8"/>
    <w:rsid w:val="00E72026"/>
    <w:rsid w:val="00E76342"/>
    <w:rsid w:val="00E764D4"/>
    <w:rsid w:val="00E775D4"/>
    <w:rsid w:val="00E77A90"/>
    <w:rsid w:val="00E8083B"/>
    <w:rsid w:val="00E812F5"/>
    <w:rsid w:val="00E81DAF"/>
    <w:rsid w:val="00E83670"/>
    <w:rsid w:val="00E85F9F"/>
    <w:rsid w:val="00E86611"/>
    <w:rsid w:val="00E86874"/>
    <w:rsid w:val="00E87E7B"/>
    <w:rsid w:val="00E90C52"/>
    <w:rsid w:val="00E923AD"/>
    <w:rsid w:val="00E92CF0"/>
    <w:rsid w:val="00E93E7A"/>
    <w:rsid w:val="00E95653"/>
    <w:rsid w:val="00E9585A"/>
    <w:rsid w:val="00E97D77"/>
    <w:rsid w:val="00EA31CC"/>
    <w:rsid w:val="00EA32DA"/>
    <w:rsid w:val="00EA56EA"/>
    <w:rsid w:val="00EA7824"/>
    <w:rsid w:val="00EB1EE7"/>
    <w:rsid w:val="00EB1FB3"/>
    <w:rsid w:val="00EB549D"/>
    <w:rsid w:val="00EB7C6E"/>
    <w:rsid w:val="00EC010F"/>
    <w:rsid w:val="00EC0FA1"/>
    <w:rsid w:val="00EC3E3C"/>
    <w:rsid w:val="00EC48A3"/>
    <w:rsid w:val="00EC60FB"/>
    <w:rsid w:val="00EC67CE"/>
    <w:rsid w:val="00EC6ADE"/>
    <w:rsid w:val="00ED0362"/>
    <w:rsid w:val="00ED0BD9"/>
    <w:rsid w:val="00ED19FE"/>
    <w:rsid w:val="00ED1F57"/>
    <w:rsid w:val="00ED5CC3"/>
    <w:rsid w:val="00ED6FFD"/>
    <w:rsid w:val="00ED763F"/>
    <w:rsid w:val="00EE0618"/>
    <w:rsid w:val="00EE46F7"/>
    <w:rsid w:val="00EE5C9A"/>
    <w:rsid w:val="00EE6234"/>
    <w:rsid w:val="00EF22E9"/>
    <w:rsid w:val="00EF4218"/>
    <w:rsid w:val="00EF469F"/>
    <w:rsid w:val="00EF61D3"/>
    <w:rsid w:val="00EF6F70"/>
    <w:rsid w:val="00EF7B2D"/>
    <w:rsid w:val="00F006FA"/>
    <w:rsid w:val="00F01044"/>
    <w:rsid w:val="00F01BC9"/>
    <w:rsid w:val="00F0230A"/>
    <w:rsid w:val="00F03AAA"/>
    <w:rsid w:val="00F03D40"/>
    <w:rsid w:val="00F06460"/>
    <w:rsid w:val="00F07EF6"/>
    <w:rsid w:val="00F149CC"/>
    <w:rsid w:val="00F14B4E"/>
    <w:rsid w:val="00F16369"/>
    <w:rsid w:val="00F168C8"/>
    <w:rsid w:val="00F1705E"/>
    <w:rsid w:val="00F17942"/>
    <w:rsid w:val="00F22D53"/>
    <w:rsid w:val="00F24D44"/>
    <w:rsid w:val="00F26698"/>
    <w:rsid w:val="00F30063"/>
    <w:rsid w:val="00F30991"/>
    <w:rsid w:val="00F30B16"/>
    <w:rsid w:val="00F31350"/>
    <w:rsid w:val="00F36AF2"/>
    <w:rsid w:val="00F42FDA"/>
    <w:rsid w:val="00F43BF8"/>
    <w:rsid w:val="00F44443"/>
    <w:rsid w:val="00F47BAF"/>
    <w:rsid w:val="00F511B9"/>
    <w:rsid w:val="00F53F21"/>
    <w:rsid w:val="00F55C27"/>
    <w:rsid w:val="00F61FD2"/>
    <w:rsid w:val="00F62CF8"/>
    <w:rsid w:val="00F64B95"/>
    <w:rsid w:val="00F64FB4"/>
    <w:rsid w:val="00F65BFA"/>
    <w:rsid w:val="00F665A1"/>
    <w:rsid w:val="00F6736E"/>
    <w:rsid w:val="00F70B8B"/>
    <w:rsid w:val="00F71054"/>
    <w:rsid w:val="00F73DC7"/>
    <w:rsid w:val="00F74615"/>
    <w:rsid w:val="00F74632"/>
    <w:rsid w:val="00F774EE"/>
    <w:rsid w:val="00F8101F"/>
    <w:rsid w:val="00F83C60"/>
    <w:rsid w:val="00F83CD3"/>
    <w:rsid w:val="00F912AA"/>
    <w:rsid w:val="00F92628"/>
    <w:rsid w:val="00F93101"/>
    <w:rsid w:val="00F938FF"/>
    <w:rsid w:val="00F9728F"/>
    <w:rsid w:val="00F97357"/>
    <w:rsid w:val="00FA35C9"/>
    <w:rsid w:val="00FA450C"/>
    <w:rsid w:val="00FA608D"/>
    <w:rsid w:val="00FA697E"/>
    <w:rsid w:val="00FA7D2E"/>
    <w:rsid w:val="00FB273D"/>
    <w:rsid w:val="00FC0584"/>
    <w:rsid w:val="00FC0C54"/>
    <w:rsid w:val="00FC1637"/>
    <w:rsid w:val="00FC1CE8"/>
    <w:rsid w:val="00FC200C"/>
    <w:rsid w:val="00FC34D5"/>
    <w:rsid w:val="00FC495F"/>
    <w:rsid w:val="00FC687A"/>
    <w:rsid w:val="00FC7F8D"/>
    <w:rsid w:val="00FD0F79"/>
    <w:rsid w:val="00FD3992"/>
    <w:rsid w:val="00FD42F3"/>
    <w:rsid w:val="00FD4406"/>
    <w:rsid w:val="00FD48C5"/>
    <w:rsid w:val="00FD48CF"/>
    <w:rsid w:val="00FD792D"/>
    <w:rsid w:val="00FE03DC"/>
    <w:rsid w:val="00FE0BA6"/>
    <w:rsid w:val="00FE4E47"/>
    <w:rsid w:val="00FE7E6C"/>
    <w:rsid w:val="00FF0D71"/>
    <w:rsid w:val="00FF2793"/>
    <w:rsid w:val="00FF2B0B"/>
    <w:rsid w:val="00FF3ED2"/>
    <w:rsid w:val="00FF48E2"/>
    <w:rsid w:val="00FF544A"/>
    <w:rsid w:val="00FF58DA"/>
    <w:rsid w:val="00FF61DC"/>
    <w:rsid w:val="00FF6D2B"/>
    <w:rsid w:val="00FF7BCE"/>
  </w:rsids>
  <m:mathPr>
    <m:mathFont m:val="Cambria Math"/>
    <m:brkBin m:val="before"/>
    <m:brkBinSub m:val="--"/>
    <m:smallFrac/>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9E81"/>
  <w15:chartTrackingRefBased/>
  <w15:docId w15:val="{D1E17155-EC52-3A4C-9363-10C2B7CC8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4F2"/>
  </w:style>
  <w:style w:type="paragraph" w:styleId="Heading1">
    <w:name w:val="heading 1"/>
    <w:basedOn w:val="Normal"/>
    <w:next w:val="Normal"/>
    <w:link w:val="Heading1Char"/>
    <w:uiPriority w:val="9"/>
    <w:qFormat/>
    <w:rsid w:val="008504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04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04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04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04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04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04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04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04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4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04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04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04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04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04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04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04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04E2"/>
    <w:rPr>
      <w:rFonts w:eastAsiaTheme="majorEastAsia" w:cstheme="majorBidi"/>
      <w:color w:val="272727" w:themeColor="text1" w:themeTint="D8"/>
    </w:rPr>
  </w:style>
  <w:style w:type="paragraph" w:styleId="Title">
    <w:name w:val="Title"/>
    <w:basedOn w:val="Normal"/>
    <w:next w:val="Normal"/>
    <w:link w:val="TitleChar"/>
    <w:uiPriority w:val="10"/>
    <w:qFormat/>
    <w:rsid w:val="008504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4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4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04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04E2"/>
    <w:pPr>
      <w:spacing w:before="160"/>
      <w:jc w:val="center"/>
    </w:pPr>
    <w:rPr>
      <w:i/>
      <w:iCs/>
      <w:color w:val="404040" w:themeColor="text1" w:themeTint="BF"/>
    </w:rPr>
  </w:style>
  <w:style w:type="character" w:customStyle="1" w:styleId="QuoteChar">
    <w:name w:val="Quote Char"/>
    <w:basedOn w:val="DefaultParagraphFont"/>
    <w:link w:val="Quote"/>
    <w:uiPriority w:val="29"/>
    <w:rsid w:val="008504E2"/>
    <w:rPr>
      <w:i/>
      <w:iCs/>
      <w:color w:val="404040" w:themeColor="text1" w:themeTint="BF"/>
    </w:rPr>
  </w:style>
  <w:style w:type="paragraph" w:styleId="ListParagraph">
    <w:name w:val="List Paragraph"/>
    <w:basedOn w:val="Normal"/>
    <w:uiPriority w:val="34"/>
    <w:qFormat/>
    <w:rsid w:val="008504E2"/>
    <w:pPr>
      <w:ind w:left="720"/>
      <w:contextualSpacing/>
    </w:pPr>
  </w:style>
  <w:style w:type="character" w:styleId="IntenseEmphasis">
    <w:name w:val="Intense Emphasis"/>
    <w:basedOn w:val="DefaultParagraphFont"/>
    <w:uiPriority w:val="21"/>
    <w:qFormat/>
    <w:rsid w:val="008504E2"/>
    <w:rPr>
      <w:i/>
      <w:iCs/>
      <w:color w:val="0F4761" w:themeColor="accent1" w:themeShade="BF"/>
    </w:rPr>
  </w:style>
  <w:style w:type="paragraph" w:styleId="IntenseQuote">
    <w:name w:val="Intense Quote"/>
    <w:basedOn w:val="Normal"/>
    <w:next w:val="Normal"/>
    <w:link w:val="IntenseQuoteChar"/>
    <w:uiPriority w:val="30"/>
    <w:qFormat/>
    <w:rsid w:val="008504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04E2"/>
    <w:rPr>
      <w:i/>
      <w:iCs/>
      <w:color w:val="0F4761" w:themeColor="accent1" w:themeShade="BF"/>
    </w:rPr>
  </w:style>
  <w:style w:type="character" w:styleId="IntenseReference">
    <w:name w:val="Intense Reference"/>
    <w:basedOn w:val="DefaultParagraphFont"/>
    <w:uiPriority w:val="32"/>
    <w:qFormat/>
    <w:rsid w:val="008504E2"/>
    <w:rPr>
      <w:b/>
      <w:bCs/>
      <w:smallCaps/>
      <w:color w:val="0F4761" w:themeColor="accent1" w:themeShade="BF"/>
      <w:spacing w:val="5"/>
    </w:rPr>
  </w:style>
  <w:style w:type="paragraph" w:styleId="NormalWeb">
    <w:name w:val="Normal (Web)"/>
    <w:basedOn w:val="Normal"/>
    <w:uiPriority w:val="99"/>
    <w:unhideWhenUsed/>
    <w:rsid w:val="00CE602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53FFF"/>
    <w:rPr>
      <w:b/>
      <w:bCs/>
    </w:rPr>
  </w:style>
  <w:style w:type="paragraph" w:styleId="Bibliography">
    <w:name w:val="Bibliography"/>
    <w:basedOn w:val="Normal"/>
    <w:next w:val="Normal"/>
    <w:uiPriority w:val="37"/>
    <w:unhideWhenUsed/>
    <w:rsid w:val="00D95900"/>
    <w:pPr>
      <w:spacing w:after="0" w:line="240" w:lineRule="auto"/>
      <w:ind w:left="384" w:hanging="384"/>
    </w:pPr>
  </w:style>
  <w:style w:type="character" w:styleId="Emphasis">
    <w:name w:val="Emphasis"/>
    <w:basedOn w:val="DefaultParagraphFont"/>
    <w:uiPriority w:val="20"/>
    <w:qFormat/>
    <w:rsid w:val="00392B05"/>
    <w:rPr>
      <w:i/>
      <w:iCs/>
    </w:rPr>
  </w:style>
  <w:style w:type="paragraph" w:styleId="Header">
    <w:name w:val="header"/>
    <w:basedOn w:val="Normal"/>
    <w:link w:val="HeaderChar"/>
    <w:uiPriority w:val="99"/>
    <w:unhideWhenUsed/>
    <w:rsid w:val="00FC2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00C"/>
  </w:style>
  <w:style w:type="paragraph" w:styleId="Footer">
    <w:name w:val="footer"/>
    <w:basedOn w:val="Normal"/>
    <w:link w:val="FooterChar"/>
    <w:uiPriority w:val="99"/>
    <w:unhideWhenUsed/>
    <w:rsid w:val="00FC2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00C"/>
  </w:style>
  <w:style w:type="paragraph" w:styleId="FootnoteText">
    <w:name w:val="footnote text"/>
    <w:basedOn w:val="Normal"/>
    <w:link w:val="FootnoteTextChar"/>
    <w:uiPriority w:val="99"/>
    <w:unhideWhenUsed/>
    <w:rsid w:val="004F1238"/>
    <w:pPr>
      <w:spacing w:after="0" w:line="240" w:lineRule="auto"/>
    </w:pPr>
    <w:rPr>
      <w:sz w:val="20"/>
      <w:szCs w:val="20"/>
    </w:rPr>
  </w:style>
  <w:style w:type="character" w:customStyle="1" w:styleId="FootnoteTextChar">
    <w:name w:val="Footnote Text Char"/>
    <w:basedOn w:val="DefaultParagraphFont"/>
    <w:link w:val="FootnoteText"/>
    <w:uiPriority w:val="99"/>
    <w:rsid w:val="004F1238"/>
    <w:rPr>
      <w:sz w:val="20"/>
      <w:szCs w:val="20"/>
    </w:rPr>
  </w:style>
  <w:style w:type="character" w:styleId="FootnoteReference">
    <w:name w:val="footnote reference"/>
    <w:basedOn w:val="DefaultParagraphFont"/>
    <w:uiPriority w:val="99"/>
    <w:semiHidden/>
    <w:unhideWhenUsed/>
    <w:rsid w:val="004F1238"/>
    <w:rPr>
      <w:vertAlign w:val="superscript"/>
    </w:rPr>
  </w:style>
  <w:style w:type="table" w:styleId="TableGrid">
    <w:name w:val="Table Grid"/>
    <w:aliases w:val="My Table"/>
    <w:basedOn w:val="TableNormal"/>
    <w:uiPriority w:val="39"/>
    <w:rsid w:val="0008798B"/>
    <w:pPr>
      <w:spacing w:after="0" w:line="240" w:lineRule="auto"/>
      <w:jc w:val="center"/>
    </w:pPr>
    <w:rPr>
      <w:rFonts w:ascii="Times New Roman" w:hAnsi="Times New Roman"/>
      <w:sz w:val="20"/>
    </w:rPr>
    <w:tblPr>
      <w:tblBorders>
        <w:top w:val="single" w:sz="4" w:space="0" w:color="auto"/>
        <w:bottom w:val="single" w:sz="4" w:space="0" w:color="auto"/>
      </w:tblBorders>
    </w:tblPr>
    <w:tcPr>
      <w:vAlign w:val="center"/>
    </w:tcPr>
  </w:style>
  <w:style w:type="table" w:styleId="TableGridLight">
    <w:name w:val="Grid Table Light"/>
    <w:basedOn w:val="TableNormal"/>
    <w:uiPriority w:val="40"/>
    <w:rsid w:val="006B70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B70A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B70A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B70A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B70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B70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B70A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6B70A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B70A7"/>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6B70A7"/>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B70A7"/>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ListTable3">
    <w:name w:val="List Table 3"/>
    <w:basedOn w:val="TableNormal"/>
    <w:uiPriority w:val="48"/>
    <w:rsid w:val="006B70A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Accent6">
    <w:name w:val="List Table 2 Accent 6"/>
    <w:basedOn w:val="TableNormal"/>
    <w:uiPriority w:val="47"/>
    <w:rsid w:val="006B70A7"/>
    <w:pPr>
      <w:spacing w:after="0" w:line="240" w:lineRule="auto"/>
    </w:pPr>
    <w:tblPr>
      <w:tblStyleRowBandSize w:val="1"/>
      <w:tblStyleColBandSize w:val="1"/>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2-Accent5">
    <w:name w:val="List Table 2 Accent 5"/>
    <w:basedOn w:val="TableNormal"/>
    <w:uiPriority w:val="47"/>
    <w:rsid w:val="006B70A7"/>
    <w:pPr>
      <w:spacing w:after="0" w:line="240" w:lineRule="auto"/>
    </w:pPr>
    <w:tblPr>
      <w:tblStyleRowBandSize w:val="1"/>
      <w:tblStyleColBandSize w:val="1"/>
      <w:tblBorders>
        <w:top w:val="single" w:sz="4" w:space="0" w:color="D86DCB" w:themeColor="accent5" w:themeTint="99"/>
        <w:bottom w:val="single" w:sz="4" w:space="0" w:color="D86DCB" w:themeColor="accent5" w:themeTint="99"/>
        <w:insideH w:val="single" w:sz="4" w:space="0" w:color="D86DC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stTable3-Accent1">
    <w:name w:val="List Table 3 Accent 1"/>
    <w:basedOn w:val="TableNormal"/>
    <w:uiPriority w:val="48"/>
    <w:rsid w:val="006B70A7"/>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Accent2">
    <w:name w:val="List Table 4 Accent 2"/>
    <w:basedOn w:val="TableNormal"/>
    <w:uiPriority w:val="49"/>
    <w:rsid w:val="006B70A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4-Accent6">
    <w:name w:val="List Table 4 Accent 6"/>
    <w:basedOn w:val="TableNormal"/>
    <w:uiPriority w:val="49"/>
    <w:rsid w:val="006B70A7"/>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4-Accent4">
    <w:name w:val="List Table 4 Accent 4"/>
    <w:basedOn w:val="TableNormal"/>
    <w:uiPriority w:val="49"/>
    <w:rsid w:val="006B70A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6">
    <w:name w:val="List Table 3 Accent 6"/>
    <w:basedOn w:val="TableNormal"/>
    <w:uiPriority w:val="48"/>
    <w:rsid w:val="006B70A7"/>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stTable2">
    <w:name w:val="List Table 2"/>
    <w:basedOn w:val="TableNormal"/>
    <w:uiPriority w:val="47"/>
    <w:rsid w:val="006B70A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571BB"/>
    <w:rPr>
      <w:color w:val="666666"/>
    </w:rPr>
  </w:style>
  <w:style w:type="paragraph" w:styleId="Date">
    <w:name w:val="Date"/>
    <w:basedOn w:val="Normal"/>
    <w:next w:val="Normal"/>
    <w:link w:val="DateChar"/>
    <w:uiPriority w:val="99"/>
    <w:semiHidden/>
    <w:unhideWhenUsed/>
    <w:rsid w:val="00AD5BA8"/>
    <w:pPr>
      <w:spacing w:after="0" w:line="240" w:lineRule="auto"/>
    </w:pPr>
    <w:rPr>
      <w:rFonts w:ascii="Times New Roman" w:eastAsia="Times New Roman" w:hAnsi="Times New Roman" w:cs="Times New Roman"/>
      <w:kern w:val="0"/>
      <w14:ligatures w14:val="none"/>
    </w:rPr>
  </w:style>
  <w:style w:type="character" w:customStyle="1" w:styleId="DateChar">
    <w:name w:val="Date Char"/>
    <w:basedOn w:val="DefaultParagraphFont"/>
    <w:link w:val="Date"/>
    <w:uiPriority w:val="99"/>
    <w:semiHidden/>
    <w:rsid w:val="00AD5BA8"/>
    <w:rPr>
      <w:rFonts w:ascii="Times New Roman" w:eastAsia="Times New Roman" w:hAnsi="Times New Roman" w:cs="Times New Roman"/>
      <w:kern w:val="0"/>
      <w14:ligatures w14:val="none"/>
    </w:rPr>
  </w:style>
  <w:style w:type="paragraph" w:customStyle="1" w:styleId="p1">
    <w:name w:val="p1"/>
    <w:basedOn w:val="Normal"/>
    <w:rsid w:val="008E07D7"/>
    <w:pPr>
      <w:spacing w:after="0" w:line="240" w:lineRule="auto"/>
    </w:pPr>
    <w:rPr>
      <w:rFonts w:ascii="Helvetica" w:eastAsia="Times New Roman" w:hAnsi="Helvetica" w:cs="Times New Roman"/>
      <w:color w:val="000000"/>
      <w:kern w:val="0"/>
      <w:sz w:val="15"/>
      <w:szCs w:val="15"/>
      <w:lang w:eastAsia="en-GB"/>
      <w14:ligatures w14:val="none"/>
    </w:rPr>
  </w:style>
  <w:style w:type="paragraph" w:styleId="Revision">
    <w:name w:val="Revision"/>
    <w:hidden/>
    <w:uiPriority w:val="99"/>
    <w:semiHidden/>
    <w:rsid w:val="00FC495F"/>
    <w:pPr>
      <w:spacing w:after="0" w:line="240" w:lineRule="auto"/>
    </w:pPr>
  </w:style>
  <w:style w:type="numbering" w:customStyle="1" w:styleId="CurrentList1">
    <w:name w:val="Current List1"/>
    <w:uiPriority w:val="99"/>
    <w:rsid w:val="0091436E"/>
    <w:pPr>
      <w:numPr>
        <w:numId w:val="21"/>
      </w:numPr>
    </w:pPr>
  </w:style>
  <w:style w:type="numbering" w:customStyle="1" w:styleId="CurrentList2">
    <w:name w:val="Current List2"/>
    <w:uiPriority w:val="99"/>
    <w:rsid w:val="00EA56EA"/>
    <w:pPr>
      <w:numPr>
        <w:numId w:val="23"/>
      </w:numPr>
    </w:pPr>
  </w:style>
  <w:style w:type="numbering" w:customStyle="1" w:styleId="CurrentList3">
    <w:name w:val="Current List3"/>
    <w:uiPriority w:val="99"/>
    <w:rsid w:val="008E738B"/>
    <w:pPr>
      <w:numPr>
        <w:numId w:val="25"/>
      </w:numPr>
    </w:pPr>
  </w:style>
  <w:style w:type="character" w:styleId="HTMLCode">
    <w:name w:val="HTML Code"/>
    <w:basedOn w:val="DefaultParagraphFont"/>
    <w:uiPriority w:val="99"/>
    <w:semiHidden/>
    <w:unhideWhenUsed/>
    <w:rsid w:val="00702EAC"/>
    <w:rPr>
      <w:rFonts w:ascii="Courier New" w:eastAsia="Times New Roman" w:hAnsi="Courier New" w:cs="Courier New"/>
      <w:sz w:val="20"/>
      <w:szCs w:val="20"/>
    </w:rPr>
  </w:style>
  <w:style w:type="character" w:styleId="Hyperlink">
    <w:name w:val="Hyperlink"/>
    <w:basedOn w:val="DefaultParagraphFont"/>
    <w:uiPriority w:val="99"/>
    <w:unhideWhenUsed/>
    <w:rsid w:val="008A64C9"/>
    <w:rPr>
      <w:color w:val="467886" w:themeColor="hyperlink"/>
      <w:u w:val="single"/>
    </w:rPr>
  </w:style>
  <w:style w:type="character" w:styleId="UnresolvedMention">
    <w:name w:val="Unresolved Mention"/>
    <w:basedOn w:val="DefaultParagraphFont"/>
    <w:uiPriority w:val="99"/>
    <w:semiHidden/>
    <w:unhideWhenUsed/>
    <w:rsid w:val="008A64C9"/>
    <w:rPr>
      <w:color w:val="605E5C"/>
      <w:shd w:val="clear" w:color="auto" w:fill="E1DFDD"/>
    </w:rPr>
  </w:style>
  <w:style w:type="character" w:styleId="FollowedHyperlink">
    <w:name w:val="FollowedHyperlink"/>
    <w:basedOn w:val="DefaultParagraphFont"/>
    <w:uiPriority w:val="99"/>
    <w:semiHidden/>
    <w:unhideWhenUsed/>
    <w:rsid w:val="008A64C9"/>
    <w:rPr>
      <w:color w:val="96607D" w:themeColor="followedHyperlink"/>
      <w:u w:val="single"/>
    </w:rPr>
  </w:style>
  <w:style w:type="character" w:styleId="CommentReference">
    <w:name w:val="annotation reference"/>
    <w:basedOn w:val="DefaultParagraphFont"/>
    <w:uiPriority w:val="99"/>
    <w:semiHidden/>
    <w:unhideWhenUsed/>
    <w:rsid w:val="00691CD0"/>
    <w:rPr>
      <w:sz w:val="16"/>
      <w:szCs w:val="16"/>
    </w:rPr>
  </w:style>
  <w:style w:type="paragraph" w:styleId="CommentText">
    <w:name w:val="annotation text"/>
    <w:basedOn w:val="Normal"/>
    <w:link w:val="CommentTextChar"/>
    <w:uiPriority w:val="99"/>
    <w:semiHidden/>
    <w:unhideWhenUsed/>
    <w:rsid w:val="00691CD0"/>
    <w:pPr>
      <w:spacing w:line="240" w:lineRule="auto"/>
    </w:pPr>
    <w:rPr>
      <w:sz w:val="20"/>
      <w:szCs w:val="20"/>
    </w:rPr>
  </w:style>
  <w:style w:type="character" w:customStyle="1" w:styleId="CommentTextChar">
    <w:name w:val="Comment Text Char"/>
    <w:basedOn w:val="DefaultParagraphFont"/>
    <w:link w:val="CommentText"/>
    <w:uiPriority w:val="99"/>
    <w:semiHidden/>
    <w:rsid w:val="00691CD0"/>
    <w:rPr>
      <w:sz w:val="20"/>
      <w:szCs w:val="20"/>
    </w:rPr>
  </w:style>
  <w:style w:type="paragraph" w:styleId="CommentSubject">
    <w:name w:val="annotation subject"/>
    <w:basedOn w:val="CommentText"/>
    <w:next w:val="CommentText"/>
    <w:link w:val="CommentSubjectChar"/>
    <w:uiPriority w:val="99"/>
    <w:semiHidden/>
    <w:unhideWhenUsed/>
    <w:rsid w:val="00691CD0"/>
    <w:rPr>
      <w:b/>
      <w:bCs/>
    </w:rPr>
  </w:style>
  <w:style w:type="character" w:customStyle="1" w:styleId="CommentSubjectChar">
    <w:name w:val="Comment Subject Char"/>
    <w:basedOn w:val="CommentTextChar"/>
    <w:link w:val="CommentSubject"/>
    <w:uiPriority w:val="99"/>
    <w:semiHidden/>
    <w:rsid w:val="00691CD0"/>
    <w:rPr>
      <w:b/>
      <w:bCs/>
      <w:sz w:val="20"/>
      <w:szCs w:val="20"/>
    </w:rPr>
  </w:style>
  <w:style w:type="numbering" w:customStyle="1" w:styleId="CurrentList4">
    <w:name w:val="Current List4"/>
    <w:uiPriority w:val="99"/>
    <w:rsid w:val="001C59C1"/>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419089">
      <w:bodyDiv w:val="1"/>
      <w:marLeft w:val="0"/>
      <w:marRight w:val="0"/>
      <w:marTop w:val="0"/>
      <w:marBottom w:val="0"/>
      <w:divBdr>
        <w:top w:val="none" w:sz="0" w:space="0" w:color="auto"/>
        <w:left w:val="none" w:sz="0" w:space="0" w:color="auto"/>
        <w:bottom w:val="none" w:sz="0" w:space="0" w:color="auto"/>
        <w:right w:val="none" w:sz="0" w:space="0" w:color="auto"/>
      </w:divBdr>
    </w:div>
    <w:div w:id="414284718">
      <w:bodyDiv w:val="1"/>
      <w:marLeft w:val="0"/>
      <w:marRight w:val="0"/>
      <w:marTop w:val="0"/>
      <w:marBottom w:val="0"/>
      <w:divBdr>
        <w:top w:val="none" w:sz="0" w:space="0" w:color="auto"/>
        <w:left w:val="none" w:sz="0" w:space="0" w:color="auto"/>
        <w:bottom w:val="none" w:sz="0" w:space="0" w:color="auto"/>
        <w:right w:val="none" w:sz="0" w:space="0" w:color="auto"/>
      </w:divBdr>
    </w:div>
    <w:div w:id="414939699">
      <w:bodyDiv w:val="1"/>
      <w:marLeft w:val="0"/>
      <w:marRight w:val="0"/>
      <w:marTop w:val="0"/>
      <w:marBottom w:val="0"/>
      <w:divBdr>
        <w:top w:val="none" w:sz="0" w:space="0" w:color="auto"/>
        <w:left w:val="none" w:sz="0" w:space="0" w:color="auto"/>
        <w:bottom w:val="none" w:sz="0" w:space="0" w:color="auto"/>
        <w:right w:val="none" w:sz="0" w:space="0" w:color="auto"/>
      </w:divBdr>
    </w:div>
    <w:div w:id="451870962">
      <w:bodyDiv w:val="1"/>
      <w:marLeft w:val="0"/>
      <w:marRight w:val="0"/>
      <w:marTop w:val="0"/>
      <w:marBottom w:val="0"/>
      <w:divBdr>
        <w:top w:val="none" w:sz="0" w:space="0" w:color="auto"/>
        <w:left w:val="none" w:sz="0" w:space="0" w:color="auto"/>
        <w:bottom w:val="none" w:sz="0" w:space="0" w:color="auto"/>
        <w:right w:val="none" w:sz="0" w:space="0" w:color="auto"/>
      </w:divBdr>
    </w:div>
    <w:div w:id="461577336">
      <w:bodyDiv w:val="1"/>
      <w:marLeft w:val="0"/>
      <w:marRight w:val="0"/>
      <w:marTop w:val="0"/>
      <w:marBottom w:val="0"/>
      <w:divBdr>
        <w:top w:val="none" w:sz="0" w:space="0" w:color="auto"/>
        <w:left w:val="none" w:sz="0" w:space="0" w:color="auto"/>
        <w:bottom w:val="none" w:sz="0" w:space="0" w:color="auto"/>
        <w:right w:val="none" w:sz="0" w:space="0" w:color="auto"/>
      </w:divBdr>
    </w:div>
    <w:div w:id="478154150">
      <w:bodyDiv w:val="1"/>
      <w:marLeft w:val="0"/>
      <w:marRight w:val="0"/>
      <w:marTop w:val="0"/>
      <w:marBottom w:val="0"/>
      <w:divBdr>
        <w:top w:val="none" w:sz="0" w:space="0" w:color="auto"/>
        <w:left w:val="none" w:sz="0" w:space="0" w:color="auto"/>
        <w:bottom w:val="none" w:sz="0" w:space="0" w:color="auto"/>
        <w:right w:val="none" w:sz="0" w:space="0" w:color="auto"/>
      </w:divBdr>
    </w:div>
    <w:div w:id="489444608">
      <w:bodyDiv w:val="1"/>
      <w:marLeft w:val="0"/>
      <w:marRight w:val="0"/>
      <w:marTop w:val="0"/>
      <w:marBottom w:val="0"/>
      <w:divBdr>
        <w:top w:val="none" w:sz="0" w:space="0" w:color="auto"/>
        <w:left w:val="none" w:sz="0" w:space="0" w:color="auto"/>
        <w:bottom w:val="none" w:sz="0" w:space="0" w:color="auto"/>
        <w:right w:val="none" w:sz="0" w:space="0" w:color="auto"/>
      </w:divBdr>
    </w:div>
    <w:div w:id="521939835">
      <w:bodyDiv w:val="1"/>
      <w:marLeft w:val="0"/>
      <w:marRight w:val="0"/>
      <w:marTop w:val="0"/>
      <w:marBottom w:val="0"/>
      <w:divBdr>
        <w:top w:val="none" w:sz="0" w:space="0" w:color="auto"/>
        <w:left w:val="none" w:sz="0" w:space="0" w:color="auto"/>
        <w:bottom w:val="none" w:sz="0" w:space="0" w:color="auto"/>
        <w:right w:val="none" w:sz="0" w:space="0" w:color="auto"/>
      </w:divBdr>
    </w:div>
    <w:div w:id="537401280">
      <w:bodyDiv w:val="1"/>
      <w:marLeft w:val="0"/>
      <w:marRight w:val="0"/>
      <w:marTop w:val="0"/>
      <w:marBottom w:val="0"/>
      <w:divBdr>
        <w:top w:val="none" w:sz="0" w:space="0" w:color="auto"/>
        <w:left w:val="none" w:sz="0" w:space="0" w:color="auto"/>
        <w:bottom w:val="none" w:sz="0" w:space="0" w:color="auto"/>
        <w:right w:val="none" w:sz="0" w:space="0" w:color="auto"/>
      </w:divBdr>
    </w:div>
    <w:div w:id="702287174">
      <w:bodyDiv w:val="1"/>
      <w:marLeft w:val="0"/>
      <w:marRight w:val="0"/>
      <w:marTop w:val="0"/>
      <w:marBottom w:val="0"/>
      <w:divBdr>
        <w:top w:val="none" w:sz="0" w:space="0" w:color="auto"/>
        <w:left w:val="none" w:sz="0" w:space="0" w:color="auto"/>
        <w:bottom w:val="none" w:sz="0" w:space="0" w:color="auto"/>
        <w:right w:val="none" w:sz="0" w:space="0" w:color="auto"/>
      </w:divBdr>
    </w:div>
    <w:div w:id="729809720">
      <w:bodyDiv w:val="1"/>
      <w:marLeft w:val="0"/>
      <w:marRight w:val="0"/>
      <w:marTop w:val="0"/>
      <w:marBottom w:val="0"/>
      <w:divBdr>
        <w:top w:val="none" w:sz="0" w:space="0" w:color="auto"/>
        <w:left w:val="none" w:sz="0" w:space="0" w:color="auto"/>
        <w:bottom w:val="none" w:sz="0" w:space="0" w:color="auto"/>
        <w:right w:val="none" w:sz="0" w:space="0" w:color="auto"/>
      </w:divBdr>
    </w:div>
    <w:div w:id="766123551">
      <w:bodyDiv w:val="1"/>
      <w:marLeft w:val="0"/>
      <w:marRight w:val="0"/>
      <w:marTop w:val="0"/>
      <w:marBottom w:val="0"/>
      <w:divBdr>
        <w:top w:val="none" w:sz="0" w:space="0" w:color="auto"/>
        <w:left w:val="none" w:sz="0" w:space="0" w:color="auto"/>
        <w:bottom w:val="none" w:sz="0" w:space="0" w:color="auto"/>
        <w:right w:val="none" w:sz="0" w:space="0" w:color="auto"/>
      </w:divBdr>
    </w:div>
    <w:div w:id="934824336">
      <w:bodyDiv w:val="1"/>
      <w:marLeft w:val="0"/>
      <w:marRight w:val="0"/>
      <w:marTop w:val="0"/>
      <w:marBottom w:val="0"/>
      <w:divBdr>
        <w:top w:val="none" w:sz="0" w:space="0" w:color="auto"/>
        <w:left w:val="none" w:sz="0" w:space="0" w:color="auto"/>
        <w:bottom w:val="none" w:sz="0" w:space="0" w:color="auto"/>
        <w:right w:val="none" w:sz="0" w:space="0" w:color="auto"/>
      </w:divBdr>
    </w:div>
    <w:div w:id="1013142532">
      <w:bodyDiv w:val="1"/>
      <w:marLeft w:val="0"/>
      <w:marRight w:val="0"/>
      <w:marTop w:val="0"/>
      <w:marBottom w:val="0"/>
      <w:divBdr>
        <w:top w:val="none" w:sz="0" w:space="0" w:color="auto"/>
        <w:left w:val="none" w:sz="0" w:space="0" w:color="auto"/>
        <w:bottom w:val="none" w:sz="0" w:space="0" w:color="auto"/>
        <w:right w:val="none" w:sz="0" w:space="0" w:color="auto"/>
      </w:divBdr>
    </w:div>
    <w:div w:id="1063988471">
      <w:bodyDiv w:val="1"/>
      <w:marLeft w:val="0"/>
      <w:marRight w:val="0"/>
      <w:marTop w:val="0"/>
      <w:marBottom w:val="0"/>
      <w:divBdr>
        <w:top w:val="none" w:sz="0" w:space="0" w:color="auto"/>
        <w:left w:val="none" w:sz="0" w:space="0" w:color="auto"/>
        <w:bottom w:val="none" w:sz="0" w:space="0" w:color="auto"/>
        <w:right w:val="none" w:sz="0" w:space="0" w:color="auto"/>
      </w:divBdr>
    </w:div>
    <w:div w:id="1094285525">
      <w:bodyDiv w:val="1"/>
      <w:marLeft w:val="0"/>
      <w:marRight w:val="0"/>
      <w:marTop w:val="0"/>
      <w:marBottom w:val="0"/>
      <w:divBdr>
        <w:top w:val="none" w:sz="0" w:space="0" w:color="auto"/>
        <w:left w:val="none" w:sz="0" w:space="0" w:color="auto"/>
        <w:bottom w:val="none" w:sz="0" w:space="0" w:color="auto"/>
        <w:right w:val="none" w:sz="0" w:space="0" w:color="auto"/>
      </w:divBdr>
    </w:div>
    <w:div w:id="1148589296">
      <w:bodyDiv w:val="1"/>
      <w:marLeft w:val="0"/>
      <w:marRight w:val="0"/>
      <w:marTop w:val="0"/>
      <w:marBottom w:val="0"/>
      <w:divBdr>
        <w:top w:val="none" w:sz="0" w:space="0" w:color="auto"/>
        <w:left w:val="none" w:sz="0" w:space="0" w:color="auto"/>
        <w:bottom w:val="none" w:sz="0" w:space="0" w:color="auto"/>
        <w:right w:val="none" w:sz="0" w:space="0" w:color="auto"/>
      </w:divBdr>
    </w:div>
    <w:div w:id="1272739409">
      <w:bodyDiv w:val="1"/>
      <w:marLeft w:val="0"/>
      <w:marRight w:val="0"/>
      <w:marTop w:val="0"/>
      <w:marBottom w:val="0"/>
      <w:divBdr>
        <w:top w:val="none" w:sz="0" w:space="0" w:color="auto"/>
        <w:left w:val="none" w:sz="0" w:space="0" w:color="auto"/>
        <w:bottom w:val="none" w:sz="0" w:space="0" w:color="auto"/>
        <w:right w:val="none" w:sz="0" w:space="0" w:color="auto"/>
      </w:divBdr>
    </w:div>
    <w:div w:id="1615794622">
      <w:bodyDiv w:val="1"/>
      <w:marLeft w:val="0"/>
      <w:marRight w:val="0"/>
      <w:marTop w:val="0"/>
      <w:marBottom w:val="0"/>
      <w:divBdr>
        <w:top w:val="none" w:sz="0" w:space="0" w:color="auto"/>
        <w:left w:val="none" w:sz="0" w:space="0" w:color="auto"/>
        <w:bottom w:val="none" w:sz="0" w:space="0" w:color="auto"/>
        <w:right w:val="none" w:sz="0" w:space="0" w:color="auto"/>
      </w:divBdr>
    </w:div>
    <w:div w:id="1680112926">
      <w:bodyDiv w:val="1"/>
      <w:marLeft w:val="0"/>
      <w:marRight w:val="0"/>
      <w:marTop w:val="0"/>
      <w:marBottom w:val="0"/>
      <w:divBdr>
        <w:top w:val="none" w:sz="0" w:space="0" w:color="auto"/>
        <w:left w:val="none" w:sz="0" w:space="0" w:color="auto"/>
        <w:bottom w:val="none" w:sz="0" w:space="0" w:color="auto"/>
        <w:right w:val="none" w:sz="0" w:space="0" w:color="auto"/>
      </w:divBdr>
    </w:div>
    <w:div w:id="1764915504">
      <w:bodyDiv w:val="1"/>
      <w:marLeft w:val="0"/>
      <w:marRight w:val="0"/>
      <w:marTop w:val="0"/>
      <w:marBottom w:val="0"/>
      <w:divBdr>
        <w:top w:val="none" w:sz="0" w:space="0" w:color="auto"/>
        <w:left w:val="none" w:sz="0" w:space="0" w:color="auto"/>
        <w:bottom w:val="none" w:sz="0" w:space="0" w:color="auto"/>
        <w:right w:val="none" w:sz="0" w:space="0" w:color="auto"/>
      </w:divBdr>
    </w:div>
    <w:div w:id="1904412483">
      <w:bodyDiv w:val="1"/>
      <w:marLeft w:val="0"/>
      <w:marRight w:val="0"/>
      <w:marTop w:val="0"/>
      <w:marBottom w:val="0"/>
      <w:divBdr>
        <w:top w:val="none" w:sz="0" w:space="0" w:color="auto"/>
        <w:left w:val="none" w:sz="0" w:space="0" w:color="auto"/>
        <w:bottom w:val="none" w:sz="0" w:space="0" w:color="auto"/>
        <w:right w:val="none" w:sz="0" w:space="0" w:color="auto"/>
      </w:divBdr>
    </w:div>
    <w:div w:id="1918635612">
      <w:bodyDiv w:val="1"/>
      <w:marLeft w:val="0"/>
      <w:marRight w:val="0"/>
      <w:marTop w:val="0"/>
      <w:marBottom w:val="0"/>
      <w:divBdr>
        <w:top w:val="none" w:sz="0" w:space="0" w:color="auto"/>
        <w:left w:val="none" w:sz="0" w:space="0" w:color="auto"/>
        <w:bottom w:val="none" w:sz="0" w:space="0" w:color="auto"/>
        <w:right w:val="none" w:sz="0" w:space="0" w:color="auto"/>
      </w:divBdr>
    </w:div>
    <w:div w:id="2058433376">
      <w:bodyDiv w:val="1"/>
      <w:marLeft w:val="0"/>
      <w:marRight w:val="0"/>
      <w:marTop w:val="0"/>
      <w:marBottom w:val="0"/>
      <w:divBdr>
        <w:top w:val="none" w:sz="0" w:space="0" w:color="auto"/>
        <w:left w:val="none" w:sz="0" w:space="0" w:color="auto"/>
        <w:bottom w:val="none" w:sz="0" w:space="0" w:color="auto"/>
        <w:right w:val="none" w:sz="0" w:space="0" w:color="auto"/>
      </w:divBdr>
    </w:div>
    <w:div w:id="214364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who.int/teams/global-hiv-hepatitis-and-stis-programmes/stis/strategic-information"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s>
</file>

<file path=word/_rels/footnotes.xml.rels><?xml version="1.0" encoding="UTF-8" standalone="yes"?>
<Relationships xmlns="http://schemas.openxmlformats.org/package/2006/relationships"><Relationship Id="rId2" Type="http://schemas.openxmlformats.org/officeDocument/2006/relationships/hyperlink" Target="https://github.com/killingbear999/doxypep_syphilis" TargetMode="External"/><Relationship Id="rId1" Type="http://schemas.openxmlformats.org/officeDocument/2006/relationships/hyperlink" Target="mailto:juetao.lim@ntu.edu.s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62488-A288-1448-B709-1C8576E7E00C}">
  <ds:schemaRefs>
    <ds:schemaRef ds:uri="http://schemas.openxmlformats.org/officeDocument/2006/bibliography"/>
  </ds:schemaRefs>
</ds:datastoreItem>
</file>

<file path=docMetadata/LabelInfo.xml><?xml version="1.0" encoding="utf-8"?>
<clbl:labelList xmlns:clbl="http://schemas.microsoft.com/office/2020/mipLabelMetadata">
  <clbl:label id="{15ce9348-be2a-462b-8fc0-e1765a9b204a}" enabled="0" method="" siteId="{15ce9348-be2a-462b-8fc0-e1765a9b204a}" removed="1"/>
</clbl:labelList>
</file>

<file path=docProps/app.xml><?xml version="1.0" encoding="utf-8"?>
<Properties xmlns="http://schemas.openxmlformats.org/officeDocument/2006/extended-properties" xmlns:vt="http://schemas.openxmlformats.org/officeDocument/2006/docPropsVTypes">
  <Template>Normal.dotm</Template>
  <TotalTime>232</TotalTime>
  <Pages>19</Pages>
  <Words>20953</Words>
  <Characters>119434</Characters>
  <Application>Microsoft Office Word</Application>
  <DocSecurity>0</DocSecurity>
  <Lines>995</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ZIHAO#</dc:creator>
  <cp:keywords/>
  <dc:description/>
  <cp:lastModifiedBy>#WANG ZIHAO#</cp:lastModifiedBy>
  <cp:revision>53</cp:revision>
  <cp:lastPrinted>2025-06-26T18:39:00Z</cp:lastPrinted>
  <dcterms:created xsi:type="dcterms:W3CDTF">2025-06-29T15:35:00Z</dcterms:created>
  <dcterms:modified xsi:type="dcterms:W3CDTF">2025-06-30T18:05:00Z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zotero-version="7.0.17"&gt;&lt;session id="Bw2yBoMe"/&gt;&lt;style id="http://www.zotero.org/styles/ieee" locale="en-US" hasBibliography="1" bibliographyStyleHasBeenSet="1"/&gt;&lt;prefs&gt;&lt;pref name="fieldType" value="Field"/&gt;&lt;pref name="dontAskDelayC</vt:lpwstr>
  </property>
  <property fmtid="{D5CDD505-2E9C-101B-9397-08002B2CF9AE}" pid="3" name="ZOTERO_PREF_2">
    <vt:lpwstr>itationUpdates" value="true"/&gt;&lt;/prefs&gt;&lt;/data&gt;</vt:lpwstr>
  </property>
</Properties>
</file>