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ächste-schritte"/>
    <w:p>
      <w:pPr>
        <w:pStyle w:val="Heading1"/>
      </w:pPr>
      <w:r>
        <w:t xml:space="preserve">Nächste Schritte</w:t>
      </w:r>
    </w:p>
    <w:p>
      <w:pPr>
        <w:pStyle w:val="FirstParagraph"/>
      </w:pPr>
      <w:r>
        <w:rPr>
          <w:b/>
          <w:bCs/>
        </w:rPr>
        <w:t xml:space="preserve">Zweck:</w:t>
      </w:r>
      <w:r>
        <w:t xml:space="preserve"> </w:t>
      </w:r>
      <w:r>
        <w:t xml:space="preserve">Operative Restarbeiten für den Test-Parallelbetrieb und den späteren produktiven Cutover</w:t>
      </w:r>
    </w:p>
    <w:p>
      <w:pPr>
        <w:pStyle w:val="BodyText"/>
      </w:pPr>
      <w:r>
        <w:rPr>
          <w:b/>
          <w:bCs/>
        </w:rPr>
        <w:t xml:space="preserve">Bezug:</w:t>
      </w:r>
      <w:r>
        <w:t xml:space="preserve"> </w:t>
      </w:r>
      <w:hyperlink r:id="rId9">
        <w:r>
          <w:rPr>
            <w:rStyle w:val="Hyperlink"/>
          </w:rPr>
          <w:t xml:space="preserve">Zielbild</w:t>
        </w:r>
      </w:hyperlink>
    </w:p>
    <w:p>
      <w:pPr>
        <w:pStyle w:val="BodyText"/>
      </w:pPr>
      <w:r>
        <w:rPr>
          <w:b/>
          <w:bCs/>
        </w:rPr>
        <w:t xml:space="preserve">Bedienung nach Aktivierung:</w:t>
      </w:r>
      <w:r>
        <w:t xml:space="preserve"> </w:t>
      </w:r>
      <w:hyperlink r:id="rId10">
        <w:r>
          <w:rPr>
            <w:rStyle w:val="Hyperlink"/>
          </w:rPr>
          <w:t xml:space="preserve">Benutzeranleitung</w:t>
        </w:r>
      </w:hyperlink>
    </w:p>
    <w:p>
      <w:pPr>
        <w:pStyle w:val="BodyText"/>
      </w:pPr>
      <w:r>
        <w:rPr>
          <w:b/>
          <w:bCs/>
        </w:rPr>
        <w:t xml:space="preserve">Ablauf:</w:t>
      </w:r>
      <w:r>
        <w:t xml:space="preserve"> </w:t>
      </w:r>
      <w:hyperlink r:id="rId11">
        <w:r>
          <w:rPr>
            <w:rStyle w:val="Hyperlink"/>
          </w:rPr>
          <w:t xml:space="preserve">Soll-Architektur Ablaufdiagramm</w:t>
        </w:r>
      </w:hyperlink>
    </w:p>
    <w:p>
      <w:pPr>
        <w:pStyle w:val="BodyText"/>
      </w:pPr>
      <w:r>
        <w:t xml:space="preserve">Diese Seite enthält nur noch Tätigkeiten, die nach dem lokalen</w:t>
      </w:r>
      <w:r>
        <w:t xml:space="preserve"> </w:t>
      </w:r>
      <w:r>
        <w:t xml:space="preserve">Implementierungsstand manuell oder durch konkrete Konfiguration auszuführen</w:t>
      </w:r>
      <w:r>
        <w:t xml:space="preserve"> </w:t>
      </w:r>
      <w:r>
        <w:t xml:space="preserve">sind. Architekturbegründungen stehen im Zielbild. Noch unbekannte Werte werden</w:t>
      </w:r>
      <w:r>
        <w:t xml:space="preserve"> </w:t>
      </w:r>
      <w:r>
        <w:t xml:space="preserve">offen ausgewiesen und vor dem jeweiligen Integrationslauf geklärt.</w:t>
      </w:r>
    </w:p>
    <w:bookmarkStart w:id="12" w:name="X9bd4537786c0ef9817f719f065faef24d33e3da"/>
    <w:p>
      <w:pPr>
        <w:pStyle w:val="Heading2"/>
      </w:pPr>
      <w:r>
        <w:t xml:space="preserve">1. GitHub-Repositories erstmals einrichten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Tätigkeit</w:t>
            </w:r>
          </w:p>
        </w:tc>
        <w:tc>
          <w:tcPr/>
          <w:p>
            <w:pPr>
              <w:pStyle w:val="Compact"/>
            </w:pPr>
            <w:r>
              <w:t xml:space="preserve">Ort</w:t>
            </w:r>
          </w:p>
        </w:tc>
        <w:tc>
          <w:tcPr/>
          <w:p>
            <w:pPr>
              <w:pStyle w:val="Compact"/>
            </w:pPr>
            <w:r>
              <w:t xml:space="preserve">Konkreter Wert beziehungsweise Ergebnis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Zentrales Repository privat anlegen beziehungsweise lokalen Stand übernehmen</w:t>
            </w:r>
          </w:p>
        </w:tc>
        <w:tc>
          <w:tcPr/>
          <w:p>
            <w:pPr>
              <w:pStyle w:val="Compact"/>
            </w:pPr>
            <w:r>
              <w:t xml:space="preserve">GitHub Enterprise:</w:t>
            </w:r>
            <w:r>
              <w:t xml:space="preserve"> </w:t>
            </w:r>
            <w:r>
              <w:rPr>
                <w:rStyle w:val="VerbatimChar"/>
              </w:rPr>
              <w:t xml:space="preserve">j520730/mtext-actions</w:t>
            </w:r>
          </w:p>
        </w:tc>
        <w:tc>
          <w:tcPr/>
          <w:p>
            <w:pPr>
              <w:pStyle w:val="Compact"/>
            </w:pPr>
            <w:r>
              <w:t xml:space="preserve">Nur das zentrale Automatisierungsteam erhält direkten Lese- oder Schreibzugriff; Standardbranch und Freigabeprozess festlegen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Privates FI-Repository anlegen beziehungsweise lokalen Stand übernehmen</w:t>
            </w:r>
          </w:p>
        </w:tc>
        <w:tc>
          <w:tcPr/>
          <w:p>
            <w:pPr>
              <w:pStyle w:val="Compact"/>
            </w:pPr>
            <w:r>
              <w:t xml:space="preserve">GitHub Enterprise:</w:t>
            </w:r>
            <w:r>
              <w:t xml:space="preserve"> </w:t>
            </w:r>
            <w:r>
              <w:rPr>
                <w:rStyle w:val="VerbatimChar"/>
              </w:rPr>
              <w:t xml:space="preserve">j517120/mtext-fi</w:t>
            </w:r>
          </w:p>
        </w:tc>
        <w:tc>
          <w:tcPr/>
          <w:p>
            <w:pPr>
              <w:pStyle w:val="Compact"/>
            </w:pPr>
            <w:r>
              <w:t xml:space="preserve">Ressourcen,</w:t>
            </w:r>
            <w:r>
              <w:t xml:space="preserve"> </w:t>
            </w:r>
            <w:r>
              <w:rPr>
                <w:rStyle w:val="VerbatimChar"/>
              </w:rPr>
              <w:t xml:space="preserve">config/mandant.json</w:t>
            </w:r>
            <w:r>
              <w:t xml:space="preserve"> </w:t>
            </w:r>
            <w:r>
              <w:t xml:space="preserve">und dünne Workflows übernehmen; private Sichtbarkeit als Voraussetzung für den Aufruf des privaten zentralen Workflows bestätigen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Aktive Stufenbranches anlegen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j517120/mtext-fi</w:t>
            </w:r>
          </w:p>
        </w:tc>
        <w:tc>
          <w:tcPr/>
          <w:p>
            <w:pPr>
              <w:pStyle w:val="Compact"/>
            </w:pPr>
            <w:r>
              <w:t xml:space="preserve">Je</w:t>
            </w:r>
            <w:r>
              <w:t xml:space="preserve"> </w:t>
            </w:r>
            <w:r>
              <w:rPr>
                <w:rStyle w:val="VerbatimChar"/>
              </w:rPr>
              <w:t xml:space="preserve">R260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R261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R270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Entwicklung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Abnahme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Bereitstellung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Aktuellen Default Branch setzen</w:t>
            </w:r>
          </w:p>
        </w:tc>
        <w:tc>
          <w:tcPr/>
          <w:p>
            <w:pPr>
              <w:pStyle w:val="Compact"/>
            </w:pPr>
            <w:r>
              <w:t xml:space="preserve">Repository Settings → Default branch</w:t>
            </w:r>
          </w:p>
        </w:tc>
        <w:tc>
          <w:tcPr/>
          <w:p>
            <w:pPr>
              <w:pStyle w:val="Compact"/>
            </w:pPr>
            <w:r>
              <w:t xml:space="preserve">Zunächst</w:t>
            </w:r>
            <w:r>
              <w:t xml:space="preserve"> </w:t>
            </w:r>
            <w:r>
              <w:rPr>
                <w:rStyle w:val="VerbatimChar"/>
              </w:rPr>
              <w:t xml:space="preserve">R261/Entwicklung</w:t>
            </w:r>
            <w:r>
              <w:t xml:space="preserve">; beim rollierenden Linienwechsel manuell umstellen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Zentrale Workflowversion pinnen</w:t>
            </w:r>
          </w:p>
        </w:tc>
        <w:tc>
          <w:tcPr/>
          <w:p>
            <w:pPr>
              <w:pStyle w:val="Compact"/>
            </w:pPr>
            <w:r>
              <w:t xml:space="preserve">Alle Dateien unter</w:t>
            </w:r>
            <w:r>
              <w:t xml:space="preserve"> </w:t>
            </w:r>
            <w:r>
              <w:rPr>
                <w:rStyle w:val="VerbatimChar"/>
              </w:rPr>
              <w:t xml:space="preserve">mtext-fi/.github/workflows/</w:t>
            </w:r>
            <w:r>
              <w:t xml:space="preserve"> </w:t>
            </w:r>
            <w:r>
              <w:t xml:space="preserve">in jeder aktiven Linie</w:t>
            </w:r>
          </w:p>
        </w:tc>
        <w:tc>
          <w:tcPr/>
          <w:p>
            <w:pPr>
              <w:pStyle w:val="Compact"/>
            </w:pPr>
            <w:r>
              <w:t xml:space="preserve">Null-SHA durch denselben freigegebenen 40-stelligen Commit-SHA aus</w:t>
            </w:r>
            <w:r>
              <w:t xml:space="preserve"> </w:t>
            </w:r>
            <w:r>
              <w:rPr>
                <w:rStyle w:val="VerbatimChar"/>
              </w:rPr>
              <w:t xml:space="preserve">mtext-actions</w:t>
            </w:r>
            <w:r>
              <w:t xml:space="preserve"> </w:t>
            </w:r>
            <w:r>
              <w:t xml:space="preserve">ersetzen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Repositoryübergreifenden Actions-Zugriff aktivieren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j520730/mtext-actions</w:t>
            </w:r>
            <w:r>
              <w:t xml:space="preserve"> </w:t>
            </w:r>
            <w:r>
              <w:t xml:space="preserve">→ Settings → Actions → General → Access</w:t>
            </w:r>
          </w:p>
        </w:tc>
        <w:tc>
          <w:tcPr/>
          <w:p>
            <w:pPr>
              <w:pStyle w:val="Compact"/>
            </w:pPr>
            <w:r>
              <w:t xml:space="preserve">Ausschließlich den vorgesehenen Mandanten-Repositories die Ausführung der wiederverwendbaren Workflows erlauben; Text-Entwickler der Mandanten nicht als Repositorymitglieder aufnehmen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Zentralen Code-Checkout praktisch prüfen</w:t>
            </w:r>
          </w:p>
        </w:tc>
        <w:tc>
          <w:tcPr/>
          <w:p>
            <w:pPr>
              <w:pStyle w:val="Compact"/>
            </w:pPr>
            <w:r>
              <w:t xml:space="preserve">Nichtproduktiver Config-, Sync- oder Release-Lauf</w:t>
            </w:r>
          </w:p>
        </w:tc>
        <w:tc>
          <w:tcPr/>
          <w:p>
            <w:pPr>
              <w:pStyle w:val="Compact"/>
            </w:pPr>
            <w:r>
              <w:t xml:space="preserve">Prüfen, ob die Enterprise-Freigabe den Checkout über beide Namespaces ermöglicht; falls ein Installation-Token erforderlich ist, den Workflowvertrag vor Aktivierung um dessen sichere Übergabe erweitern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Mandantensichtbare Logs prüfen</w:t>
            </w:r>
          </w:p>
        </w:tc>
        <w:tc>
          <w:tcPr/>
          <w:p>
            <w:pPr>
              <w:pStyle w:val="Compact"/>
            </w:pPr>
            <w:r>
              <w:t xml:space="preserve">Nichtproduktive Läufe in einem Mandanten-Repository</w:t>
            </w:r>
          </w:p>
        </w:tc>
        <w:tc>
          <w:tcPr/>
          <w:p>
            <w:pPr>
              <w:pStyle w:val="Compact"/>
            </w:pPr>
            <w:r>
              <w:t xml:space="preserve">Sicherstellen, dass Logs keine vertraulichen zentralen Implementierungsdetails, Tokens, Secrets oder internen Dateiinhalte offenlegen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Integrierten Git-Client der M/Text Workbench abnehmen</w:t>
            </w:r>
          </w:p>
        </w:tc>
        <w:tc>
          <w:tcPr/>
          <w:p>
            <w:pPr>
              <w:pStyle w:val="Compact"/>
            </w:pPr>
            <w:r>
              <w:t xml:space="preserve">Repräsentativer Arbeitsplatz und</w:t>
            </w:r>
            <w:r>
              <w:t xml:space="preserve"> </w:t>
            </w:r>
            <w:r>
              <w:rPr>
                <w:rStyle w:val="VerbatimChar"/>
              </w:rPr>
              <w:t xml:space="preserve">mtext-fi</w:t>
            </w:r>
          </w:p>
        </w:tc>
        <w:tc>
          <w:tcPr/>
          <w:p>
            <w:pPr>
              <w:pStyle w:val="Compact"/>
            </w:pPr>
            <w:r>
              <w:t xml:space="preserve">Authentifizierung, Branchwechsel, Commit und Push auf einen Entwicklungsbranch praktisch prüfen und verständlich dokumentieren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Zusätzlichen Git-Client für die Stufenweitergabe auswählen und bereitstellen</w:t>
            </w:r>
          </w:p>
        </w:tc>
        <w:tc>
          <w:tcPr/>
          <w:p>
            <w:pPr>
              <w:pStyle w:val="Compact"/>
            </w:pPr>
            <w:r>
              <w:t xml:space="preserve">Arbeitsplätze der berechtigten Text-Entwickler und Release-Verantwortlichen</w:t>
            </w:r>
          </w:p>
        </w:tc>
        <w:tc>
          <w:tcPr/>
          <w:p>
            <w:pPr>
              <w:pStyle w:val="Compact"/>
            </w:pPr>
            <w:r>
              <w:t xml:space="preserve">Produkt, Installation, Aktualisierung, Authentifizierung und Support festlegen; Cherry-Pick zwischen den Stufenbranches praktisch abnehmen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bestätigt</w:t>
            </w:r>
          </w:p>
        </w:tc>
        <w:tc>
          <w:tcPr/>
          <w:p>
            <w:pPr>
              <w:pStyle w:val="Compact"/>
            </w:pPr>
            <w:r>
              <w:t xml:space="preserve">GitHub-Plattform festhalten</w:t>
            </w:r>
          </w:p>
        </w:tc>
        <w:tc>
          <w:tcPr/>
          <w:p>
            <w:pPr>
              <w:pStyle w:val="Compact"/>
            </w:pPr>
            <w:r>
              <w:t xml:space="preserve">Betriebsdokumentation</w:t>
            </w:r>
          </w:p>
        </w:tc>
        <w:tc>
          <w:tcPr/>
          <w:p>
            <w:pPr>
              <w:pStyle w:val="Compact"/>
            </w:pPr>
            <w:r>
              <w:t xml:space="preserve">GitHub Enterprise Server 3.20.4</w:t>
            </w:r>
          </w:p>
        </w:tc>
      </w:tr>
    </w:tbl>
    <w:bookmarkEnd w:id="12"/>
    <w:bookmarkStart w:id="13" w:name="Xea7ae2bf0e6a3795cf711749914df0f9d154fc8"/>
    <w:p>
      <w:pPr>
        <w:pStyle w:val="Heading2"/>
      </w:pPr>
      <w:r>
        <w:t xml:space="preserve">2. Branch- und Environment-Regeln konfigurieren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Tätigkeit</w:t>
            </w:r>
          </w:p>
        </w:tc>
        <w:tc>
          <w:tcPr/>
          <w:p>
            <w:pPr>
              <w:pStyle w:val="Compact"/>
            </w:pPr>
            <w:r>
              <w:t xml:space="preserve">Ort</w:t>
            </w:r>
          </w:p>
        </w:tc>
        <w:tc>
          <w:tcPr/>
          <w:p>
            <w:pPr>
              <w:pStyle w:val="Compact"/>
            </w:pPr>
            <w:r>
              <w:t xml:space="preserve">Konkreter Wert beziehungsweise Ergebnis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Mandantenspezifische Verantwortliche benennen</w:t>
            </w:r>
          </w:p>
        </w:tc>
        <w:tc>
          <w:tcPr/>
          <w:p>
            <w:pPr>
              <w:pStyle w:val="Compact"/>
            </w:pPr>
            <w:r>
              <w:t xml:space="preserve">Je Mandanten-Repository</w:t>
            </w:r>
          </w:p>
        </w:tc>
        <w:tc>
          <w:tcPr/>
          <w:p>
            <w:pPr>
              <w:pStyle w:val="Compact"/>
            </w:pPr>
            <w:r>
              <w:t xml:space="preserve">Team für Ressourcenarbeit sowie kleines Release-Team für</w:t>
            </w:r>
            <w:r>
              <w:t xml:space="preserve"> </w:t>
            </w:r>
            <w:r>
              <w:rPr>
                <w:rStyle w:val="VerbatimChar"/>
              </w:rPr>
              <w:t xml:space="preserve">R*/Bereitstellung</w:t>
            </w:r>
            <w:r>
              <w:t xml:space="preserve"> </w:t>
            </w:r>
            <w:r>
              <w:t xml:space="preserve">und neue Release-Tags festlegen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Direkte Pushes auf Entwicklung und Abnahme zulassen</w:t>
            </w:r>
          </w:p>
        </w:tc>
        <w:tc>
          <w:tcPr/>
          <w:p>
            <w:pPr>
              <w:pStyle w:val="Compact"/>
            </w:pPr>
            <w:r>
              <w:t xml:space="preserve">Branchschutz für</w:t>
            </w:r>
            <w:r>
              <w:t xml:space="preserve"> </w:t>
            </w:r>
            <w:r>
              <w:rPr>
                <w:rStyle w:val="VerbatimChar"/>
              </w:rPr>
              <w:t xml:space="preserve">R*/Entwicklung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R*/Abnahme</w:t>
            </w:r>
          </w:p>
        </w:tc>
        <w:tc>
          <w:tcPr/>
          <w:p>
            <w:pPr>
              <w:pStyle w:val="Compact"/>
            </w:pPr>
            <w:r>
              <w:t xml:space="preserve">Kreis berechtigter Text-Entwickler je Mandant festlegen; Force-Pushes und Löschen verbieten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Pushes nach Bereitstellung begrenzen</w:t>
            </w:r>
          </w:p>
        </w:tc>
        <w:tc>
          <w:tcPr/>
          <w:p>
            <w:pPr>
              <w:pStyle w:val="Compact"/>
            </w:pPr>
            <w:r>
              <w:t xml:space="preserve">Branchschutz für</w:t>
            </w:r>
            <w:r>
              <w:t xml:space="preserve"> </w:t>
            </w:r>
            <w:r>
              <w:rPr>
                <w:rStyle w:val="VerbatimChar"/>
              </w:rPr>
              <w:t xml:space="preserve">R*/Bereitstellung</w:t>
            </w:r>
          </w:p>
        </w:tc>
        <w:tc>
          <w:tcPr/>
          <w:p>
            <w:pPr>
              <w:pStyle w:val="Compact"/>
            </w:pPr>
            <w:r>
              <w:t xml:space="preserve">Nur das benannte Release-Team darf direkt pushen; Force-Pushes und Löschen bleiben verboten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Zentrale Aufrufdateien im Mandanten-Repository schützen</w:t>
            </w:r>
          </w:p>
        </w:tc>
        <w:tc>
          <w:tcPr/>
          <w:p>
            <w:pPr>
              <w:pStyle w:val="Compact"/>
            </w:pPr>
            <w:r>
              <w:t xml:space="preserve">Push-Ruleset für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.github/workflows/**/*</w:t>
            </w:r>
          </w:p>
        </w:tc>
        <w:tc>
          <w:tcPr/>
          <w:p>
            <w:pPr>
              <w:pStyle w:val="Compact"/>
            </w:pPr>
            <w:r>
              <w:t xml:space="preserve">Änderungen durch Text-Entwickler des Mandanten auf allen Branches blockieren; Bypass nur für die zentralen Automatisierungsverantwortlichen vorsehen und auf GHES 3.20.4 praktisch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Mandantenkonfiguration gegen normale Ressourcen-Pushes schützen</w:t>
            </w:r>
          </w:p>
        </w:tc>
        <w:tc>
          <w:tcPr/>
          <w:p>
            <w:pPr>
              <w:pStyle w:val="Compact"/>
            </w:pPr>
            <w:r>
              <w:t xml:space="preserve">Push-Ruleset für</w:t>
            </w:r>
            <w:r>
              <w:t xml:space="preserve"> </w:t>
            </w:r>
            <w:r>
              <w:rPr>
                <w:rStyle w:val="VerbatimChar"/>
              </w:rPr>
              <w:t xml:space="preserve">config/mandant.json</w:t>
            </w:r>
          </w:p>
        </w:tc>
        <w:tc>
          <w:tcPr/>
          <w:p>
            <w:pPr>
              <w:pStyle w:val="Compact"/>
            </w:pPr>
            <w:r>
              <w:t xml:space="preserve">Änderungen nur dem ausdrücklich benannten technischen Verantwortlichenkreis erlauben; normale Workbench-Pushes dürfen die Datei nicht verändern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GitHub Environment anlegen</w:t>
            </w:r>
          </w:p>
        </w:tc>
        <w:tc>
          <w:tcPr/>
          <w:p>
            <w:pPr>
              <w:pStyle w:val="Compact"/>
            </w:pPr>
            <w:r>
              <w:t xml:space="preserve">Repository Settings → Environments</w:t>
            </w:r>
          </w:p>
        </w:tc>
        <w:tc>
          <w:tcPr/>
          <w:p>
            <w:pPr>
              <w:pStyle w:val="Compact"/>
            </w:pPr>
            <w:r>
              <w:t xml:space="preserve">Gemeinsame Environments</w:t>
            </w:r>
            <w:r>
              <w:t xml:space="preserve"> </w:t>
            </w:r>
            <w:r>
              <w:rPr>
                <w:rStyle w:val="VerbatimChar"/>
              </w:rPr>
              <w:t xml:space="preserve">Entwicklung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Abnahme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Bereitstellung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Environment-Regeln setzen</w:t>
            </w:r>
          </w:p>
        </w:tc>
        <w:tc>
          <w:tcPr/>
          <w:p>
            <w:pPr>
              <w:pStyle w:val="Compact"/>
            </w:pPr>
            <w:r>
              <w:t xml:space="preserve">Environments</w:t>
            </w:r>
          </w:p>
        </w:tc>
        <w:tc>
          <w:tcPr/>
          <w:p>
            <w:pPr>
              <w:pStyle w:val="Compact"/>
            </w:pPr>
            <w:r>
              <w:t xml:space="preserve">Keine zusätzliche Freigabe für Entwicklung und Abnahme; manuelle Freigabe vor Mainframe-Übergabe in</w:t>
            </w:r>
            <w:r>
              <w:t xml:space="preserve"> </w:t>
            </w:r>
            <w:r>
              <w:rPr>
                <w:rStyle w:val="VerbatimChar"/>
              </w:rPr>
              <w:t xml:space="preserve">Bereitstellung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Zulässige Deploymentbranches eintragen</w:t>
            </w:r>
          </w:p>
        </w:tc>
        <w:tc>
          <w:tcPr/>
          <w:p>
            <w:pPr>
              <w:pStyle w:val="Compact"/>
            </w:pPr>
            <w:r>
              <w:t xml:space="preserve">Environments</w:t>
            </w:r>
          </w:p>
        </w:tc>
        <w:tc>
          <w:tcPr/>
          <w:p>
            <w:pPr>
              <w:pStyle w:val="Compact"/>
            </w:pPr>
            <w:r>
              <w:t xml:space="preserve">Generische Muster</w:t>
            </w:r>
            <w:r>
              <w:t xml:space="preserve"> </w:t>
            </w:r>
            <w:r>
              <w:rPr>
                <w:rStyle w:val="VerbatimChar"/>
              </w:rPr>
              <w:t xml:space="preserve">R*/Entwicklung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R*/Abnahme</w:t>
            </w:r>
            <w:r>
              <w:t xml:space="preserve"> </w:t>
            </w:r>
            <w:r>
              <w:t xml:space="preserve">und für die Freigabe</w:t>
            </w:r>
            <w:r>
              <w:t xml:space="preserve"> </w:t>
            </w:r>
            <w:r>
              <w:rPr>
                <w:rStyle w:val="VerbatimChar"/>
              </w:rPr>
              <w:t xml:space="preserve">R*/Bereitstellung</w:t>
            </w:r>
            <w:r>
              <w:t xml:space="preserve"> </w:t>
            </w:r>
            <w:r>
              <w:t xml:space="preserve">verwenden; die aktive Linie wird zentral validiert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Erstellung von Release-Tags begrenzen</w:t>
            </w:r>
          </w:p>
        </w:tc>
        <w:tc>
          <w:tcPr/>
          <w:p>
            <w:pPr>
              <w:pStyle w:val="Compact"/>
            </w:pPr>
            <w:r>
              <w:t xml:space="preserve">Tag-Ruleset für</w:t>
            </w:r>
            <w:r>
              <w:t xml:space="preserve"> </w:t>
            </w:r>
            <w:r>
              <w:rPr>
                <w:rStyle w:val="VerbatimChar"/>
              </w:rPr>
              <w:t xml:space="preserve">R[0-9][0-9][0-9].[0-9][0-9][0-9]</w:t>
            </w:r>
          </w:p>
        </w:tc>
        <w:tc>
          <w:tcPr/>
          <w:p>
            <w:pPr>
              <w:pStyle w:val="Compact"/>
            </w:pPr>
            <w:r>
              <w:t xml:space="preserve">Nur das je Mandant benannte Release-Team darf neue passende Tags anlegen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Release-Tags unveränderlich schützen</w:t>
            </w:r>
          </w:p>
        </w:tc>
        <w:tc>
          <w:tcPr/>
          <w:p>
            <w:pPr>
              <w:pStyle w:val="Compact"/>
            </w:pPr>
            <w:r>
              <w:t xml:space="preserve">Separates Tag-Ruleset für dasselbe Muster</w:t>
            </w:r>
          </w:p>
        </w:tc>
        <w:tc>
          <w:tcPr/>
          <w:p>
            <w:pPr>
              <w:pStyle w:val="Compact"/>
            </w:pPr>
            <w:r>
              <w:t xml:space="preserve">Updates, Force-Pushes und Löschungen ohne regulären Bypass verbieten; einen gegebenenfalls notwendigen administrativen Notfallweg separat festlegen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Cherry-Pick-Bedienweg für Abnahme und Bereitstellung festlegen</w:t>
            </w:r>
          </w:p>
        </w:tc>
        <w:tc>
          <w:tcPr/>
          <w:p>
            <w:pPr>
              <w:pStyle w:val="Compact"/>
            </w:pPr>
            <w:r>
              <w:t xml:space="preserve">Zusätzlicher Git-Client und Pilotprozess je Mandant</w:t>
            </w:r>
          </w:p>
        </w:tc>
        <w:tc>
          <w:tcPr/>
          <w:p>
            <w:pPr>
              <w:pStyle w:val="Compact"/>
            </w:pPr>
            <w:r>
              <w:t xml:space="preserve">Auswahl nach SHA, Aktualisierung des Zielbranches, Dokumentation der vollständigen Quell-SHA im neuen Ziel-Commit, Reihenfolge mehrerer Commits, Konfliktbehandlung, Prüfung und Push verständlich dokumentieren; die GitHub-Weboberfläche allein unterstützt diesen Ablauf nicht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Release-Tag in GitHub praktisch prüfen</w:t>
            </w:r>
          </w:p>
        </w:tc>
        <w:tc>
          <w:tcPr/>
          <w:p>
            <w:pPr>
              <w:pStyle w:val="Compact"/>
            </w:pPr>
            <w:r>
              <w:t xml:space="preserve">GitHub-Weboberfläche und nichtproduktiver Bereitstellungsbranch</w:t>
            </w:r>
          </w:p>
        </w:tc>
        <w:tc>
          <w:tcPr/>
          <w:p>
            <w:pPr>
              <w:pStyle w:val="Compact"/>
            </w:pPr>
            <w:r>
              <w:t xml:space="preserve">Tag auf dem bestätigten Bereitstellungsstand anlegen, Ruleset-Wirkung und einmaligen Start des Release-Workflows prüfen</w:t>
            </w:r>
          </w:p>
        </w:tc>
      </w:tr>
    </w:tbl>
    <w:bookmarkEnd w:id="13"/>
    <w:bookmarkStart w:id="14" w:name="Xcc8653b865780bfdc18c7b7c1c97ca57b78448b"/>
    <w:p>
      <w:pPr>
        <w:pStyle w:val="Heading2"/>
      </w:pPr>
      <w:r>
        <w:t xml:space="preserve">3. Runner und Abhängigkeiten bereitstellen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Tätigkeit</w:t>
            </w:r>
          </w:p>
        </w:tc>
        <w:tc>
          <w:tcPr/>
          <w:p>
            <w:pPr>
              <w:pStyle w:val="Compact"/>
            </w:pPr>
            <w:r>
              <w:t xml:space="preserve">Ort</w:t>
            </w:r>
          </w:p>
        </w:tc>
        <w:tc>
          <w:tcPr/>
          <w:p>
            <w:pPr>
              <w:pStyle w:val="Compact"/>
            </w:pPr>
            <w:r>
              <w:t xml:space="preserve">Konkreter Wert beziehungsweise Ergebnis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Self-hosted Runner bereitstellen</w:t>
            </w:r>
          </w:p>
        </w:tc>
        <w:tc>
          <w:tcPr/>
          <w:p>
            <w:pPr>
              <w:pStyle w:val="Compact"/>
            </w:pPr>
            <w:r>
              <w:t xml:space="preserve">GitHub-Enterprise-Runnerverwaltung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  <w:r>
              <w:t xml:space="preserve"> </w:t>
            </w:r>
            <w:r>
              <w:rPr>
                <w:rStyle w:val="VerbatimChar"/>
              </w:rPr>
              <w:t xml:space="preserve">self-hosted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linux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mtext-delivery</w:t>
            </w:r>
            <w:r>
              <w:t xml:space="preserve"> </w:t>
            </w:r>
            <w:r>
              <w:t xml:space="preserve">bestätigen und zuweisen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Python und Git prüfen</w:t>
            </w:r>
          </w:p>
        </w:tc>
        <w:tc>
          <w:tcPr/>
          <w:p>
            <w:pPr>
              <w:pStyle w:val="Compact"/>
            </w:pPr>
            <w:r>
              <w:t xml:space="preserve">Vorgesehener Runner</w:t>
            </w:r>
          </w:p>
        </w:tc>
        <w:tc>
          <w:tcPr/>
          <w:p>
            <w:pPr>
              <w:pStyle w:val="Compact"/>
            </w:pPr>
            <w:r>
              <w:t xml:space="preserve">Python 3.14 und Git müssen verfügbar sein;</w:t>
            </w:r>
            <w:r>
              <w:t xml:space="preserve"> </w:t>
            </w:r>
            <w:r>
              <w:rPr>
                <w:rStyle w:val="VerbatimChar"/>
              </w:rPr>
              <w:t xml:space="preserve">scripts/runner-preflight.sh</w:t>
            </w:r>
            <w:r>
              <w:t xml:space="preserve"> </w:t>
            </w:r>
            <w:r>
              <w:t xml:space="preserve">ausführen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GHES-Artefakt-Actions prüfen</w:t>
            </w:r>
          </w:p>
        </w:tc>
        <w:tc>
          <w:tcPr/>
          <w:p>
            <w:pPr>
              <w:pStyle w:val="Compact"/>
            </w:pPr>
            <w:r>
              <w:t xml:space="preserve">GHES-Organisation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 </w:t>
            </w:r>
            <w:r>
              <w:t xml:space="preserve">und nichtproduktiver Release-Lauf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upload-artifact</w:t>
            </w:r>
            <w:r>
              <w:t xml:space="preserve"> </w:t>
            </w:r>
            <w:r>
              <w:t xml:space="preserve">v3.2.2-node20 (</w:t>
            </w:r>
            <w:r>
              <w:rPr>
                <w:rStyle w:val="VerbatimChar"/>
              </w:rPr>
              <w:t xml:space="preserve">c6a3b2bd78b3985e4b2f15397fec357f0fd808de</w:t>
            </w:r>
            <w:r>
              <w:t xml:space="preserve">) und</w:t>
            </w:r>
            <w:r>
              <w:t xml:space="preserve"> </w:t>
            </w:r>
            <w:r>
              <w:rPr>
                <w:rStyle w:val="VerbatimChar"/>
              </w:rPr>
              <w:t xml:space="preserve">download-artifact</w:t>
            </w:r>
            <w:r>
              <w:t xml:space="preserve"> </w:t>
            </w:r>
            <w:r>
              <w:t xml:space="preserve">v3.1.0-node20 (</w:t>
            </w:r>
            <w:r>
              <w:rPr>
                <w:rStyle w:val="VerbatimChar"/>
              </w:rPr>
              <w:t xml:space="preserve">ad191675b41f6a5b46da9a048cb6893812da158b</w:t>
            </w:r>
            <w:r>
              <w:t xml:space="preserve">) müssen auf GHES 3.20.4 verfügbar sein; v4 ist nicht zu verwenden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Action-Runtime des Runners prüfen</w:t>
            </w:r>
          </w:p>
        </w:tc>
        <w:tc>
          <w:tcPr/>
          <w:p>
            <w:pPr>
              <w:pStyle w:val="Compact"/>
            </w:pPr>
            <w:r>
              <w:t xml:space="preserve">Vorgesehener Self-hosted Runner</w:t>
            </w:r>
          </w:p>
        </w:tc>
        <w:tc>
          <w:tcPr/>
          <w:p>
            <w:pPr>
              <w:pStyle w:val="Compact"/>
            </w:pPr>
            <w:r>
              <w:t xml:space="preserve">Ausführung von Node-20-Actions mit den fest gepinnten Artefakt-SHAs bestätigen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Internes Wheelhouse bereitstellen</w:t>
            </w:r>
          </w:p>
        </w:tc>
        <w:tc>
          <w:tcPr/>
          <w:p>
            <w:pPr>
              <w:pStyle w:val="Compact"/>
            </w:pPr>
            <w:r>
              <w:t xml:space="preserve">Runner und Repository-/Organisationsvariable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LBS_WHEELHOUSE</w:t>
            </w:r>
            <w:r>
              <w:t xml:space="preserve"> </w:t>
            </w:r>
            <w:r>
              <w:t xml:space="preserve">auf freigegebenen lokalen Pfad setzen; Installation bleibt</w:t>
            </w:r>
            <w:r>
              <w:t xml:space="preserve"> </w:t>
            </w:r>
            <w:r>
              <w:rPr>
                <w:rStyle w:val="VerbatimChar"/>
              </w:rPr>
              <w:t xml:space="preserve">--no-index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Interne CA prüfen</w:t>
            </w:r>
          </w:p>
        </w:tc>
        <w:tc>
          <w:tcPr/>
          <w:p>
            <w:pPr>
              <w:pStyle w:val="Compact"/>
            </w:pPr>
            <w:r>
              <w:t xml:space="preserve">Vorgesehener Runner</w:t>
            </w:r>
          </w:p>
        </w:tc>
        <w:tc>
          <w:tcPr/>
          <w:p>
            <w:pPr>
              <w:pStyle w:val="Compact"/>
            </w:pPr>
            <w:r>
              <w:t xml:space="preserve">TLS-Aufruf gegen</w:t>
            </w:r>
            <w:r>
              <w:t xml:space="preserve"> </w:t>
            </w:r>
            <w:r>
              <w:rPr>
                <w:rStyle w:val="VerbatimChar"/>
              </w:rPr>
              <w:t xml:space="preserve">https://en01e.ltoma.intern/vMtextAdapter/sync</w:t>
            </w:r>
            <w:r>
              <w:t xml:space="preserve"> </w:t>
            </w:r>
            <w:r>
              <w:t xml:space="preserve">testen; fehlende CA in den Truststore aufnehmen, TLS-Prüfung nicht deaktivieren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Netzwerkpfade freigeben</w:t>
            </w:r>
          </w:p>
        </w:tc>
        <w:tc>
          <w:tcPr/>
          <w:p>
            <w:pPr>
              <w:pStyle w:val="Compact"/>
            </w:pPr>
            <w:r>
              <w:t xml:space="preserve">Runner/Netzwerk</w:t>
            </w:r>
          </w:p>
        </w:tc>
        <w:tc>
          <w:tcPr/>
          <w:p>
            <w:pPr>
              <w:pStyle w:val="Compact"/>
            </w:pPr>
            <w:r>
              <w:t xml:space="preserve">Zugriff auf serverSync-Share,</w:t>
            </w:r>
            <w:r>
              <w:t xml:space="preserve"> </w:t>
            </w:r>
            <w:r>
              <w:rPr>
                <w:rStyle w:val="VerbatimChar"/>
              </w:rPr>
              <w:t xml:space="preserve">*.ltoma.intern</w:t>
            </w:r>
            <w:r>
              <w:t xml:space="preserve">, Mainframe-FTP und JES ermöglichen</w:t>
            </w:r>
          </w:p>
        </w:tc>
      </w:tr>
    </w:tbl>
    <w:bookmarkEnd w:id="14"/>
    <w:bookmarkStart w:id="15" w:name="X15f2a691930aadd3a76210346a9f8b005c4ecba"/>
    <w:p>
      <w:pPr>
        <w:pStyle w:val="Heading2"/>
      </w:pPr>
      <w:r>
        <w:t xml:space="preserve">4. M/Text-Konfiguration vervollständigen und abnehmen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Tätigkeit</w:t>
            </w:r>
          </w:p>
        </w:tc>
        <w:tc>
          <w:tcPr/>
          <w:p>
            <w:pPr>
              <w:pStyle w:val="Compact"/>
            </w:pPr>
            <w:r>
              <w:t xml:space="preserve">Ort</w:t>
            </w:r>
          </w:p>
        </w:tc>
        <w:tc>
          <w:tcPr/>
          <w:p>
            <w:pPr>
              <w:pStyle w:val="Compact"/>
            </w:pPr>
            <w:r>
              <w:t xml:space="preserve">Konkreter Wert beziehungsweise Ergebnis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bestätigt</w:t>
            </w:r>
          </w:p>
        </w:tc>
        <w:tc>
          <w:tcPr/>
          <w:p>
            <w:pPr>
              <w:pStyle w:val="Compact"/>
            </w:pPr>
            <w:r>
              <w:t xml:space="preserve">Linien- und URL-Mapping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mtext-actions/config/deployments.json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R260→en03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R261→en01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R270→en02</w:t>
            </w:r>
            <w:r>
              <w:t xml:space="preserve">; Hosts jeweils</w:t>
            </w:r>
            <w:r>
              <w:t xml:space="preserve"> </w:t>
            </w:r>
            <w:r>
              <w:rPr>
                <w:rStyle w:val="VerbatimChar"/>
              </w:rPr>
              <w:t xml:space="preserve">enXXe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enXXa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bestätigt</w:t>
            </w:r>
          </w:p>
        </w:tc>
        <w:tc>
          <w:tcPr/>
          <w:p>
            <w:pPr>
              <w:pStyle w:val="Compact"/>
            </w:pPr>
            <w:r>
              <w:t xml:space="preserve">Adaptervertrag</w:t>
            </w:r>
          </w:p>
        </w:tc>
        <w:tc>
          <w:tcPr/>
          <w:p>
            <w:pPr>
              <w:pStyle w:val="Compact"/>
            </w:pPr>
            <w:r>
              <w:t xml:space="preserve">Dieselbe Datei</w:t>
            </w:r>
          </w:p>
        </w:tc>
        <w:tc>
          <w:tcPr/>
          <w:p>
            <w:pPr>
              <w:pStyle w:val="Compact"/>
            </w:pPr>
            <w:r>
              <w:t xml:space="preserve">POST auf</w:t>
            </w:r>
            <w:r>
              <w:t xml:space="preserve"> </w:t>
            </w:r>
            <w:r>
              <w:rPr>
                <w:rStyle w:val="VerbatimChar"/>
              </w:rPr>
              <w:t xml:space="preserve">/vMtextAdapter/sync</w:t>
            </w:r>
            <w:r>
              <w:t xml:space="preserve">, Payload</w:t>
            </w:r>
            <w:r>
              <w:t xml:space="preserve"> </w:t>
            </w:r>
            <w:r>
              <w:rPr>
                <w:rStyle w:val="VerbatimChar"/>
              </w:rPr>
              <w:t xml:space="preserve">MAN</w:t>
            </w:r>
            <w:r>
              <w:t xml:space="preserve">/</w:t>
            </w:r>
            <w:r>
              <w:rPr>
                <w:rStyle w:val="VerbatimChar"/>
              </w:rPr>
              <w:t xml:space="preserve">INR</w:t>
            </w:r>
            <w:r>
              <w:t xml:space="preserve">, kein Auth-Header, jeder 2xx-Status erfolgreich, kein Polling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serverSync-Sharepfad bestätigen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adapter.server_sync_path_template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mtext-actions/config/deployments.json</w:t>
            </w:r>
          </w:p>
        </w:tc>
        <w:tc>
          <w:tcPr/>
          <w:p>
            <w:pPr>
              <w:pStyle w:val="Compact"/>
            </w:pPr>
            <w:r>
              <w:t xml:space="preserve">Vorläufiges Template durch den tatsächlich gemounteten Pfad bestätigen oder ersetzen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Nebenwirkungsfreien Config-Check prüfen</w:t>
            </w:r>
          </w:p>
        </w:tc>
        <w:tc>
          <w:tcPr/>
          <w:p>
            <w:pPr>
              <w:pStyle w:val="Compact"/>
            </w:pPr>
            <w:r>
              <w:t xml:space="preserve">Push mit Änderung an</w:t>
            </w:r>
            <w:r>
              <w:t xml:space="preserve"> </w:t>
            </w:r>
            <w:r>
              <w:rPr>
                <w:rStyle w:val="VerbatimChar"/>
              </w:rPr>
              <w:t xml:space="preserve">config/mandant.json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CONFIG_VALIDATED</w:t>
            </w:r>
            <w:r>
              <w:t xml:space="preserve"> </w:t>
            </w:r>
            <w:r>
              <w:t xml:space="preserve">ohne Environment, Secrets, serverSync-, Adapter- oder Mainframe-Zugriff bestätigen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Nichtproduktiven Synchronisationslauf durchführen</w:t>
            </w:r>
          </w:p>
        </w:tc>
        <w:tc>
          <w:tcPr/>
          <w:p>
            <w:pPr>
              <w:pStyle w:val="Compact"/>
            </w:pPr>
            <w:r>
              <w:t xml:space="preserve">Freigegebener Runner und nichtproduktive Ziele</w:t>
            </w:r>
          </w:p>
        </w:tc>
        <w:tc>
          <w:tcPr/>
          <w:p>
            <w:pPr>
              <w:pStyle w:val="Compact"/>
            </w:pPr>
            <w:r>
              <w:t xml:space="preserve">Vollständigen Projektstand bereitstellen, Adapterantwort und Wiederanlauf prüfen</w:t>
            </w:r>
          </w:p>
        </w:tc>
      </w:tr>
    </w:tbl>
    <w:bookmarkEnd w:id="15"/>
    <w:bookmarkStart w:id="16" w:name="Xd75f1ce8aca86079cb74baf4d871d5abc28dfb2"/>
    <w:p>
      <w:pPr>
        <w:pStyle w:val="Heading2"/>
      </w:pPr>
      <w:r>
        <w:t xml:space="preserve">5. Mainframe-Übergabe einrichten und abnehmen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Tätigkeit</w:t>
            </w:r>
          </w:p>
        </w:tc>
        <w:tc>
          <w:tcPr/>
          <w:p>
            <w:pPr>
              <w:pStyle w:val="Compact"/>
            </w:pPr>
            <w:r>
              <w:t xml:space="preserve">Ort</w:t>
            </w:r>
          </w:p>
        </w:tc>
        <w:tc>
          <w:tcPr/>
          <w:p>
            <w:pPr>
              <w:pStyle w:val="Compact"/>
            </w:pPr>
            <w:r>
              <w:t xml:space="preserve">Konkreter Wert beziehungsweise Ergebnis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FTP-Secrets hinterlegen</w:t>
            </w:r>
          </w:p>
        </w:tc>
        <w:tc>
          <w:tcPr/>
          <w:p>
            <w:pPr>
              <w:pStyle w:val="Compact"/>
            </w:pPr>
            <w:r>
              <w:t xml:space="preserve">GitHub Environment</w:t>
            </w:r>
            <w:r>
              <w:t xml:space="preserve"> </w:t>
            </w:r>
            <w:r>
              <w:rPr>
                <w:rStyle w:val="VerbatimChar"/>
              </w:rPr>
              <w:t xml:space="preserve">Bereitstellung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MAINFRAME_FTP_HOST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MAINFRAME_FTP_USER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MAINFRAME_FTP_PASSWORD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Mainframe-Variablen hinterlegen</w:t>
            </w:r>
          </w:p>
        </w:tc>
        <w:tc>
          <w:tcPr/>
          <w:p>
            <w:pPr>
              <w:pStyle w:val="Compact"/>
            </w:pPr>
            <w:r>
              <w:t xml:space="preserve">Repository-/Environment-Variablen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MAINFRAME_DATASET=IEA.LOMS.TONICZ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MAINFRAME_JES_TARGET=LIT9028A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MAINFRAME_FTP_TIMEOUT=60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bestätigt</w:t>
            </w:r>
          </w:p>
        </w:tc>
        <w:tc>
          <w:tcPr/>
          <w:p>
            <w:pPr>
              <w:pStyle w:val="Compact"/>
            </w:pPr>
            <w:r>
              <w:t xml:space="preserve">Historischen JCL-Eingabevertrag fachlich bestätigen</w:t>
            </w:r>
          </w:p>
        </w:tc>
        <w:tc>
          <w:tcPr/>
          <w:p>
            <w:pPr>
              <w:pStyle w:val="Compact"/>
            </w:pPr>
            <w:r>
              <w:t xml:space="preserve">Bestehendes Verfahren und versioniertes JCL-Template</w:t>
            </w:r>
          </w:p>
        </w:tc>
        <w:tc>
          <w:tcPr/>
          <w:p>
            <w:pPr>
              <w:pStyle w:val="Compact"/>
            </w:pPr>
            <w:r>
              <w:t xml:space="preserve">Der mandantenspezifische Zielcode wird wie bisher über genau einen vorhandenen JCL-Platzhalter eingesetzt; der getrennte zentrale Test-/Produktionswert ist auf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begrenzt; ein zusätzlicher Zielparameter wird nicht eingeführt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JCL und unmittelbare Übergabe nichtproduktiv prüfen</w:t>
            </w:r>
          </w:p>
        </w:tc>
        <w:tc>
          <w:tcPr/>
          <w:p>
            <w:pPr>
              <w:pStyle w:val="Compact"/>
            </w:pPr>
            <w:r>
              <w:t xml:space="preserve">Freigegebener Mainframe-Testweg</w:t>
            </w:r>
          </w:p>
        </w:tc>
        <w:tc>
          <w:tcPr/>
          <w:p>
            <w:pPr>
              <w:pStyle w:val="Compact"/>
            </w:pPr>
            <w:r>
              <w:t xml:space="preserve">FTP-Antworten,</w:t>
            </w:r>
            <w:r>
              <w:t xml:space="preserve"> </w:t>
            </w:r>
            <w:r>
              <w:rPr>
                <w:rStyle w:val="VerbatimChar"/>
              </w:rPr>
              <w:t xml:space="preserve">SITE FILETYPE=JES</w:t>
            </w:r>
            <w:r>
              <w:t xml:space="preserve">, Submit und gerendertes JCL abnehmen</w:t>
            </w:r>
          </w:p>
        </w:tc>
      </w:tr>
    </w:tbl>
    <w:p>
      <w:pPr>
        <w:pStyle w:val="BodyText"/>
      </w:pPr>
      <w:r>
        <w:t xml:space="preserve">Die Mainframe-Übergabe wartet im Environment</w:t>
      </w:r>
      <w:r>
        <w:t xml:space="preserve"> </w:t>
      </w:r>
      <w:r>
        <w:rPr>
          <w:rStyle w:val="VerbatimChar"/>
        </w:rPr>
        <w:t xml:space="preserve">Bereitstellung</w:t>
      </w:r>
      <w:r>
        <w:t xml:space="preserve"> </w:t>
      </w:r>
      <w:r>
        <w:t xml:space="preserve">auf manuelle</w:t>
      </w:r>
      <w:r>
        <w:t xml:space="preserve"> </w:t>
      </w:r>
      <w:r>
        <w:t xml:space="preserve">Freigabe. GitHub-Actions-Artefakte bleiben 30 Tage erhalten. Build und Publish</w:t>
      </w:r>
      <w:r>
        <w:t xml:space="preserve"> </w:t>
      </w:r>
      <w:r>
        <w:t xml:space="preserve">sind getrennte Jobs desselben Release-Workflows; vor der Übergabe werden</w:t>
      </w:r>
      <w:r>
        <w:t xml:space="preserve"> </w:t>
      </w:r>
      <w:r>
        <w:t xml:space="preserve">Manifest und Prüfsummen erneut geprüft. Übergaben werden je</w:t>
      </w:r>
      <w:r>
        <w:t xml:space="preserve"> </w:t>
      </w:r>
      <w:r>
        <w:t xml:space="preserve">Mandanten-Repository serialisiert; unterschiedliche Mandanten dürfen parallel</w:t>
      </w:r>
      <w:r>
        <w:t xml:space="preserve"> </w:t>
      </w:r>
      <w:r>
        <w:t xml:space="preserve">laufen.</w:t>
      </w:r>
    </w:p>
    <w:p>
      <w:pPr>
        <w:pStyle w:val="BodyText"/>
      </w:pPr>
      <w:r>
        <w:t xml:space="preserve">Mit der bestätigten Übergabe an IZE9 endet der in GitHub Actions abgebildete</w:t>
      </w:r>
      <w:r>
        <w:t xml:space="preserve"> </w:t>
      </w:r>
      <w:r>
        <w:t xml:space="preserve">Lieferprozess. Der weitere, deutlich umfangreichere Weg bis Produktion wird</w:t>
      </w:r>
      <w:r>
        <w:t xml:space="preserve"> </w:t>
      </w:r>
      <w:r>
        <w:t xml:space="preserve">außerhalb dieser Automation nach dem bestehenden Betriebsverfahren gesteuert.</w:t>
      </w:r>
    </w:p>
    <w:bookmarkEnd w:id="16"/>
    <w:bookmarkStart w:id="17" w:name="X25e67690fbc886e1f8425ab48322334d9d3e64a"/>
    <w:p>
      <w:pPr>
        <w:pStyle w:val="Heading2"/>
      </w:pPr>
      <w:r>
        <w:t xml:space="preserve">6. SVN-Abzug für Parallelbetrieb und Cutover vorbereiten</w:t>
      </w:r>
    </w:p>
    <w:p>
      <w:pPr>
        <w:pStyle w:val="FirstParagraph"/>
      </w:pPr>
      <w:r>
        <w:t xml:space="preserve">Voraussichtlich im November/Dezember 2026 wird zunächst ein Abzug der</w:t>
      </w:r>
      <w:r>
        <w:t xml:space="preserve"> </w:t>
      </w:r>
      <w:r>
        <w:t xml:space="preserve">SVN-Repositories nach Git kopiert. Auf diesem Stand wird die GitHub-Umgebung</w:t>
      </w:r>
      <w:r>
        <w:t xml:space="preserve"> </w:t>
      </w:r>
      <w:r>
        <w:t xml:space="preserve">für Tests bereitgestellt, während Jenkins und SVN weiterhin den produktiven</w:t>
      </w:r>
      <w:r>
        <w:t xml:space="preserve"> </w:t>
      </w:r>
      <w:r>
        <w:t xml:space="preserve">Prozess tragen. Eine laufende Synchronisation des Testbestands mit SVN ist</w:t>
      </w:r>
      <w:r>
        <w:t xml:space="preserve"> </w:t>
      </w:r>
      <w:r>
        <w:t xml:space="preserve">nicht erforderlich. Für den ab Januar 2027 geplanten produktiven harten</w:t>
      </w:r>
      <w:r>
        <w:t xml:space="preserve"> </w:t>
      </w:r>
      <w:r>
        <w:t xml:space="preserve">Cutover wird der dann freigegebene aktuelle SVN-Stand abschließend nach Git</w:t>
      </w:r>
      <w:r>
        <w:t xml:space="preserve"> </w:t>
      </w:r>
      <w:r>
        <w:t xml:space="preserve">übertragen und geprüft.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Tätigkeit</w:t>
            </w:r>
          </w:p>
        </w:tc>
        <w:tc>
          <w:tcPr/>
          <w:p>
            <w:pPr>
              <w:pStyle w:val="Compact"/>
            </w:pPr>
            <w:r>
              <w:t xml:space="preserve">Ort</w:t>
            </w:r>
          </w:p>
        </w:tc>
        <w:tc>
          <w:tcPr/>
          <w:p>
            <w:pPr>
              <w:pStyle w:val="Compact"/>
            </w:pPr>
            <w:r>
              <w:t xml:space="preserve">Konkreter Wert beziehungsweise Ergebnis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geplant November/Dezember 2026</w:t>
            </w:r>
          </w:p>
        </w:tc>
        <w:tc>
          <w:tcPr/>
          <w:p>
            <w:pPr>
              <w:pStyle w:val="Compact"/>
            </w:pPr>
            <w:r>
              <w:t xml:space="preserve">Ersten SVN-Abzug für den Test-Parallelbetrieb erstellen</w:t>
            </w:r>
          </w:p>
        </w:tc>
        <w:tc>
          <w:tcPr/>
          <w:p>
            <w:pPr>
              <w:pStyle w:val="Compact"/>
            </w:pPr>
            <w:r>
              <w:t xml:space="preserve">Alle Mandanten-Repositories</w:t>
            </w:r>
          </w:p>
        </w:tc>
        <w:tc>
          <w:tcPr/>
          <w:p>
            <w:pPr>
              <w:pStyle w:val="Compact"/>
            </w:pPr>
            <w:r>
              <w:t xml:space="preserve">GitHub-Testumgebung mit einem dokumentierten SVN-Ausgangsstand bereitstellen; Jenkins/SVN bleiben produktiv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Import-Allowlist erstellen</w:t>
            </w:r>
          </w:p>
        </w:tc>
        <w:tc>
          <w:tcPr/>
          <w:p>
            <w:pPr>
              <w:pStyle w:val="Compact"/>
            </w:pPr>
            <w:r>
              <w:t xml:space="preserve">Migrationskonfiguration je SVN-Repository</w:t>
            </w:r>
          </w:p>
        </w:tc>
        <w:tc>
          <w:tcPr/>
          <w:p>
            <w:pPr>
              <w:pStyle w:val="Compact"/>
            </w:pPr>
            <w:r>
              <w:t xml:space="preserve">Aktive Linien</w:t>
            </w:r>
            <w:r>
              <w:t xml:space="preserve"> </w:t>
            </w:r>
            <w:r>
              <w:rPr>
                <w:rStyle w:val="VerbatimChar"/>
              </w:rPr>
              <w:t xml:space="preserve">R260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R261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R270</w:t>
            </w:r>
            <w:r>
              <w:t xml:space="preserve"> </w:t>
            </w:r>
            <w:r>
              <w:t xml:space="preserve">und die drei fachlichen Stufen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Projektmatrix inventarisieren und freigeben</w:t>
            </w:r>
          </w:p>
        </w:tc>
        <w:tc>
          <w:tcPr/>
          <w:p>
            <w:pPr>
              <w:pStyle w:val="Compact"/>
            </w:pPr>
            <w:r>
              <w:t xml:space="preserve">Je Mandant und gegebenenfalls je Releaselinie</w:t>
            </w:r>
          </w:p>
        </w:tc>
        <w:tc>
          <w:tcPr/>
          <w:p>
            <w:pPr>
              <w:pStyle w:val="Compact"/>
            </w:pPr>
            <w:r>
              <w:t xml:space="preserve">Repositoryinhalt, Projekt-Allowlist und historisch festgelegte Lieferdateinamen getrennt dokumentieren; nicht allein aus einer globalen Projektliste ableiten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erforderlich</w:t>
            </w:r>
          </w:p>
        </w:tc>
        <w:tc>
          <w:tcPr/>
          <w:p>
            <w:pPr>
              <w:pStyle w:val="Compact"/>
            </w:pPr>
            <w:r>
              <w:t xml:space="preserve">Release-Basis importieren</w:t>
            </w:r>
          </w:p>
        </w:tc>
        <w:tc>
          <w:tcPr/>
          <w:p>
            <w:pPr>
              <w:pStyle w:val="Compact"/>
            </w:pPr>
            <w:r>
              <w:t xml:space="preserve">Git-Tags je Mandanten-Repository</w:t>
            </w:r>
          </w:p>
        </w:tc>
        <w:tc>
          <w:tcPr/>
          <w:p>
            <w:pPr>
              <w:pStyle w:val="Compact"/>
            </w:pPr>
            <w:r>
              <w:t xml:space="preserve">Je aktiver Linie mindestens</w:t>
            </w:r>
            <w:r>
              <w:t xml:space="preserve"> </w:t>
            </w:r>
            <w:r>
              <w:rPr>
                <w:rStyle w:val="VerbatimChar"/>
              </w:rPr>
              <w:t xml:space="preserve">.100</w:t>
            </w:r>
            <w:r>
              <w:t xml:space="preserve"> </w:t>
            </w:r>
            <w:r>
              <w:t xml:space="preserve">und alle danach entstandenen Tags importieren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SVN-Pfade auf Git abbilden</w:t>
            </w:r>
          </w:p>
        </w:tc>
        <w:tc>
          <w:tcPr/>
          <w:p>
            <w:pPr>
              <w:pStyle w:val="Compact"/>
            </w:pPr>
            <w:r>
              <w:t xml:space="preserve">Migrationsskript/-konfiguration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branches/Entwicklung/R260.100_MText/&lt;Projekt&gt;</w:t>
            </w:r>
            <w:r>
              <w:t xml:space="preserve"> </w:t>
            </w:r>
            <w:r>
              <w:t xml:space="preserve">→ Branch</w:t>
            </w:r>
            <w:r>
              <w:t xml:space="preserve"> </w:t>
            </w:r>
            <w:r>
              <w:rPr>
                <w:rStyle w:val="VerbatimChar"/>
              </w:rPr>
              <w:t xml:space="preserve">R260/Entwicklung</w:t>
            </w:r>
            <w:r>
              <w:t xml:space="preserve">, Pfad</w:t>
            </w:r>
            <w:r>
              <w:t xml:space="preserve"> </w:t>
            </w:r>
            <w:r>
              <w:rPr>
                <w:rStyle w:val="VerbatimChar"/>
              </w:rPr>
              <w:t xml:space="preserve">&lt;Projekt&gt;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Tagnamen normalisieren</w:t>
            </w:r>
          </w:p>
        </w:tc>
        <w:tc>
          <w:tcPr/>
          <w:p>
            <w:pPr>
              <w:pStyle w:val="Compact"/>
            </w:pPr>
            <w:r>
              <w:t xml:space="preserve">Migrationsskript/-konfiguration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R260.101_MText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R260.101</w:t>
            </w:r>
            <w:r>
              <w:t xml:space="preserve">; Entfernung von</w:t>
            </w:r>
            <w:r>
              <w:t xml:space="preserve"> </w:t>
            </w:r>
            <w:r>
              <w:rPr>
                <w:rStyle w:val="VerbatimChar"/>
              </w:rPr>
              <w:t xml:space="preserve">_MText</w:t>
            </w:r>
            <w:r>
              <w:t xml:space="preserve"> </w:t>
            </w:r>
            <w:r>
              <w:t xml:space="preserve">protokollieren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SVN-Artefakte ausschließen</w:t>
            </w:r>
          </w:p>
        </w:tc>
        <w:tc>
          <w:tcPr/>
          <w:p>
            <w:pPr>
              <w:pStyle w:val="Compact"/>
            </w:pPr>
            <w:r>
              <w:t xml:space="preserve">Migrationsfilter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Verbunden mit Bereitstellung*.txt</w:t>
            </w:r>
            <w:r>
              <w:t xml:space="preserve">, Backup-/Fusion-Sonderstände und andere nicht freigegebene Marker nicht übernehmen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Repositoryinhalte und Projekt-Allowlist unterscheiden</w:t>
            </w:r>
          </w:p>
        </w:tc>
        <w:tc>
          <w:tcPr/>
          <w:p>
            <w:pPr>
              <w:pStyle w:val="Compact"/>
            </w:pPr>
            <w:r>
              <w:t xml:space="preserve">Importprüfung und</w:t>
            </w:r>
            <w:r>
              <w:t xml:space="preserve"> </w:t>
            </w:r>
            <w:r>
              <w:rPr>
                <w:rStyle w:val="VerbatimChar"/>
              </w:rPr>
              <w:t xml:space="preserve">config/mandant.json</w:t>
            </w:r>
          </w:p>
        </w:tc>
        <w:tc>
          <w:tcPr/>
          <w:p>
            <w:pPr>
              <w:pStyle w:val="Compact"/>
            </w:pPr>
            <w:r>
              <w:t xml:space="preserve">FI enthält auch</w:t>
            </w:r>
            <w:r>
              <w:t xml:space="preserve"> </w:t>
            </w:r>
            <w:r>
              <w:rPr>
                <w:rStyle w:val="VerbatimChar"/>
              </w:rPr>
              <w:t xml:space="preserve">LOMS_Testdaten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mtext-autonom</w:t>
            </w:r>
            <w:r>
              <w:t xml:space="preserve"> </w:t>
            </w:r>
            <w:r>
              <w:t xml:space="preserve">auch</w:t>
            </w:r>
            <w:r>
              <w:t xml:space="preserve"> </w:t>
            </w:r>
            <w:r>
              <w:rPr>
                <w:rStyle w:val="VerbatimChar"/>
              </w:rPr>
              <w:t xml:space="preserve">LOMS_Testdaten_Autonom</w:t>
            </w:r>
            <w:r>
              <w:t xml:space="preserve">; Testdatenprojekte bleiben außerhalb der Projekt-Allowlist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Aufgabe</w:t>
            </w:r>
          </w:p>
        </w:tc>
        <w:tc>
          <w:tcPr/>
          <w:p>
            <w:pPr>
              <w:pStyle w:val="Compact"/>
            </w:pPr>
            <w:r>
              <w:t xml:space="preserve">SVN-Autoren zuordnen</w:t>
            </w:r>
          </w:p>
        </w:tc>
        <w:tc>
          <w:tcPr/>
          <w:p>
            <w:pPr>
              <w:pStyle w:val="Compact"/>
            </w:pPr>
            <w:r>
              <w:t xml:space="preserve">Autoren-Mappingdatei des Migrationstools</w:t>
            </w:r>
          </w:p>
        </w:tc>
        <w:tc>
          <w:tcPr/>
          <w:p>
            <w:pPr>
              <w:pStyle w:val="Compact"/>
            </w:pPr>
            <w:r>
              <w:t xml:space="preserve">Bestehende SVN-Namen auf Git-Identitäten abbilden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SVN-Eigenschaften inventarisieren</w:t>
            </w:r>
          </w:p>
        </w:tc>
        <w:tc>
          <w:tcPr/>
          <w:p>
            <w:pPr>
              <w:pStyle w:val="Compact"/>
            </w:pPr>
            <w:r>
              <w:t xml:space="preserve">Read-only SVN-Analyse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svn:externals</w:t>
            </w:r>
            <w:r>
              <w:t xml:space="preserve">, EOL, Keywords, executable, leere Verzeichnisse, Mergeinfo und große Dateien behandeln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Weitere Historie und ältere Tags importieren</w:t>
            </w:r>
          </w:p>
        </w:tc>
        <w:tc>
          <w:tcPr/>
          <w:p>
            <w:pPr>
              <w:pStyle w:val="Compact"/>
            </w:pPr>
            <w:r>
              <w:t xml:space="preserve">Migrationskonfiguration</w:t>
            </w:r>
          </w:p>
        </w:tc>
        <w:tc>
          <w:tcPr/>
          <w:p>
            <w:pPr>
              <w:pStyle w:val="Compact"/>
            </w:pPr>
            <w:r>
              <w:t xml:space="preserve">So viel Elementhistorie wie praktikabel erhalten; darf den Cutover nicht blockieren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geplant ab Januar 2027</w:t>
            </w:r>
          </w:p>
        </w:tc>
        <w:tc>
          <w:tcPr/>
          <w:p>
            <w:pPr>
              <w:pStyle w:val="Compact"/>
            </w:pPr>
            <w:r>
              <w:t xml:space="preserve">Finalen SVN-Stand für den produktiven Cutover übertragen</w:t>
            </w:r>
          </w:p>
        </w:tc>
        <w:tc>
          <w:tcPr/>
          <w:p>
            <w:pPr>
              <w:pStyle w:val="Compact"/>
            </w:pPr>
            <w:r>
              <w:t xml:space="preserve">Alle Mandanten-Repositories</w:t>
            </w:r>
          </w:p>
        </w:tc>
        <w:tc>
          <w:tcPr/>
          <w:p>
            <w:pPr>
              <w:pStyle w:val="Compact"/>
            </w:pPr>
            <w:r>
              <w:t xml:space="preserve">Seit dem ersten Abzug entstandene produktive Änderungen übernehmen und den freigegebenen Endstand verifizieren</w:t>
            </w:r>
          </w:p>
        </w:tc>
      </w:tr>
    </w:tbl>
    <w:p>
      <w:pPr>
        <w:pStyle w:val="BodyText"/>
      </w:pPr>
      <w:r>
        <w:t xml:space="preserve">Ziel-Repositories sind</w:t>
      </w:r>
      <w:r>
        <w:t xml:space="preserve"> </w:t>
      </w:r>
      <w:r>
        <w:rPr>
          <w:rStyle w:val="VerbatimChar"/>
        </w:rPr>
        <w:t xml:space="preserve">mtext-fi</w:t>
      </w:r>
      <w:r>
        <w:t xml:space="preserve">,</w:t>
      </w:r>
      <w:r>
        <w:t xml:space="preserve"> </w:t>
      </w:r>
      <w:r>
        <w:rPr>
          <w:rStyle w:val="VerbatimChar"/>
        </w:rPr>
        <w:t xml:space="preserve">mtext-autonom</w:t>
      </w:r>
      <w:r>
        <w:t xml:space="preserve">,</w:t>
      </w:r>
      <w:r>
        <w:t xml:space="preserve"> </w:t>
      </w:r>
      <w:r>
        <w:rPr>
          <w:rStyle w:val="VerbatimChar"/>
        </w:rPr>
        <w:t xml:space="preserve">mtext-by</w:t>
      </w:r>
      <w:r>
        <w:t xml:space="preserve">,</w:t>
      </w:r>
      <w:r>
        <w:t xml:space="preserve"> </w:t>
      </w:r>
      <w:r>
        <w:rPr>
          <w:rStyle w:val="VerbatimChar"/>
        </w:rPr>
        <w:t xml:space="preserve">mtext-lh</w:t>
      </w:r>
      <w:r>
        <w:t xml:space="preserve">,</w:t>
      </w:r>
      <w:r>
        <w:t xml:space="preserve"> </w:t>
      </w:r>
      <w:r>
        <w:rPr>
          <w:rStyle w:val="VerbatimChar"/>
        </w:rPr>
        <w:t xml:space="preserve">mtext-nw</w:t>
      </w:r>
      <w:r>
        <w:t xml:space="preserve">,</w:t>
      </w:r>
      <w:r>
        <w:t xml:space="preserve"> </w:t>
      </w:r>
      <w:r>
        <w:rPr>
          <w:rStyle w:val="VerbatimChar"/>
        </w:rPr>
        <w:t xml:space="preserve">mtext-os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mtext-sa</w:t>
      </w:r>
      <w:r>
        <w:t xml:space="preserve">. Der erste Abzug eröffnet nur den</w:t>
      </w:r>
      <w:r>
        <w:t xml:space="preserve"> </w:t>
      </w:r>
      <w:r>
        <w:t xml:space="preserve">Test-Parallelbetrieb. Der finale Import, SVN-Freeze sowie die Deaktivierung von</w:t>
      </w:r>
      <w:r>
        <w:t xml:space="preserve"> </w:t>
      </w:r>
      <w:r>
        <w:t xml:space="preserve">Jenkins sind eigene freizugebende Tätigkeiten des produktiven Cutovers und</w:t>
      </w:r>
      <w:r>
        <w:t xml:space="preserve"> </w:t>
      </w:r>
      <w:r>
        <w:t xml:space="preserve">werden nicht durch den lokalen Implementierungsstand ausgelöst.</w:t>
      </w:r>
    </w:p>
    <w:bookmarkEnd w:id="17"/>
    <w:bookmarkStart w:id="18" w:name="X1be3a33b3580a77b8f276ff7038408680b044f6"/>
    <w:p>
      <w:pPr>
        <w:pStyle w:val="Heading2"/>
      </w:pPr>
      <w:r>
        <w:t xml:space="preserve">7. Produktiven Cutover durchführen und abnehmen</w:t>
      </w:r>
    </w:p>
    <w:p>
      <w:pPr>
        <w:pStyle w:val="FirstParagraph"/>
      </w:pPr>
      <w:r>
        <w:t xml:space="preserve">Der produktive harte Cutover ist ab Januar 2027 vorgesehen. Er wird mit einem</w:t>
      </w:r>
      <w:r>
        <w:t xml:space="preserve"> </w:t>
      </w:r>
      <w:r>
        <w:t xml:space="preserve">eigenen freigegebenen Runbook durchgeführt; der vorherige Test-Parallelbetrieb</w:t>
      </w:r>
      <w:r>
        <w:t xml:space="preserve"> </w:t>
      </w:r>
      <w:r>
        <w:t xml:space="preserve">aktiviert ihn nicht automatisch. Die verbindliche Reihenfolge ist:</w:t>
      </w:r>
    </w:p>
    <w:p>
      <w:pPr>
        <w:pStyle w:val="Compact"/>
        <w:numPr>
          <w:ilvl w:val="0"/>
          <w:numId w:val="1001"/>
        </w:numPr>
      </w:pPr>
      <w:r>
        <w:t xml:space="preserve">Änderungsfreeze für den bisherigen Jenkins-/SVN-Prozess aktivieren.</w:t>
      </w:r>
    </w:p>
    <w:p>
      <w:pPr>
        <w:pStyle w:val="Compact"/>
        <w:numPr>
          <w:ilvl w:val="0"/>
          <w:numId w:val="1001"/>
        </w:numPr>
      </w:pPr>
      <w:r>
        <w:t xml:space="preserve">Den letzten freigegebenen SVN-Stand und alle weiterhin benötigten Tags je</w:t>
      </w:r>
      <w:r>
        <w:t xml:space="preserve"> </w:t>
      </w:r>
      <w:r>
        <w:t xml:space="preserve">Mandant nach Git übertragen.</w:t>
      </w:r>
    </w:p>
    <w:p>
      <w:pPr>
        <w:pStyle w:val="Compact"/>
        <w:numPr>
          <w:ilvl w:val="0"/>
          <w:numId w:val="1001"/>
        </w:numPr>
      </w:pPr>
      <w:r>
        <w:t xml:space="preserve">Inhalte, Pfadabbildungen, Tags und den letzten migrierten Commit je Mandant</w:t>
      </w:r>
      <w:r>
        <w:t xml:space="preserve"> </w:t>
      </w:r>
      <w:r>
        <w:t xml:space="preserve">dokumentieren und automatisiert verifizieren.</w:t>
      </w:r>
    </w:p>
    <w:p>
      <w:pPr>
        <w:pStyle w:val="Compact"/>
        <w:numPr>
          <w:ilvl w:val="0"/>
          <w:numId w:val="1001"/>
        </w:numPr>
      </w:pPr>
      <w:r>
        <w:t xml:space="preserve">Jenkins-Trigger und Jenkins-Job für diesen Prozess deaktivieren.</w:t>
      </w:r>
    </w:p>
    <w:p>
      <w:pPr>
        <w:pStyle w:val="Compact"/>
        <w:numPr>
          <w:ilvl w:val="0"/>
          <w:numId w:val="1001"/>
        </w:numPr>
      </w:pPr>
      <w:r>
        <w:t xml:space="preserve">SVN für diesen Prozess schreibschützen oder gemäß Betriebskonzept</w:t>
      </w:r>
      <w:r>
        <w:t xml:space="preserve"> </w:t>
      </w:r>
      <w:r>
        <w:t xml:space="preserve">stilllegen.</w:t>
      </w:r>
    </w:p>
    <w:p>
      <w:pPr>
        <w:pStyle w:val="Compact"/>
        <w:numPr>
          <w:ilvl w:val="0"/>
          <w:numId w:val="1001"/>
        </w:numPr>
      </w:pPr>
      <w:r>
        <w:t xml:space="preserve">Git als einzige führende Quelle für diesen Prozess festlegen.</w:t>
      </w:r>
    </w:p>
    <w:p>
      <w:pPr>
        <w:pStyle w:val="Compact"/>
        <w:numPr>
          <w:ilvl w:val="0"/>
          <w:numId w:val="1001"/>
        </w:numPr>
      </w:pPr>
      <w:r>
        <w:t xml:space="preserve">Die für den Regelbetrieb vorgesehenen GitHub Environments, Secrets und</w:t>
      </w:r>
      <w:r>
        <w:t xml:space="preserve"> </w:t>
      </w:r>
      <w:r>
        <w:t xml:space="preserve">Workflows freigeben.</w:t>
      </w:r>
    </w:p>
    <w:p>
      <w:pPr>
        <w:pStyle w:val="Compact"/>
        <w:numPr>
          <w:ilvl w:val="0"/>
          <w:numId w:val="1001"/>
        </w:numPr>
      </w:pPr>
      <w:r>
        <w:t xml:space="preserve">Je einen definierten Smoke-Test für Entwicklung und Abnahme sowie je einen</w:t>
      </w:r>
      <w:r>
        <w:t xml:space="preserve"> </w:t>
      </w:r>
      <w:r>
        <w:t xml:space="preserve">FULL- und DELTA-Release durchführen und dokumentieren.</w:t>
      </w:r>
    </w:p>
    <w:p>
      <w:pPr>
        <w:pStyle w:val="FirstParagraph"/>
      </w:pPr>
      <w:r>
        <w:t xml:space="preserve">Während der eigentlichen Umschaltung gibt es keinen gleichzeitigen produktiven</w:t>
      </w:r>
      <w:r>
        <w:t xml:space="preserve"> </w:t>
      </w:r>
      <w:r>
        <w:t xml:space="preserve">Lieferbetrieb aus Jenkins/SVN und GitHub. Der Cutover ist erst abgenommen, wenn</w:t>
      </w:r>
      <w:r>
        <w:t xml:space="preserve"> </w:t>
      </w:r>
      <w:r>
        <w:t xml:space="preserve">mindestens folgende Kriterien erfüllt sind:</w:t>
      </w:r>
    </w:p>
    <w:p>
      <w:pPr>
        <w:pStyle w:val="Compact"/>
        <w:numPr>
          <w:ilvl w:val="0"/>
          <w:numId w:val="1002"/>
        </w:numPr>
      </w:pPr>
      <w:r>
        <w:t xml:space="preserve">Kein GitHub-Workflow benötigt Jenkins oder SVN und Jenkins löst für diesen</w:t>
      </w:r>
      <w:r>
        <w:t xml:space="preserve"> </w:t>
      </w:r>
      <w:r>
        <w:t xml:space="preserve">Prozess keine Jobs mehr aus.</w:t>
      </w:r>
    </w:p>
    <w:p>
      <w:pPr>
        <w:pStyle w:val="Compact"/>
        <w:numPr>
          <w:ilvl w:val="0"/>
          <w:numId w:val="1002"/>
        </w:numPr>
      </w:pPr>
      <w:r>
        <w:t xml:space="preserve">Für jeden Mandanten sind der letzte migrierte SVN-Stand, sein Git-Commit und</w:t>
      </w:r>
      <w:r>
        <w:t xml:space="preserve"> </w:t>
      </w:r>
      <w:r>
        <w:t xml:space="preserve">alle weiterhin benötigten Release-Tags dokumentiert und geprüft.</w:t>
      </w:r>
    </w:p>
    <w:p>
      <w:pPr>
        <w:pStyle w:val="Compact"/>
        <w:numPr>
          <w:ilvl w:val="0"/>
          <w:numId w:val="1002"/>
        </w:numPr>
      </w:pPr>
      <w:r>
        <w:t xml:space="preserve">Sicherungs- und Sonderstände wurden nur nach ausdrücklicher Freigabe</w:t>
      </w:r>
      <w:r>
        <w:t xml:space="preserve"> </w:t>
      </w:r>
      <w:r>
        <w:t xml:space="preserve">übernommen.</w:t>
      </w:r>
    </w:p>
    <w:p>
      <w:pPr>
        <w:pStyle w:val="Compact"/>
        <w:numPr>
          <w:ilvl w:val="0"/>
          <w:numId w:val="1002"/>
        </w:numPr>
      </w:pPr>
      <w:r>
        <w:t xml:space="preserve">Alle Mandanten-Repositories verwenden dieselbe freigegebene Version der</w:t>
      </w:r>
      <w:r>
        <w:t xml:space="preserve"> </w:t>
      </w:r>
      <w:r>
        <w:t xml:space="preserve">zentralen Automation.</w:t>
      </w:r>
    </w:p>
    <w:p>
      <w:pPr>
        <w:pStyle w:val="Compact"/>
        <w:numPr>
          <w:ilvl w:val="0"/>
          <w:numId w:val="1002"/>
        </w:numPr>
      </w:pPr>
      <w:r>
        <w:t xml:space="preserve">Pushes nach Entwicklung und Abnahme lösen jeweils genau die vorgesehene</w:t>
      </w:r>
      <w:r>
        <w:t xml:space="preserve"> </w:t>
      </w:r>
      <w:r>
        <w:t xml:space="preserve">M/Text-Verteilung aus; ein Push nach Bereitstellung erzeugt ohne Tag keine</w:t>
      </w:r>
      <w:r>
        <w:t xml:space="preserve"> </w:t>
      </w:r>
      <w:r>
        <w:t xml:space="preserve">Lieferung.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.100</w:t>
      </w:r>
      <w:r>
        <w:t xml:space="preserve"> </w:t>
      </w:r>
      <w:r>
        <w:t xml:space="preserve">erzeugt FULL, andere gültige Release-Tags derselben Linie erzeugen</w:t>
      </w:r>
      <w:r>
        <w:t xml:space="preserve"> </w:t>
      </w:r>
      <w:r>
        <w:t xml:space="preserve">ein kumulatives DELTA gegen</w:t>
      </w:r>
      <w:r>
        <w:t xml:space="preserve"> </w:t>
      </w:r>
      <w:r>
        <w:rPr>
          <w:rStyle w:val="VerbatimChar"/>
        </w:rPr>
        <w:t xml:space="preserve">.100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Ressourcenbereitstellung, Adapterantwort, Artefaktprüfung, JCL und die</w:t>
      </w:r>
      <w:r>
        <w:t xml:space="preserve"> </w:t>
      </w:r>
      <w:r>
        <w:t xml:space="preserve">unmittelbare Mainframe-Übergabe wurden auf dem vorgesehenen Betriebsweg</w:t>
      </w:r>
      <w:r>
        <w:t xml:space="preserve"> </w:t>
      </w:r>
      <w:r>
        <w:t xml:space="preserve">erfolgreich geprüft.</w:t>
      </w:r>
    </w:p>
    <w:p>
      <w:pPr>
        <w:pStyle w:val="Compact"/>
        <w:numPr>
          <w:ilvl w:val="0"/>
          <w:numId w:val="1002"/>
        </w:numPr>
      </w:pPr>
      <w:r>
        <w:t xml:space="preserve">Gleichzeitige Schreibvorgänge auf dasselbe Ziel werden verhindert; Läufe für</w:t>
      </w:r>
      <w:r>
        <w:t xml:space="preserve"> </w:t>
      </w:r>
      <w:r>
        <w:t xml:space="preserve">unterschiedliche Mandanten dürfen wie vorgesehen parallel arbeiten.</w:t>
      </w:r>
    </w:p>
    <w:bookmarkEnd w:id="18"/>
    <w:bookmarkStart w:id="19" w:name="X28913f9ea2ac097fdf3056b7fe257ca92e030c6"/>
    <w:p>
      <w:pPr>
        <w:pStyle w:val="Heading2"/>
      </w:pPr>
      <w:r>
        <w:t xml:space="preserve">8. Wiederkehrende Konfigurationsarbeiten</w:t>
      </w:r>
    </w:p>
    <w:p>
      <w:pPr>
        <w:pStyle w:val="FirstParagraph"/>
      </w:pPr>
      <w:r>
        <w:t xml:space="preserve">Bei einer rollierenden Releaselinie sind folgende Änderungen abgestimmt</w:t>
      </w:r>
      <w:r>
        <w:t xml:space="preserve"> </w:t>
      </w:r>
      <w:r>
        <w:t xml:space="preserve">auszuführen:</w:t>
      </w:r>
    </w:p>
    <w:p>
      <w:pPr>
        <w:pStyle w:val="Compact"/>
        <w:numPr>
          <w:ilvl w:val="0"/>
          <w:numId w:val="1003"/>
        </w:numPr>
      </w:pPr>
      <w:r>
        <w:t xml:space="preserve">Linienmapping und Adapterziele in</w:t>
      </w:r>
      <w:r>
        <w:t xml:space="preserve"> </w:t>
      </w:r>
      <w:r>
        <w:rPr>
          <w:rStyle w:val="VerbatimChar"/>
        </w:rPr>
        <w:t xml:space="preserve">mtext-actions/config/deployments.json</w:t>
      </w:r>
      <w:r>
        <w:t xml:space="preserve"> </w:t>
      </w:r>
      <w:r>
        <w:t xml:space="preserve">aktualisieren.</w:t>
      </w:r>
    </w:p>
    <w:p>
      <w:pPr>
        <w:pStyle w:val="Compact"/>
        <w:numPr>
          <w:ilvl w:val="0"/>
          <w:numId w:val="1003"/>
        </w:numPr>
      </w:pPr>
      <w:r>
        <w:t xml:space="preserve">Neue</w:t>
      </w:r>
      <w:r>
        <w:t xml:space="preserve"> </w:t>
      </w:r>
      <w:r>
        <w:rPr>
          <w:rStyle w:val="VerbatimChar"/>
        </w:rPr>
        <w:t xml:space="preserve">&lt;Releaselinie&gt;/Entwicklung</w:t>
      </w:r>
      <w:r>
        <w:t xml:space="preserve">,</w:t>
      </w:r>
      <w:r>
        <w:t xml:space="preserve"> </w:t>
      </w:r>
      <w:r>
        <w:rPr>
          <w:rStyle w:val="VerbatimChar"/>
        </w:rPr>
        <w:t xml:space="preserve">/Abnahme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/Bereitstellung</w:t>
      </w:r>
      <w:r>
        <w:t xml:space="preserve"> </w:t>
      </w:r>
      <w:r>
        <w:t xml:space="preserve">anlegen</w:t>
      </w:r>
      <w:r>
        <w:t xml:space="preserve"> </w:t>
      </w:r>
      <w:r>
        <w:t xml:space="preserve">und die ausgeschiedene Linie gemäß Aufbewahrungsregel stilllegen.</w:t>
      </w:r>
    </w:p>
    <w:p>
      <w:pPr>
        <w:pStyle w:val="Compact"/>
        <w:numPr>
          <w:ilvl w:val="0"/>
          <w:numId w:val="1003"/>
        </w:numPr>
      </w:pPr>
      <w:r>
        <w:t xml:space="preserve">Default Branch auf den Entwicklungsbranch der neuen führenden Linie setzen.</w:t>
      </w:r>
    </w:p>
    <w:p>
      <w:pPr>
        <w:pStyle w:val="Compact"/>
        <w:numPr>
          <w:ilvl w:val="0"/>
          <w:numId w:val="1003"/>
        </w:numPr>
      </w:pPr>
      <w:r>
        <w:t xml:space="preserve">Workflow- und Konfigurationsänderungen je aktiver Linie nach</w:t>
      </w:r>
      <w:r>
        <w:t xml:space="preserve"> </w:t>
      </w:r>
      <w:r>
        <w:rPr>
          <w:rStyle w:val="VerbatimChar"/>
        </w:rPr>
        <w:t xml:space="preserve">Rnnn/Entwicklung</w:t>
      </w:r>
      <w:r>
        <w:t xml:space="preserve"> </w:t>
      </w:r>
      <w:r>
        <w:t xml:space="preserve">einbringen und anschließend normal nach Abnahme und</w:t>
      </w:r>
      <w:r>
        <w:t xml:space="preserve"> </w:t>
      </w:r>
      <w:r>
        <w:t xml:space="preserve">Bereitstellung übernehmen. Es gibt keine automatisch schreibende</w:t>
      </w:r>
      <w:r>
        <w:t xml:space="preserve"> </w:t>
      </w:r>
      <w:r>
        <w:t xml:space="preserve">branchübergreifende Verwaltungsautomation.</w:t>
      </w:r>
    </w:p>
    <w:p>
      <w:pPr>
        <w:pStyle w:val="Compact"/>
        <w:numPr>
          <w:ilvl w:val="0"/>
          <w:numId w:val="1003"/>
        </w:numPr>
      </w:pPr>
      <w:r>
        <w:t xml:space="preserve">Mandantenspezifische technische Übergabewerte bei betrieblichen Änderungen</w:t>
      </w:r>
      <w:r>
        <w:t xml:space="preserve"> </w:t>
      </w:r>
      <w:r>
        <w:t xml:space="preserve">ausschließlich in</w:t>
      </w:r>
      <w:r>
        <w:t xml:space="preserve"> </w:t>
      </w:r>
      <w:r>
        <w:rPr>
          <w:rStyle w:val="VerbatimChar"/>
        </w:rPr>
        <w:t xml:space="preserve">config/mandant.json</w:t>
      </w:r>
      <w:r>
        <w:t xml:space="preserve"> </w:t>
      </w:r>
      <w:r>
        <w:t xml:space="preserve">des betroffenen Mandanten anpassen;</w:t>
      </w:r>
      <w:r>
        <w:t xml:space="preserve"> </w:t>
      </w:r>
      <w:r>
        <w:t xml:space="preserve">die zentral abgeleiteten Lieferdateinamen sind dort nicht konfigurierbar.</w:t>
      </w:r>
    </w:p>
    <w:p>
      <w:pPr>
        <w:pStyle w:val="FirstParagraph"/>
      </w:pPr>
      <w:r>
        <w:t xml:space="preserve">Die dünnen Sync-Workflows enthalten keine Liste aktiver Releaselinien mehr.</w:t>
      </w:r>
      <w:r>
        <w:t xml:space="preserve"> </w:t>
      </w:r>
      <w:r>
        <w:t xml:space="preserve">Ihre generischen Branchmuster bleiben bei einem Linienwechsel unverändert;</w:t>
      </w:r>
      <w:r>
        <w:t xml:space="preserve"> </w:t>
      </w:r>
      <w:r>
        <w:t xml:space="preserve">unbekannte Linien werden durch</w:t>
      </w:r>
      <w:r>
        <w:t xml:space="preserve"> </w:t>
      </w:r>
      <w:r>
        <w:rPr>
          <w:rStyle w:val="VerbatimChar"/>
        </w:rPr>
        <w:t xml:space="preserve">deployments.json</w:t>
      </w:r>
      <w:r>
        <w:t xml:space="preserve"> </w:t>
      </w:r>
      <w:r>
        <w:t xml:space="preserve">abgewiesen.</w:t>
      </w:r>
    </w:p>
    <w:bookmarkEnd w:id="19"/>
    <w:bookmarkStart w:id="20" w:name="X7c6b684f0ebb17df03295a4aaf23a8f8671fb9f"/>
    <w:p>
      <w:pPr>
        <w:pStyle w:val="Heading2"/>
      </w:pPr>
      <w:r>
        <w:t xml:space="preserve">9. Spätere Erweiterungen</w:t>
      </w:r>
    </w:p>
    <w:p>
      <w:pPr>
        <w:pStyle w:val="Compact"/>
        <w:numPr>
          <w:ilvl w:val="0"/>
          <w:numId w:val="1004"/>
        </w:numPr>
      </w:pPr>
      <w:r>
        <w:t xml:space="preserve">E-Mail-Benachrichtigungen zusätzlich zu GitHub-Benachrichtigungen;</w:t>
      </w:r>
    </w:p>
    <w:p>
      <w:pPr>
        <w:pStyle w:val="Compact"/>
        <w:numPr>
          <w:ilvl w:val="0"/>
          <w:numId w:val="1004"/>
        </w:numPr>
      </w:pPr>
      <w:r>
        <w:t xml:space="preserve">optional mehr historische SVN-Tags und Elementhistorie;</w:t>
      </w:r>
    </w:p>
    <w:p>
      <w:pPr>
        <w:pStyle w:val="Compact"/>
        <w:numPr>
          <w:ilvl w:val="0"/>
          <w:numId w:val="1004"/>
        </w:numPr>
      </w:pPr>
      <w:r>
        <w:t xml:space="preserve">bei einer späteren PR-basierten Config-Pflege verbindliche Code-Owner- und</w:t>
      </w:r>
      <w:r>
        <w:t xml:space="preserve"> </w:t>
      </w:r>
      <w:r>
        <w:t xml:space="preserve">Freigaberegel für Änderungen an</w:t>
      </w:r>
      <w:r>
        <w:t xml:space="preserve"> </w:t>
      </w:r>
      <w:r>
        <w:rPr>
          <w:rStyle w:val="VerbatimChar"/>
        </w:rPr>
        <w:t xml:space="preserve">config/mandant.json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optionales M/Text- oder Mainframe-Status-Polling als eigener Ausbau, nicht</w:t>
      </w:r>
      <w:r>
        <w:t xml:space="preserve"> </w:t>
      </w:r>
      <w:r>
        <w:t xml:space="preserve">als Voraussetzung für die erste Produktivsetzung.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../Architektur_Soll_GitHub_Actions_Git.drawio" TargetMode="External" /><Relationship Type="http://schemas.openxmlformats.org/officeDocument/2006/relationships/hyperlink" Id="rId10" Target="./Benutzeranleitung.md" TargetMode="External" /><Relationship Type="http://schemas.openxmlformats.org/officeDocument/2006/relationships/hyperlink" Id="rId9" Target="./Zielbild_GitHub_Actions_G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../Architektur_Soll_GitHub_Actions_Git.drawio" TargetMode="External" /><Relationship Type="http://schemas.openxmlformats.org/officeDocument/2006/relationships/hyperlink" Id="rId10" Target="./Benutzeranleitung.md" TargetMode="External" /><Relationship Type="http://schemas.openxmlformats.org/officeDocument/2006/relationships/hyperlink" Id="rId9" Target="./Zielbild_GitHub_Actions_G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2026-07-16T20:14:46Z</dcterms:created>
  <dcterms:modified xsi:type="dcterms:W3CDTF">2026-07-16T20:14:46Z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