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X5767fe00d06021c73500f578850dd0563b4d425"/>
    <w:p>
      <w:pPr>
        <w:pStyle w:val="Heading1"/>
      </w:pPr>
      <w:r>
        <w:t xml:space="preserve">Benutzeranleitung für die M/Text-Lieferung mit GitHub Actions</w:t>
      </w:r>
    </w:p>
    <w:p>
      <w:pPr>
        <w:pStyle w:val="FirstParagraph"/>
      </w:pPr>
      <w:r>
        <w:rPr>
          <w:b/>
          <w:bCs/>
        </w:rPr>
        <w:t xml:space="preserve">Bezug:</w:t>
      </w:r>
      <w:r>
        <w:t xml:space="preserve"> </w:t>
      </w:r>
      <w:hyperlink r:id="rId9">
        <w:r>
          <w:rPr>
            <w:rStyle w:val="Hyperlink"/>
          </w:rPr>
          <w:t xml:space="preserve">Zielbild</w:t>
        </w:r>
      </w:hyperlink>
      <w:r>
        <w:t xml:space="preserve">,</w:t>
      </w:r>
      <w:r>
        <w:t xml:space="preserve"> </w:t>
      </w:r>
      <w:hyperlink r:id="rId10">
        <w:r>
          <w:rPr>
            <w:rStyle w:val="Hyperlink"/>
          </w:rPr>
          <w:t xml:space="preserve">Soll-Grafik</w:t>
        </w:r>
      </w:hyperlink>
    </w:p>
    <w:bookmarkStart w:id="14" w:name="X2788b6074c097b73d1ba978dbc7910d1f387bb7"/>
    <w:p>
      <w:pPr>
        <w:pStyle w:val="Heading2"/>
      </w:pPr>
      <w:r>
        <w:t xml:space="preserve">1. Zweck</w:t>
      </w:r>
    </w:p>
    <w:p>
      <w:pPr>
        <w:pStyle w:val="FirstParagraph"/>
      </w:pPr>
      <w:r>
        <w:t xml:space="preserve">Die Lösung führt M/Text-Ressourcen eines Mandanten über die drei Stufen</w:t>
      </w:r>
      <w:r>
        <w:t xml:space="preserve"> </w:t>
      </w:r>
      <w:r>
        <w:rPr>
          <w:rStyle w:val="VerbatimChar"/>
        </w:rPr>
        <w:t xml:space="preserve">Entwicklung</w:t>
      </w:r>
      <w:r>
        <w:t xml:space="preserve">,</w:t>
      </w:r>
      <w:r>
        <w:t xml:space="preserve"> </w:t>
      </w:r>
      <w:r>
        <w:rPr>
          <w:rStyle w:val="VerbatimChar"/>
        </w:rPr>
        <w:t xml:space="preserve">Abnahme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Bereitstellung</w:t>
      </w:r>
      <w:r>
        <w:t xml:space="preserve">. Pushes nach Entwicklung und</w:t>
      </w:r>
      <w:r>
        <w:t xml:space="preserve"> </w:t>
      </w:r>
      <w:r>
        <w:t xml:space="preserve">Abnahme lösen die jeweilige M/Text-Synchronisation aus. Der Push nach</w:t>
      </w:r>
      <w:r>
        <w:t xml:space="preserve"> </w:t>
      </w:r>
      <w:r>
        <w:t xml:space="preserve">Bereitstellung liefert noch nichts aus; erst ein Release-Tag startet eine</w:t>
      </w:r>
      <w:r>
        <w:t xml:space="preserve"> </w:t>
      </w:r>
      <w:r>
        <w:t xml:space="preserve">FULL- oder DELTA-Lieferung mit anschließender Mainframe-Übergabe an IZE9.</w:t>
      </w:r>
    </w:p>
    <w:bookmarkStart w:id="11" w:name="hinweis-zur-einführung"/>
    <w:p>
      <w:pPr>
        <w:pStyle w:val="Heading3"/>
      </w:pPr>
      <w:r>
        <w:t xml:space="preserve">Hinweis zur Einführung</w:t>
      </w:r>
    </w:p>
    <w:p>
      <w:pPr>
        <w:pStyle w:val="FirstParagraph"/>
      </w:pPr>
      <w:r>
        <w:t xml:space="preserve">Voraussichtlich ab November/Dezember 2026 steht die neue GitHub-Umgebung auf</w:t>
      </w:r>
      <w:r>
        <w:t xml:space="preserve"> </w:t>
      </w:r>
      <w:r>
        <w:t xml:space="preserve">Basis eines Abzugs der SVN-Repositories zunächst für Tests zur Verfügung. In</w:t>
      </w:r>
      <w:r>
        <w:t xml:space="preserve"> </w:t>
      </w:r>
      <w:r>
        <w:t xml:space="preserve">diesem Parallelbetrieb bleibt der bisherige Jenkins-/SVN-Prozess produktiv. Die</w:t>
      </w:r>
      <w:r>
        <w:t xml:space="preserve"> </w:t>
      </w:r>
      <w:r>
        <w:t xml:space="preserve">Produktivsetzung ist ab Januar 2027 als harter Cutover geplant. Ab dann ist</w:t>
      </w:r>
      <w:r>
        <w:t xml:space="preserve"> </w:t>
      </w:r>
      <w:r>
        <w:t xml:space="preserve">GitHub für den M/Text-Tonic-Lieferprozess das führende System.</w:t>
      </w:r>
    </w:p>
    <w:bookmarkEnd w:id="11"/>
    <w:bookmarkStart w:id="13" w:name="abgrenzung"/>
    <w:p>
      <w:pPr>
        <w:pStyle w:val="Heading3"/>
      </w:pPr>
      <w:r>
        <w:t xml:space="preserve">Abgrenzung</w:t>
      </w:r>
    </w:p>
    <w:p>
      <w:pPr>
        <w:pStyle w:val="FirstParagraph"/>
      </w:pPr>
      <w:r>
        <w:t xml:space="preserve">Zu Themen wie technischer Einrichtung, Aktivierung und Cutover gibt es</w:t>
      </w:r>
      <w:r>
        <w:t xml:space="preserve"> </w:t>
      </w:r>
      <w:hyperlink r:id="rId12">
        <w:r>
          <w:rPr>
            <w:rStyle w:val="Hyperlink"/>
          </w:rPr>
          <w:t xml:space="preserve">Nächste Schritte</w:t>
        </w:r>
      </w:hyperlink>
      <w:r>
        <w:t xml:space="preserve">.</w:t>
      </w:r>
    </w:p>
    <w:p>
      <w:pPr>
        <w:pStyle w:val="BodyText"/>
      </w:pPr>
      <w:r>
        <w:t xml:space="preserve">Die konkrete Benutzerverwaltung erfolgt je Mandanten-Repository. Für</w:t>
      </w:r>
      <w:r>
        <w:t xml:space="preserve"> </w:t>
      </w:r>
      <w:r>
        <w:rPr>
          <w:rStyle w:val="VerbatimChar"/>
        </w:rPr>
        <w:t xml:space="preserve">Bereitstellung</w:t>
      </w:r>
      <w:r>
        <w:t xml:space="preserve"> </w:t>
      </w:r>
      <w:r>
        <w:t xml:space="preserve">und das Setzen von Release-Tags benennt jeder Mandant einen</w:t>
      </w:r>
      <w:r>
        <w:t xml:space="preserve"> </w:t>
      </w:r>
      <w:r>
        <w:t xml:space="preserve">kleinen Kreis von Release-Verantwortlichen. Andere Mitarbeiter können diese</w:t>
      </w:r>
      <w:r>
        <w:t xml:space="preserve"> </w:t>
      </w:r>
      <w:r>
        <w:t xml:space="preserve">Schritte nur ausführen, wenn sie diesem Kreis angehören.</w:t>
      </w:r>
    </w:p>
    <w:bookmarkEnd w:id="13"/>
    <w:bookmarkEnd w:id="14"/>
    <w:bookmarkStart w:id="19" w:name="Xe7c14a9817ad2f28b266ebd628a78b6142cd150"/>
    <w:p>
      <w:pPr>
        <w:pStyle w:val="Heading2"/>
      </w:pPr>
      <w:r>
        <w:t xml:space="preserve">2. Begriffe und Namensregeln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Verbindliches Format</w:t>
            </w:r>
          </w:p>
        </w:tc>
        <w:tc>
          <w:tcPr/>
          <w:p>
            <w:pPr>
              <w:pStyle w:val="Compact"/>
            </w:pPr>
            <w:r>
              <w:t xml:space="preserve">Beispiel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Stufenbranch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Rnnn/Entwicklung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Rnnn/Abnahme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Rnnn/Bereitstellung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R271/Entwicklung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Optionaler Feature-Branch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feature/Rnnn/&lt;Issue&gt;-&lt;kurzname&gt;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feature/R270/0711-komplizierte-Arbeiten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Release-Tag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Rnnn.nnn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R261.100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R261.108</w:t>
            </w:r>
          </w:p>
        </w:tc>
      </w:tr>
    </w:tbl>
    <w:p>
      <w:pPr>
        <w:pStyle w:val="BodyText"/>
      </w:pPr>
      <w:r>
        <w:t xml:space="preserve">Groß-/Kleinschreibung der Stufen ist verbindlich. Aktive Linien sind derzeit</w:t>
      </w:r>
      <w:r>
        <w:t xml:space="preserve"> </w:t>
      </w:r>
      <w:r>
        <w:rPr>
          <w:rStyle w:val="VerbatimChar"/>
        </w:rPr>
        <w:t xml:space="preserve">R260</w:t>
      </w:r>
      <w:r>
        <w:t xml:space="preserve">,</w:t>
      </w:r>
      <w:r>
        <w:t xml:space="preserve"> </w:t>
      </w:r>
      <w:r>
        <w:rPr>
          <w:rStyle w:val="VerbatimChar"/>
        </w:rPr>
        <w:t xml:space="preserve">R261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R270</w:t>
      </w:r>
      <w:r>
        <w:t xml:space="preserve">.</w:t>
      </w:r>
    </w:p>
    <w:bookmarkStart w:id="15" w:name="X3969ccc0bfc10447754586e04ecdbc3a3d258ea"/>
    <w:p>
      <w:pPr>
        <w:pStyle w:val="Heading3"/>
      </w:pPr>
      <w:r>
        <w:t xml:space="preserve">Unterschied zwischen SVN und Git einfach erklärt</w:t>
      </w:r>
    </w:p>
    <w:p>
      <w:pPr>
        <w:pStyle w:val="FirstParagraph"/>
      </w:pPr>
      <w:r>
        <w:t xml:space="preserve">SVN und Git erfüllen denselben Grundzweck: Sie speichern Änderungen an Dateien</w:t>
      </w:r>
      <w:r>
        <w:t xml:space="preserve"> </w:t>
      </w:r>
      <w:r>
        <w:t xml:space="preserve">und machen frühere Stände nachvollziehbar. Der wichtigste Unterschied liegt</w:t>
      </w:r>
      <w:r>
        <w:t xml:space="preserve"> </w:t>
      </w:r>
      <w:r>
        <w:t xml:space="preserve">darin, wie Änderungen gespeichert und mit anderen geteilt werden.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SVN</w:t>
            </w:r>
          </w:p>
        </w:tc>
        <w:tc>
          <w:tcPr/>
          <w:p>
            <w:pPr>
              <w:pStyle w:val="Compact"/>
            </w:pPr>
            <w:r>
              <w:t xml:space="preserve">Git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Die gemeinsame Versionsverwaltung liegt zentral auf dem SVN-Server.</w:t>
            </w:r>
          </w:p>
        </w:tc>
        <w:tc>
          <w:tcPr/>
          <w:p>
            <w:pPr>
              <w:pStyle w:val="Compact"/>
            </w:pPr>
            <w:r>
              <w:t xml:space="preserve">Jeder ausgecheckte Arbeitsbereich ist ein eigenes lokales Git-Repository mit Versionshistorie. GitHub dient als gemeinsame, zentrale Austauschplattform.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Ein Commit überträgt eine Änderung direkt an den SVN-Server.</w:t>
            </w:r>
          </w:p>
        </w:tc>
        <w:tc>
          <w:tcPr/>
          <w:p>
            <w:pPr>
              <w:pStyle w:val="Compact"/>
            </w:pPr>
            <w:r>
              <w:t xml:space="preserve">Ein Commit speichert die Änderung zunächst nur lokal. Erst ein anschließender Push überträgt sie nach GitHub.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Neue Stände erhalten fortlaufende Revisionsnummern wie</w:t>
            </w:r>
            <w:r>
              <w:t xml:space="preserve"> </w:t>
            </w:r>
            <w:r>
              <w:rPr>
                <w:rStyle w:val="VerbatimChar"/>
              </w:rPr>
              <w:t xml:space="preserve">r12345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Jeder Stand erhält eine eindeutige Commit-SHA.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Branches werden vergleichsweise selten und eher für länger getrennte Entwicklungslinien verwendet.</w:t>
            </w:r>
          </w:p>
        </w:tc>
        <w:tc>
          <w:tcPr/>
          <w:p>
            <w:pPr>
              <w:pStyle w:val="Compact"/>
            </w:pPr>
            <w:r>
              <w:t xml:space="preserve">Branches lassen sich leicht als vorübergehende Arbeitsbereiche für einzelne Änderungen nutzen.</w:t>
            </w:r>
          </w:p>
        </w:tc>
      </w:tr>
    </w:tbl>
    <w:p>
      <w:pPr>
        <w:pStyle w:val="BodyText"/>
      </w:pPr>
      <w:r>
        <w:t xml:space="preserve">Für die tägliche Arbeit bedeutet das vor allem:</w:t>
      </w:r>
      <w:r>
        <w:t xml:space="preserve"> </w:t>
      </w:r>
      <w:r>
        <w:rPr>
          <w:b/>
          <w:bCs/>
        </w:rPr>
        <w:t xml:space="preserve">Committen und Pushen sind in</w:t>
      </w:r>
      <w:r>
        <w:rPr>
          <w:b/>
          <w:bCs/>
        </w:rPr>
        <w:t xml:space="preserve"> </w:t>
      </w:r>
      <w:r>
        <w:rPr>
          <w:b/>
          <w:bCs/>
        </w:rPr>
        <w:t xml:space="preserve">Git zwei getrennte Schritte.</w:t>
      </w:r>
      <w:r>
        <w:t xml:space="preserve"> </w:t>
      </w:r>
      <w:r>
        <w:t xml:space="preserve">Ein lokaler Commit sichert den eigenen</w:t>
      </w:r>
      <w:r>
        <w:t xml:space="preserve"> </w:t>
      </w:r>
      <w:r>
        <w:t xml:space="preserve">Arbeitsstand, verändert aber noch nichts auf GitHub und löst keine</w:t>
      </w:r>
      <w:r>
        <w:t xml:space="preserve"> </w:t>
      </w:r>
      <w:r>
        <w:t xml:space="preserve">Synchronisation aus. Erst der Push auf einen Stufenbranch veröffentlicht den</w:t>
      </w:r>
      <w:r>
        <w:t xml:space="preserve"> </w:t>
      </w:r>
      <w:r>
        <w:t xml:space="preserve">Stand und startet – bei Entwicklung oder Abnahme – den zugehörigen Workflow.</w:t>
      </w:r>
    </w:p>
    <w:p>
      <w:pPr>
        <w:pStyle w:val="BodyText"/>
      </w:pPr>
      <w:r>
        <w:t xml:space="preserve">Git und GitHub sind dabei nicht dasselbe:</w:t>
      </w:r>
      <w:r>
        <w:t xml:space="preserve"> </w:t>
      </w:r>
      <w:r>
        <w:rPr>
          <w:b/>
          <w:bCs/>
        </w:rPr>
        <w:t xml:space="preserve">Git</w:t>
      </w:r>
      <w:r>
        <w:t xml:space="preserve"> </w:t>
      </w:r>
      <w:r>
        <w:t xml:space="preserve">ist die</w:t>
      </w:r>
      <w:r>
        <w:t xml:space="preserve"> </w:t>
      </w:r>
      <w:r>
        <w:t xml:space="preserve">Versionsverwaltung.</w:t>
      </w:r>
      <w:r>
        <w:t xml:space="preserve"> </w:t>
      </w:r>
      <w:r>
        <w:rPr>
          <w:b/>
          <w:bCs/>
        </w:rPr>
        <w:t xml:space="preserve">GitHub</w:t>
      </w:r>
      <w:r>
        <w:t xml:space="preserve"> </w:t>
      </w:r>
      <w:r>
        <w:t xml:space="preserve">stellt das gemeinsame Repository, die</w:t>
      </w:r>
      <w:r>
        <w:t xml:space="preserve"> </w:t>
      </w:r>
      <w:r>
        <w:t xml:space="preserve">Oberfläche, Berechtigungen und die GitHub-Actions-Automation bereit.</w:t>
      </w:r>
    </w:p>
    <w:bookmarkEnd w:id="15"/>
    <w:bookmarkStart w:id="16" w:name="feature-branch-einfach-erklärt"/>
    <w:p>
      <w:pPr>
        <w:pStyle w:val="Heading3"/>
      </w:pPr>
      <w:r>
        <w:t xml:space="preserve">Feature-Branch einfach erklärt</w:t>
      </w:r>
    </w:p>
    <w:p>
      <w:pPr>
        <w:pStyle w:val="FirstParagraph"/>
      </w:pPr>
      <w:r>
        <w:t xml:space="preserve">Ein</w:t>
      </w:r>
      <w:r>
        <w:t xml:space="preserve"> </w:t>
      </w:r>
      <w:r>
        <w:rPr>
          <w:b/>
          <w:bCs/>
        </w:rPr>
        <w:t xml:space="preserve">Feature-Branch</w:t>
      </w:r>
      <w:r>
        <w:t xml:space="preserve"> </w:t>
      </w:r>
      <w:r>
        <w:t xml:space="preserve">ist ein eigener Arbeitsbereich für eine einzelne</w:t>
      </w:r>
      <w:r>
        <w:t xml:space="preserve"> </w:t>
      </w:r>
      <w:r>
        <w:t xml:space="preserve">Änderung. Dort kann ein noch unfertiger Stand gespeichert und bei Bedarf nach</w:t>
      </w:r>
      <w:r>
        <w:t xml:space="preserve"> </w:t>
      </w:r>
      <w:r>
        <w:t xml:space="preserve">GitHub gepusht werden, ohne bereits das M/Text-Entwicklungssystem zu</w:t>
      </w:r>
      <w:r>
        <w:t xml:space="preserve"> </w:t>
      </w:r>
      <w:r>
        <w:t xml:space="preserve">aktualisieren. Das ist besonders nützlich, wenn eine Änderung mehrere Tage</w:t>
      </w:r>
      <w:r>
        <w:t xml:space="preserve"> </w:t>
      </w:r>
      <w:r>
        <w:t xml:space="preserve">dauert, mehrere Personen daran arbeiten oder der Zwischenstand zunächst</w:t>
      </w:r>
      <w:r>
        <w:t xml:space="preserve"> </w:t>
      </w:r>
      <w:r>
        <w:t xml:space="preserve">geprüft werden soll.</w:t>
      </w:r>
    </w:p>
    <w:p>
      <w:pPr>
        <w:pStyle w:val="BodyText"/>
      </w:pPr>
      <w:r>
        <w:t xml:space="preserve">Für eine kleine, fertig vorbereitete Änderung ist kein Feature-Branch nötig.</w:t>
      </w:r>
      <w:r>
        <w:t xml:space="preserve"> </w:t>
      </w:r>
      <w:r>
        <w:t xml:space="preserve">Sie kann direkt auf dem passenden Entwicklungsbranch bearbeitet und gepusht</w:t>
      </w:r>
      <w:r>
        <w:t xml:space="preserve"> </w:t>
      </w:r>
      <w:r>
        <w:t xml:space="preserve">werden. Ist die Arbeit auf einem Feature-Branch abgeschlossen, wird der</w:t>
      </w:r>
      <w:r>
        <w:t xml:space="preserve"> </w:t>
      </w:r>
      <w:r>
        <w:t xml:space="preserve">gewünschte Commit nach</w:t>
      </w:r>
      <w:r>
        <w:t xml:space="preserve"> </w:t>
      </w:r>
      <w:r>
        <w:rPr>
          <w:rStyle w:val="VerbatimChar"/>
        </w:rPr>
        <w:t xml:space="preserve">&lt;Releaselinie&gt;/Entwicklung</w:t>
      </w:r>
      <w:r>
        <w:t xml:space="preserve"> </w:t>
      </w:r>
      <w:r>
        <w:t xml:space="preserve">übernommen. Erst der Push</w:t>
      </w:r>
      <w:r>
        <w:t xml:space="preserve"> </w:t>
      </w:r>
      <w:r>
        <w:t xml:space="preserve">dieses Entwicklungsbranches startet die M/Text-Synchronisation. Der</w:t>
      </w:r>
      <w:r>
        <w:t xml:space="preserve"> </w:t>
      </w:r>
      <w:r>
        <w:t xml:space="preserve">Feature-Branch selbst bezeichnet keine Lieferstufe und löst weder eine</w:t>
      </w:r>
      <w:r>
        <w:t xml:space="preserve"> </w:t>
      </w:r>
      <w:r>
        <w:t xml:space="preserve">M/Text-Synchronisation noch einen Release aus. Nur wenn</w:t>
      </w:r>
      <w:r>
        <w:t xml:space="preserve"> </w:t>
      </w:r>
      <w:r>
        <w:rPr>
          <w:rStyle w:val="VerbatimChar"/>
        </w:rPr>
        <w:t xml:space="preserve">config/mandant.json</w:t>
      </w:r>
      <w:r>
        <w:t xml:space="preserve"> </w:t>
      </w:r>
      <w:r>
        <w:t xml:space="preserve">geändert wird, läuft dort der nebenwirkungsfreie</w:t>
      </w:r>
      <w:r>
        <w:t xml:space="preserve"> </w:t>
      </w:r>
      <w:r>
        <w:t xml:space="preserve">Config-Check.</w:t>
      </w:r>
    </w:p>
    <w:bookmarkEnd w:id="16"/>
    <w:bookmarkStart w:id="17" w:name="commit-und-sha-einfach-erklärt"/>
    <w:p>
      <w:pPr>
        <w:pStyle w:val="Heading3"/>
      </w:pPr>
      <w:r>
        <w:t xml:space="preserve">Commit und SHA einfach erklärt</w:t>
      </w:r>
    </w:p>
    <w:p>
      <w:pPr>
        <w:pStyle w:val="FirstParagraph"/>
      </w:pPr>
      <w:r>
        <w:t xml:space="preserve">Ein</w:t>
      </w:r>
      <w:r>
        <w:t xml:space="preserve"> </w:t>
      </w:r>
      <w:r>
        <w:rPr>
          <w:b/>
          <w:bCs/>
        </w:rPr>
        <w:t xml:space="preserve">Commit</w:t>
      </w:r>
      <w:r>
        <w:t xml:space="preserve"> </w:t>
      </w:r>
      <w:r>
        <w:t xml:space="preserve">ist ein gespeicherter Stand im Git-Repository. Jeder Commit hat</w:t>
      </w:r>
      <w:r>
        <w:t xml:space="preserve"> </w:t>
      </w:r>
      <w:r>
        <w:t xml:space="preserve">eine eindeutige technische Kennung, den</w:t>
      </w:r>
      <w:r>
        <w:t xml:space="preserve"> </w:t>
      </w:r>
      <w:r>
        <w:rPr>
          <w:b/>
          <w:bCs/>
        </w:rPr>
        <w:t xml:space="preserve">Commit-SHA</w:t>
      </w:r>
      <w:r>
        <w:t xml:space="preserve">. Sie besteht in diesem</w:t>
      </w:r>
      <w:r>
        <w:t xml:space="preserve"> </w:t>
      </w:r>
      <w:r>
        <w:t xml:space="preserve">Repository aus 40 Zeichen, zum Beispiel</w:t>
      </w:r>
      <w:r>
        <w:t xml:space="preserve"> </w:t>
      </w:r>
      <w:r>
        <w:rPr>
          <w:rStyle w:val="VerbatimChar"/>
        </w:rPr>
        <w:t xml:space="preserve">8f3a1c2d4e5f67890123456789abcdef01234567</w:t>
      </w:r>
      <w:r>
        <w:t xml:space="preserve">. Meist genügt in der Oberfläche</w:t>
      </w:r>
      <w:r>
        <w:t xml:space="preserve"> </w:t>
      </w:r>
      <w:r>
        <w:t xml:space="preserve">eine verkürzte Darstellung; für einen manuellen Wiederanlauf verlangt die</w:t>
      </w:r>
      <w:r>
        <w:t xml:space="preserve"> </w:t>
      </w:r>
      <w:r>
        <w:t xml:space="preserve">Automation jedoch die vollständige Kennung.</w:t>
      </w:r>
    </w:p>
    <w:p>
      <w:pPr>
        <w:pStyle w:val="BodyText"/>
      </w:pPr>
      <w:r>
        <w:t xml:space="preserve">Ein Branchname wie</w:t>
      </w:r>
      <w:r>
        <w:t xml:space="preserve"> </w:t>
      </w:r>
      <w:r>
        <w:rPr>
          <w:rStyle w:val="VerbatimChar"/>
        </w:rPr>
        <w:t xml:space="preserve">R261/Entwicklung</w:t>
      </w:r>
      <w:r>
        <w:t xml:space="preserve"> </w:t>
      </w:r>
      <w:r>
        <w:t xml:space="preserve">bezeichnet dagegen keinen dauerhaft</w:t>
      </w:r>
      <w:r>
        <w:t xml:space="preserve"> </w:t>
      </w:r>
      <w:r>
        <w:t xml:space="preserve">festen Stand. Er zeigt auf den jeweils neuesten Commit des Branches und bewegt</w:t>
      </w:r>
      <w:r>
        <w:t xml:space="preserve"> </w:t>
      </w:r>
      <w:r>
        <w:t xml:space="preserve">sich mit jedem weiteren Push. Wenn in dieser Anleitung vom „exakten Commit“</w:t>
      </w:r>
      <w:r>
        <w:t xml:space="preserve"> </w:t>
      </w:r>
      <w:r>
        <w:t xml:space="preserve">die Rede ist, bedeutet das deshalb: Verarbeitet wird genau der Stand, der den</w:t>
      </w:r>
      <w:r>
        <w:t xml:space="preserve"> </w:t>
      </w:r>
      <w:r>
        <w:t xml:space="preserve">Lauf ausgelöst hat – nicht ein möglicherweise inzwischen neuerer Stand auf</w:t>
      </w:r>
      <w:r>
        <w:t xml:space="preserve"> </w:t>
      </w:r>
      <w:r>
        <w:t xml:space="preserve">demselben Branch. Bei einem normalen Push übernimmt GitHub diese Kennung</w:t>
      </w:r>
      <w:r>
        <w:t xml:space="preserve"> </w:t>
      </w:r>
      <w:r>
        <w:t xml:space="preserve">automatisch; Benutzer müssen sie nur bei einer manuellen Wiederholung angeben.</w:t>
      </w:r>
    </w:p>
    <w:p>
      <w:pPr>
        <w:pStyle w:val="BodyText"/>
      </w:pPr>
      <w:r>
        <w:t xml:space="preserve">In SVN wird ein Stand üblicherweise über eine fortlaufende Revisionsnummer wie</w:t>
      </w:r>
      <w:r>
        <w:t xml:space="preserve"> </w:t>
      </w:r>
      <w:r>
        <w:rPr>
          <w:rStyle w:val="VerbatimChar"/>
        </w:rPr>
        <w:t xml:space="preserve">r12345</w:t>
      </w:r>
      <w:r>
        <w:t xml:space="preserve"> </w:t>
      </w:r>
      <w:r>
        <w:t xml:space="preserve">bezeichnet. Git ist nicht an ein zentrales, fortlaufendes</w:t>
      </w:r>
      <w:r>
        <w:t xml:space="preserve"> </w:t>
      </w:r>
      <w:r>
        <w:t xml:space="preserve">Nummernsystem gebunden und verwendet daher die Commit-SHA als eindeutige</w:t>
      </w:r>
      <w:r>
        <w:t xml:space="preserve"> </w:t>
      </w:r>
      <w:r>
        <w:t xml:space="preserve">Kennung. Der Zweck ist vergleichbar: Beide Angaben machen einen konkreten</w:t>
      </w:r>
      <w:r>
        <w:t xml:space="preserve"> </w:t>
      </w:r>
      <w:r>
        <w:t xml:space="preserve">Quellstand nachvollziehbar. Die Git-Kennung ist lediglich technisch anders</w:t>
      </w:r>
      <w:r>
        <w:t xml:space="preserve"> </w:t>
      </w:r>
      <w:r>
        <w:t xml:space="preserve">aufgebaut und weniger leicht zu merken.</w:t>
      </w:r>
    </w:p>
    <w:p>
      <w:pPr>
        <w:pStyle w:val="BodyText"/>
      </w:pPr>
      <w:r>
        <w:t xml:space="preserve">Daneben kommen zwei ähnlich aussehende, aber anders verwendete Kennungen vor:</w:t>
      </w:r>
    </w:p>
    <w:p>
      <w:pPr>
        <w:pStyle w:val="Compact"/>
        <w:numPr>
          <w:ilvl w:val="0"/>
          <w:numId w:val="1001"/>
        </w:numPr>
      </w:pPr>
      <w:r>
        <w:t xml:space="preserve">Der Commit-SHA von</w:t>
      </w:r>
      <w:r>
        <w:t xml:space="preserve"> </w:t>
      </w:r>
      <w:r>
        <w:rPr>
          <w:rStyle w:val="VerbatimChar"/>
        </w:rPr>
        <w:t xml:space="preserve">mtext-actions</w:t>
      </w:r>
      <w:r>
        <w:t xml:space="preserve"> </w:t>
      </w:r>
      <w:r>
        <w:t xml:space="preserve">legt für Administratoren fest, welche</w:t>
      </w:r>
      <w:r>
        <w:t xml:space="preserve"> </w:t>
      </w:r>
      <w:r>
        <w:t xml:space="preserve">freigegebene Version der zentralen Automation verwendet wird.</w:t>
      </w:r>
    </w:p>
    <w:p>
      <w:pPr>
        <w:pStyle w:val="Compact"/>
        <w:numPr>
          <w:ilvl w:val="0"/>
          <w:numId w:val="1001"/>
        </w:numPr>
      </w:pPr>
      <w:r>
        <w:t xml:space="preserve">Eine SHA-256-Prüfsumme bestätigt, dass eine erzeugte Paketdatei nach dem Bau</w:t>
      </w:r>
      <w:r>
        <w:t xml:space="preserve"> </w:t>
      </w:r>
      <w:r>
        <w:t xml:space="preserve">nicht verändert wurde. Sie bezeichnet keinen Git-Commit.</w:t>
      </w:r>
    </w:p>
    <w:bookmarkEnd w:id="17"/>
    <w:bookmarkStart w:id="18" w:name="was-ist-configmandantjson"/>
    <w:p>
      <w:pPr>
        <w:pStyle w:val="Heading3"/>
      </w:pPr>
      <w:r>
        <w:t xml:space="preserve">Was ist</w:t>
      </w:r>
      <w:r>
        <w:t xml:space="preserve"> </w:t>
      </w:r>
      <w:r>
        <w:rPr>
          <w:rStyle w:val="VerbatimChar"/>
        </w:rPr>
        <w:t xml:space="preserve">config/mandant.json</w:t>
      </w:r>
      <w:r>
        <w:t xml:space="preserve">?</w:t>
      </w:r>
    </w:p>
    <w:p>
      <w:pPr>
        <w:pStyle w:val="FirstParagraph"/>
      </w:pPr>
      <w:r>
        <w:t xml:space="preserve">Die Datei</w:t>
      </w:r>
      <w:r>
        <w:t xml:space="preserve"> </w:t>
      </w:r>
      <w:r>
        <w:rPr>
          <w:rStyle w:val="VerbatimChar"/>
        </w:rPr>
        <w:t xml:space="preserve">config/mandant.json</w:t>
      </w:r>
      <w:r>
        <w:t xml:space="preserve"> </w:t>
      </w:r>
      <w:r>
        <w:t xml:space="preserve">beschreibt den Mandanten und gehört wie die</w:t>
      </w:r>
      <w:r>
        <w:t xml:space="preserve"> </w:t>
      </w:r>
      <w:r>
        <w:t xml:space="preserve">M/Text-Ressourcen zum versionierten Stand des Repositories. Sie legt</w:t>
      </w:r>
      <w:r>
        <w:t xml:space="preserve"> </w:t>
      </w:r>
      <w:r>
        <w:t xml:space="preserve">insbesondere fest:</w:t>
      </w:r>
    </w:p>
    <w:p>
      <w:pPr>
        <w:pStyle w:val="Compact"/>
        <w:numPr>
          <w:ilvl w:val="0"/>
          <w:numId w:val="1002"/>
        </w:numPr>
      </w:pPr>
      <w:r>
        <w:t xml:space="preserve">welche Projektverzeichnisse synchronisiert und in Releasepakete aufgenommen</w:t>
      </w:r>
      <w:r>
        <w:t xml:space="preserve"> </w:t>
      </w:r>
      <w:r>
        <w:t xml:space="preserve">werden;</w:t>
      </w:r>
    </w:p>
    <w:p>
      <w:pPr>
        <w:pStyle w:val="Compact"/>
        <w:numPr>
          <w:ilvl w:val="0"/>
          <w:numId w:val="1002"/>
        </w:numPr>
      </w:pPr>
      <w:r>
        <w:t xml:space="preserve">welcher Paketcode je Projekt verwendet wird;</w:t>
      </w:r>
    </w:p>
    <w:p>
      <w:pPr>
        <w:pStyle w:val="Compact"/>
        <w:numPr>
          <w:ilvl w:val="0"/>
          <w:numId w:val="1002"/>
        </w:numPr>
      </w:pPr>
      <w:r>
        <w:t xml:space="preserve">welches Subsystem sowie welche Assignments und Level für die</w:t>
      </w:r>
      <w:r>
        <w:t xml:space="preserve"> </w:t>
      </w:r>
      <w:r>
        <w:t xml:space="preserve">Mainframe-Lieferung gelten;</w:t>
      </w:r>
    </w:p>
    <w:p>
      <w:pPr>
        <w:pStyle w:val="Compact"/>
        <w:numPr>
          <w:ilvl w:val="0"/>
          <w:numId w:val="1002"/>
        </w:numPr>
      </w:pPr>
      <w:r>
        <w:t xml:space="preserve">welche ausdrücklich vereinbarten zusätzlichen Sync-Projekte gelten.</w:t>
      </w:r>
    </w:p>
    <w:p>
      <w:pPr>
        <w:pStyle w:val="FirstParagraph"/>
      </w:pPr>
      <w:r>
        <w:t xml:space="preserve">Ein Verzeichnis im Repository wird nicht allein dadurch ausgeliefert, dass es</w:t>
      </w:r>
      <w:r>
        <w:t xml:space="preserve"> </w:t>
      </w:r>
      <w:r>
        <w:t xml:space="preserve">vorhanden ist. Nur Einträge unter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 </w:t>
      </w:r>
      <w:r>
        <w:t xml:space="preserve">werden synchronisiert und in</w:t>
      </w:r>
      <w:r>
        <w:t xml:space="preserve"> </w:t>
      </w:r>
      <w:r>
        <w:t xml:space="preserve">Releasepakete aufgenommen. Einträge unter</w:t>
      </w:r>
      <w:r>
        <w:t xml:space="preserve"> </w:t>
      </w:r>
      <w:r>
        <w:rPr>
          <w:rStyle w:val="VerbatimChar"/>
        </w:rPr>
        <w:t xml:space="preserve">sync_overrides</w:t>
      </w:r>
      <w:r>
        <w:t xml:space="preserve"> </w:t>
      </w:r>
      <w:r>
        <w:t xml:space="preserve">ergänzen die</w:t>
      </w:r>
      <w:r>
        <w:t xml:space="preserve"> </w:t>
      </w:r>
      <w:r>
        <w:t xml:space="preserve">Synchronisation nur für die dort genannte Linie und Stufe; sie werden nicht</w:t>
      </w:r>
      <w:r>
        <w:t xml:space="preserve"> </w:t>
      </w:r>
      <w:r>
        <w:t xml:space="preserve">paketiert. Eine falsche Änderung kann somit den Lieferumfang oder die</w:t>
      </w:r>
      <w:r>
        <w:t xml:space="preserve"> </w:t>
      </w:r>
      <w:r>
        <w:t xml:space="preserve">Mainframe-Zuordnung verändern. Mitarbeiter ändern</w:t>
      </w:r>
      <w:r>
        <w:t xml:space="preserve"> </w:t>
      </w:r>
      <w:r>
        <w:rPr>
          <w:rStyle w:val="VerbatimChar"/>
        </w:rPr>
        <w:t xml:space="preserve">config/mandant.json</w:t>
      </w:r>
      <w:r>
        <w:t xml:space="preserve"> </w:t>
      </w:r>
      <w:r>
        <w:t xml:space="preserve">deshalb nicht wie eine normale Briefressource, sondern stimmen jede Änderung</w:t>
      </w:r>
      <w:r>
        <w:t xml:space="preserve"> </w:t>
      </w:r>
      <w:r>
        <w:t xml:space="preserve">mit den benannten Mandanten- und Betriebsverantwortlichen ab. Zugangsdaten</w:t>
      </w:r>
      <w:r>
        <w:t xml:space="preserve"> </w:t>
      </w:r>
      <w:r>
        <w:t xml:space="preserve">oder andere Secrets gehören niemals in diese Datei.</w:t>
      </w:r>
    </w:p>
    <w:p>
      <w:pPr>
        <w:pStyle w:val="BodyText"/>
      </w:pPr>
      <w:r>
        <w:t xml:space="preserve">Ein Push mit einer Änderung an</w:t>
      </w:r>
      <w:r>
        <w:t xml:space="preserve"> </w:t>
      </w:r>
      <w:r>
        <w:rPr>
          <w:rStyle w:val="VerbatimChar"/>
        </w:rPr>
        <w:t xml:space="preserve">config/mandant.json</w:t>
      </w:r>
      <w:r>
        <w:t xml:space="preserve"> </w:t>
      </w:r>
      <w:r>
        <w:t xml:space="preserve">startet automatisch</w:t>
      </w:r>
      <w:r>
        <w:t xml:space="preserve"> </w:t>
      </w:r>
      <w:r>
        <w:rPr>
          <w:b/>
          <w:bCs/>
        </w:rPr>
        <w:t xml:space="preserve">Validate mandant configuration</w:t>
      </w:r>
      <w:r>
        <w:t xml:space="preserve">. Dieser Check prüft die Datei ohne Zugriff</w:t>
      </w:r>
      <w:r>
        <w:t xml:space="preserve"> </w:t>
      </w:r>
      <w:r>
        <w:t xml:space="preserve">auf M/Text oder den Mainframe und liefert frühzeitig eine verständliche</w:t>
      </w:r>
      <w:r>
        <w:t xml:space="preserve"> </w:t>
      </w:r>
      <w:r>
        <w:t xml:space="preserve">Fehlermeldung.</w:t>
      </w:r>
      <w:r>
        <w:t xml:space="preserve"> </w:t>
      </w:r>
      <w:r>
        <w:rPr>
          <w:rStyle w:val="VerbatimChar"/>
        </w:rPr>
        <w:t xml:space="preserve">CONFIG_VALIDATED</w:t>
      </w:r>
      <w:r>
        <w:t xml:space="preserve"> </w:t>
      </w:r>
      <w:r>
        <w:t xml:space="preserve">bestätigt die technische Konsistenz, ersetzt</w:t>
      </w:r>
      <w:r>
        <w:t xml:space="preserve"> </w:t>
      </w:r>
      <w:r>
        <w:t xml:space="preserve">aber weder die fachliche Freigabe der geänderten Zuordnungen noch erteilt es</w:t>
      </w:r>
      <w:r>
        <w:t xml:space="preserve"> </w:t>
      </w:r>
      <w:r>
        <w:t xml:space="preserve">eine automatische Freigabe für die nächste Stufe. Der Check ist kein</w:t>
      </w:r>
      <w:r>
        <w:t xml:space="preserve"> </w:t>
      </w:r>
      <w:r>
        <w:t xml:space="preserve">technisches Gate; Synchronisation und Release validieren die verwendete</w:t>
      </w:r>
      <w:r>
        <w:t xml:space="preserve"> </w:t>
      </w:r>
      <w:r>
        <w:t xml:space="preserve">Konfiguration auf ihrem tatsächlichen Ausführungspfad erneut.</w:t>
      </w:r>
    </w:p>
    <w:bookmarkEnd w:id="18"/>
    <w:bookmarkEnd w:id="19"/>
    <w:bookmarkStart w:id="20" w:name="X5d263ec4e740f38fcc8aad7b983fa29a95ec8b5"/>
    <w:p>
      <w:pPr>
        <w:pStyle w:val="Heading2"/>
      </w:pPr>
      <w:r>
        <w:t xml:space="preserve">3. Änderung nach Entwicklung bringen</w:t>
      </w:r>
    </w:p>
    <w:p>
      <w:pPr>
        <w:pStyle w:val="Compact"/>
        <w:numPr>
          <w:ilvl w:val="0"/>
          <w:numId w:val="1003"/>
        </w:numPr>
      </w:pPr>
      <w:r>
        <w:t xml:space="preserve">Den aktuellen</w:t>
      </w:r>
      <w:r>
        <w:t xml:space="preserve"> </w:t>
      </w:r>
      <w:r>
        <w:rPr>
          <w:rStyle w:val="VerbatimChar"/>
        </w:rPr>
        <w:t xml:space="preserve">&lt;Releaselinie&gt;/Entwicklung</w:t>
      </w:r>
      <w:r>
        <w:t xml:space="preserve"> </w:t>
      </w:r>
      <w:r>
        <w:t xml:space="preserve">auschecken; für länger laufende,</w:t>
      </w:r>
      <w:r>
        <w:t xml:space="preserve"> </w:t>
      </w:r>
      <w:r>
        <w:t xml:space="preserve">gemeinsam bearbeitete oder zunächst zu prüfende Änderungen optional einen</w:t>
      </w:r>
      <w:r>
        <w:t xml:space="preserve"> </w:t>
      </w:r>
      <w:r>
        <w:t xml:space="preserve">Feature-Branch erstellen, zum Beispiel</w:t>
      </w:r>
      <w:r>
        <w:t xml:space="preserve"> </w:t>
      </w:r>
      <w:r>
        <w:rPr>
          <w:rStyle w:val="VerbatimChar"/>
        </w:rPr>
        <w:t xml:space="preserve">feature/R270/12345-BT0303-viele-Anpassungen-am-Text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Fachlich vorgesehene Änderungen an den Brief-Ressourcen durchführen.</w:t>
      </w:r>
    </w:p>
    <w:p>
      <w:pPr>
        <w:pStyle w:val="Compact"/>
        <w:numPr>
          <w:ilvl w:val="0"/>
          <w:numId w:val="1003"/>
        </w:numPr>
      </w:pPr>
      <w:r>
        <w:t xml:space="preserve">Änderungen committen.</w:t>
      </w:r>
    </w:p>
    <w:p>
      <w:pPr>
        <w:pStyle w:val="Compact"/>
        <w:numPr>
          <w:ilvl w:val="0"/>
          <w:numId w:val="1003"/>
        </w:numPr>
      </w:pPr>
      <w:r>
        <w:t xml:space="preserve">Den Commit direkt nach</w:t>
      </w:r>
      <w:r>
        <w:t xml:space="preserve"> </w:t>
      </w:r>
      <w:r>
        <w:rPr>
          <w:rStyle w:val="VerbatimChar"/>
        </w:rPr>
        <w:t xml:space="preserve">&lt;Releaselinie&gt;/Entwicklung</w:t>
      </w:r>
      <w:r>
        <w:t xml:space="preserve"> </w:t>
      </w:r>
      <w:r>
        <w:t xml:space="preserve">pushen.</w:t>
      </w:r>
    </w:p>
    <w:p>
      <w:pPr>
        <w:pStyle w:val="Compact"/>
        <w:numPr>
          <w:ilvl w:val="0"/>
          <w:numId w:val="1003"/>
        </w:numPr>
      </w:pPr>
      <w:r>
        <w:t xml:space="preserve">In GitHub unter</w:t>
      </w:r>
      <w:r>
        <w:t xml:space="preserve"> </w:t>
      </w:r>
      <w:r>
        <w:rPr>
          <w:b/>
          <w:bCs/>
        </w:rPr>
        <w:t xml:space="preserve">Actions → Sync M/Text resources</w:t>
      </w:r>
      <w:r>
        <w:t xml:space="preserve"> </w:t>
      </w:r>
      <w:r>
        <w:t xml:space="preserve">den durch den Push</w:t>
      </w:r>
      <w:r>
        <w:t xml:space="preserve"> </w:t>
      </w:r>
      <w:r>
        <w:t xml:space="preserve">ausgelösten Lauf kontrollieren.</w:t>
      </w:r>
    </w:p>
    <w:p>
      <w:pPr>
        <w:pStyle w:val="FirstParagraph"/>
      </w:pPr>
      <w:r>
        <w:t xml:space="preserve">Der Push startet die Synchronisation des exakten Commits mit dem aus</w:t>
      </w:r>
      <w:r>
        <w:t xml:space="preserve"> </w:t>
      </w:r>
      <w:r>
        <w:t xml:space="preserve">Releaselinie und Stufe zentral ermittelten M/Text-Ziel. Für</w:t>
      </w:r>
      <w:r>
        <w:t xml:space="preserve"> </w:t>
      </w:r>
      <w:r>
        <w:rPr>
          <w:rStyle w:val="VerbatimChar"/>
        </w:rPr>
        <w:t xml:space="preserve">R261</w:t>
      </w:r>
      <w:r>
        <w:t xml:space="preserve"> </w:t>
      </w:r>
      <w:r>
        <w:t xml:space="preserve">sind dies</w:t>
      </w:r>
      <w:r>
        <w:t xml:space="preserve"> </w:t>
      </w:r>
      <w:r>
        <w:t xml:space="preserve">beispielsweise</w:t>
      </w:r>
      <w:r>
        <w:t xml:space="preserve"> </w:t>
      </w:r>
      <w:r>
        <w:rPr>
          <w:rStyle w:val="VerbatimChar"/>
        </w:rPr>
        <w:t xml:space="preserve">en01e</w:t>
      </w:r>
      <w:r>
        <w:t xml:space="preserve"> </w:t>
      </w:r>
      <w:r>
        <w:t xml:space="preserve">in Entwicklung und</w:t>
      </w:r>
      <w:r>
        <w:t xml:space="preserve"> </w:t>
      </w:r>
      <w:r>
        <w:rPr>
          <w:rStyle w:val="VerbatimChar"/>
        </w:rPr>
        <w:t xml:space="preserve">en01a</w:t>
      </w:r>
      <w:r>
        <w:t xml:space="preserve"> </w:t>
      </w:r>
      <w:r>
        <w:t xml:space="preserve">in Abnahme. Ein erfolgreicher</w:t>
      </w:r>
      <w:r>
        <w:t xml:space="preserve"> </w:t>
      </w:r>
      <w:r>
        <w:t xml:space="preserve">Lauf endet mit</w:t>
      </w:r>
      <w:r>
        <w:t xml:space="preserve"> </w:t>
      </w:r>
      <w:r>
        <w:rPr>
          <w:rStyle w:val="VerbatimChar"/>
        </w:rPr>
        <w:t xml:space="preserve">ADAPTER_ACCEPTED</w:t>
      </w:r>
      <w:r>
        <w:t xml:space="preserve">.</w:t>
      </w:r>
    </w:p>
    <w:bookmarkEnd w:id="20"/>
    <w:bookmarkStart w:id="21" w:name="X532392843c92c98f96532725b7c488dd10c0a07"/>
    <w:p>
      <w:pPr>
        <w:pStyle w:val="Heading2"/>
      </w:pPr>
      <w:r>
        <w:t xml:space="preserve">4. Stand zur Abnahme weitergeben</w:t>
      </w:r>
    </w:p>
    <w:p>
      <w:pPr>
        <w:pStyle w:val="Compact"/>
        <w:numPr>
          <w:ilvl w:val="0"/>
          <w:numId w:val="1004"/>
        </w:numPr>
      </w:pPr>
      <w:r>
        <w:t xml:space="preserve">Den in Entwicklung erfolgreich geprüften Commit ermitteln.</w:t>
      </w:r>
    </w:p>
    <w:p>
      <w:pPr>
        <w:pStyle w:val="Compact"/>
        <w:numPr>
          <w:ilvl w:val="0"/>
          <w:numId w:val="1004"/>
        </w:numPr>
      </w:pPr>
      <w:r>
        <w:t xml:space="preserve">Genau diesen Commit direkt nach</w:t>
      </w:r>
      <w:r>
        <w:t xml:space="preserve"> </w:t>
      </w:r>
      <w:r>
        <w:rPr>
          <w:rStyle w:val="VerbatimChar"/>
        </w:rPr>
        <w:t xml:space="preserve">&lt;Releaselinie&gt;/Abnahme</w:t>
      </w:r>
      <w:r>
        <w:t xml:space="preserve"> </w:t>
      </w:r>
      <w:r>
        <w:t xml:space="preserve">pushen.</w:t>
      </w:r>
    </w:p>
    <w:p>
      <w:pPr>
        <w:pStyle w:val="Compact"/>
        <w:numPr>
          <w:ilvl w:val="0"/>
          <w:numId w:val="1004"/>
        </w:numPr>
      </w:pPr>
      <w:r>
        <w:t xml:space="preserve">Unter</w:t>
      </w:r>
      <w:r>
        <w:t xml:space="preserve"> </w:t>
      </w:r>
      <w:r>
        <w:rPr>
          <w:b/>
          <w:bCs/>
        </w:rPr>
        <w:t xml:space="preserve">Actions → Sync M/Text resources</w:t>
      </w:r>
      <w:r>
        <w:t xml:space="preserve"> </w:t>
      </w:r>
      <w:r>
        <w:t xml:space="preserve">den Abnahmelauf kontrollieren.</w:t>
      </w:r>
    </w:p>
    <w:p>
      <w:pPr>
        <w:pStyle w:val="Compact"/>
        <w:numPr>
          <w:ilvl w:val="0"/>
          <w:numId w:val="1004"/>
        </w:numPr>
      </w:pPr>
      <w:r>
        <w:t xml:space="preserve">Die fachliche Abnahme außerhalb des Workflows nach dem vereinbarten</w:t>
      </w:r>
      <w:r>
        <w:t xml:space="preserve"> </w:t>
      </w:r>
      <w:r>
        <w:t xml:space="preserve">Verfahren dokumentieren.</w:t>
      </w:r>
    </w:p>
    <w:p>
      <w:pPr>
        <w:pStyle w:val="FirstParagraph"/>
      </w:pPr>
      <w:r>
        <w:t xml:space="preserve">Der Push nach Abnahme verteilt den vollständigen konfigurierten Projektstand</w:t>
      </w:r>
      <w:r>
        <w:t xml:space="preserve"> </w:t>
      </w:r>
      <w:r>
        <w:t xml:space="preserve">des vom Anwender fachlich freigegebenen Commits. Er baut noch kein</w:t>
      </w:r>
      <w:r>
        <w:t xml:space="preserve"> </w:t>
      </w:r>
      <w:r>
        <w:t xml:space="preserve">Mainframe-Paket. Die Auswahl dieses Commits ist eine fachliche</w:t>
      </w:r>
      <w:r>
        <w:t xml:space="preserve"> </w:t>
      </w:r>
      <w:r>
        <w:t xml:space="preserve">Verantwortlichkeit. Der Workflow erzwingt keine Gleichheit mit einem früheren</w:t>
      </w:r>
      <w:r>
        <w:t xml:space="preserve"> </w:t>
      </w:r>
      <w:r>
        <w:t xml:space="preserve">Entwicklungspush.</w:t>
      </w:r>
    </w:p>
    <w:bookmarkEnd w:id="21"/>
    <w:bookmarkStart w:id="22" w:name="X53db320d851805672a8c1702e8b78896af19cb9"/>
    <w:p>
      <w:pPr>
        <w:pStyle w:val="Heading2"/>
      </w:pPr>
      <w:r>
        <w:t xml:space="preserve">5. Ausgewählte Änderungen bereitstellen</w:t>
      </w:r>
    </w:p>
    <w:p>
      <w:pPr>
        <w:pStyle w:val="Compact"/>
        <w:numPr>
          <w:ilvl w:val="0"/>
          <w:numId w:val="1005"/>
        </w:numPr>
      </w:pPr>
      <w:r>
        <w:t xml:space="preserve">Den aktuellen</w:t>
      </w:r>
      <w:r>
        <w:t xml:space="preserve"> </w:t>
      </w:r>
      <w:r>
        <w:rPr>
          <w:rStyle w:val="VerbatimChar"/>
        </w:rPr>
        <w:t xml:space="preserve">&lt;Releaselinie&gt;/Bereitstellung</w:t>
      </w:r>
      <w:r>
        <w:t xml:space="preserve"> </w:t>
      </w:r>
      <w:r>
        <w:t xml:space="preserve">auschecken.</w:t>
      </w:r>
    </w:p>
    <w:p>
      <w:pPr>
        <w:pStyle w:val="Compact"/>
        <w:numPr>
          <w:ilvl w:val="0"/>
          <w:numId w:val="1005"/>
        </w:numPr>
      </w:pPr>
      <w:r>
        <w:t xml:space="preserve">Ausschließlich die fachlich freigegebenen Commits aus Abnahme per</w:t>
      </w:r>
      <w:r>
        <w:t xml:space="preserve"> </w:t>
      </w:r>
      <w:r>
        <w:rPr>
          <w:rStyle w:val="VerbatimChar"/>
        </w:rPr>
        <w:t xml:space="preserve">git cherry-pick</w:t>
      </w:r>
      <w:r>
        <w:t xml:space="preserve"> </w:t>
      </w:r>
      <w:r>
        <w:t xml:space="preserve">übernehmen. Konflikte fachlich prüfen; keine ungeprüften</w:t>
      </w:r>
      <w:r>
        <w:t xml:space="preserve"> </w:t>
      </w:r>
      <w:r>
        <w:t xml:space="preserve">Konfliktauflösungen übernehmen.</w:t>
      </w:r>
    </w:p>
    <w:p>
      <w:pPr>
        <w:pStyle w:val="Compact"/>
        <w:numPr>
          <w:ilvl w:val="0"/>
          <w:numId w:val="1005"/>
        </w:numPr>
      </w:pPr>
      <w:r>
        <w:t xml:space="preserve">Den zusammengestellten Stand direkt nach</w:t>
      </w:r>
      <w:r>
        <w:t xml:space="preserve"> </w:t>
      </w:r>
      <w:r>
        <w:rPr>
          <w:rStyle w:val="VerbatimChar"/>
        </w:rPr>
        <w:t xml:space="preserve">&lt;Releaselinie&gt;/Bereitstellung</w:t>
      </w:r>
      <w:r>
        <w:t xml:space="preserve"> </w:t>
      </w:r>
      <w:r>
        <w:t xml:space="preserve">pushen.</w:t>
      </w:r>
    </w:p>
    <w:p>
      <w:pPr>
        <w:pStyle w:val="Compact"/>
        <w:numPr>
          <w:ilvl w:val="0"/>
          <w:numId w:val="1005"/>
        </w:numPr>
      </w:pPr>
      <w:r>
        <w:t xml:space="preserve">Den Ziel-Commit notieren. Der Push startet weder Paketbau noch</w:t>
      </w:r>
      <w:r>
        <w:t xml:space="preserve"> </w:t>
      </w:r>
      <w:r>
        <w:t xml:space="preserve">Mainframe-Übergabe.</w:t>
      </w:r>
    </w:p>
    <w:p>
      <w:pPr>
        <w:pStyle w:val="FirstParagraph"/>
      </w:pPr>
      <w:r>
        <w:t xml:space="preserve">Die Auswahl der Commits ist eine fachliche Verantwortung. Die verbindliche</w:t>
      </w:r>
      <w:r>
        <w:t xml:space="preserve"> </w:t>
      </w:r>
      <w:r>
        <w:t xml:space="preserve">Releaseprüfung erfolgt erst, wenn der Release-Tag gesetzt wird. Pushen darf hier</w:t>
      </w:r>
      <w:r>
        <w:t xml:space="preserve"> </w:t>
      </w:r>
      <w:r>
        <w:t xml:space="preserve">nur das für den jeweiligen Mandanten benannte Release-Team. In der Pilotphase</w:t>
      </w:r>
      <w:r>
        <w:t xml:space="preserve"> </w:t>
      </w:r>
      <w:r>
        <w:t xml:space="preserve">wird geprüft, ob dieser direkte Ablauf auch bei parallelen Bereitstellungen</w:t>
      </w:r>
      <w:r>
        <w:t xml:space="preserve"> </w:t>
      </w:r>
      <w:r>
        <w:t xml:space="preserve">ausreichend übersichtlich bleibt.</w:t>
      </w:r>
    </w:p>
    <w:bookmarkEnd w:id="22"/>
    <w:bookmarkStart w:id="23" w:name="X274e13af1ca49c1c3284232324b0050211d1098"/>
    <w:p>
      <w:pPr>
        <w:pStyle w:val="Heading2"/>
      </w:pPr>
      <w:r>
        <w:t xml:space="preserve">6. FULL- oder DELTA-Lieferung auslösen</w:t>
      </w:r>
    </w:p>
    <w:p>
      <w:pPr>
        <w:pStyle w:val="FirstParagraph"/>
      </w:pPr>
      <w:r>
        <w:t xml:space="preserve">Vor dem Taggen müssen Releaselinie, Mandant, gewünschter Lieferungstyp und der</w:t>
      </w:r>
      <w:r>
        <w:t xml:space="preserve"> </w:t>
      </w:r>
      <w:r>
        <w:t xml:space="preserve">exakte Commit auf</w:t>
      </w:r>
      <w:r>
        <w:t xml:space="preserve"> </w:t>
      </w:r>
      <w:r>
        <w:rPr>
          <w:rStyle w:val="VerbatimChar"/>
        </w:rPr>
        <w:t xml:space="preserve">&lt;Releaselinie&gt;/Bereitstellung</w:t>
      </w:r>
      <w:r>
        <w:t xml:space="preserve"> </w:t>
      </w:r>
      <w:r>
        <w:t xml:space="preserve">fachlich bestätigt sein.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Rnnn.100</w:t>
      </w:r>
      <w:r>
        <w:t xml:space="preserve"> </w:t>
      </w:r>
      <w:r>
        <w:t xml:space="preserve">erzeugt ein FULL mit dem vollständigen Stand jedes Projekts der</w:t>
      </w:r>
      <w:r>
        <w:t xml:space="preserve"> </w:t>
      </w:r>
      <w:r>
        <w:t xml:space="preserve">Projekt-Allowlist.</w:t>
      </w:r>
    </w:p>
    <w:p>
      <w:pPr>
        <w:pStyle w:val="Compact"/>
        <w:numPr>
          <w:ilvl w:val="0"/>
          <w:numId w:val="1006"/>
        </w:numPr>
      </w:pPr>
      <w:r>
        <w:t xml:space="preserve">Jede andere gültige dreistellige Endung, zum Beispiel</w:t>
      </w:r>
      <w:r>
        <w:t xml:space="preserve"> </w:t>
      </w:r>
      <w:r>
        <w:rPr>
          <w:rStyle w:val="VerbatimChar"/>
        </w:rPr>
        <w:t xml:space="preserve">R261.108</w:t>
      </w:r>
      <w:r>
        <w:t xml:space="preserve">, erzeugt</w:t>
      </w:r>
      <w:r>
        <w:t xml:space="preserve"> </w:t>
      </w:r>
      <w:r>
        <w:t xml:space="preserve">ein kumulatives DELTA von</w:t>
      </w:r>
      <w:r>
        <w:t xml:space="preserve"> </w:t>
      </w:r>
      <w:r>
        <w:rPr>
          <w:rStyle w:val="VerbatimChar"/>
        </w:rPr>
        <w:t xml:space="preserve">R261.100</w:t>
      </w:r>
      <w:r>
        <w:t xml:space="preserve"> </w:t>
      </w:r>
      <w:r>
        <w:t xml:space="preserve">bis zum Zieltag.</w:t>
      </w:r>
    </w:p>
    <w:p>
      <w:pPr>
        <w:pStyle w:val="Compact"/>
        <w:numPr>
          <w:ilvl w:val="0"/>
          <w:numId w:val="1006"/>
        </w:numPr>
      </w:pPr>
      <w:r>
        <w:t xml:space="preserve">Ein DELTA setzt voraus, dass der</w:t>
      </w:r>
      <w:r>
        <w:t xml:space="preserve"> </w:t>
      </w:r>
      <w:r>
        <w:rPr>
          <w:rStyle w:val="VerbatimChar"/>
        </w:rPr>
        <w:t xml:space="preserve">.100</w:t>
      </w:r>
      <w:r>
        <w:t xml:space="preserve">-Tag derselben Linie vorhanden und</w:t>
      </w:r>
      <w:r>
        <w:t xml:space="preserve"> </w:t>
      </w:r>
      <w:r>
        <w:t xml:space="preserve">erreichbar ist.</w:t>
      </w:r>
    </w:p>
    <w:p>
      <w:pPr>
        <w:pStyle w:val="Compact"/>
        <w:numPr>
          <w:ilvl w:val="0"/>
          <w:numId w:val="1006"/>
        </w:numPr>
      </w:pPr>
      <w:r>
        <w:t xml:space="preserve">Nur das benannte Release-Team darf einen neuen Release-Tag setzen. Ein</w:t>
      </w:r>
      <w:r>
        <w:t xml:space="preserve"> </w:t>
      </w:r>
      <w:r>
        <w:t xml:space="preserve">vorhandener Release-Tag ist die unveränderliche Release-Identität und darf</w:t>
      </w:r>
      <w:r>
        <w:t xml:space="preserve"> </w:t>
      </w:r>
      <w:r>
        <w:t xml:space="preserve">weder verschoben noch gelöscht werden.</w:t>
      </w:r>
    </w:p>
    <w:p>
      <w:pPr>
        <w:pStyle w:val="FirstParagraph"/>
      </w:pPr>
      <w:r>
        <w:t xml:space="preserve">Zum Auslösen einen einfachen Git-Tag auf dem bestätigten Bereitstellungscommit</w:t>
      </w:r>
      <w:r>
        <w:t xml:space="preserve"> </w:t>
      </w:r>
      <w:r>
        <w:t xml:space="preserve">setzen und pushen, zum Beispiel: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fetch origin R261/Bereitstellung </w:t>
      </w:r>
      <w:r>
        <w:rPr>
          <w:rStyle w:val="AttributeTok"/>
        </w:rPr>
        <w:t xml:space="preserve">--tags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tag R261.108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vollständiger-commit-sha</w:t>
      </w:r>
      <w:r>
        <w:rPr>
          <w:rStyle w:val="OperatorTok"/>
        </w:rPr>
        <w:t xml:space="preserve">&gt;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origin refs/tags/R261.108</w:t>
      </w:r>
    </w:p>
    <w:p>
      <w:pPr>
        <w:pStyle w:val="FirstParagraph"/>
      </w:pPr>
      <w:r>
        <w:t xml:space="preserve">Danach unter</w:t>
      </w:r>
      <w:r>
        <w:t xml:space="preserve"> </w:t>
      </w:r>
      <w:r>
        <w:rPr>
          <w:b/>
          <w:bCs/>
        </w:rPr>
        <w:t xml:space="preserve">Actions → Build and publish release</w:t>
      </w:r>
      <w:r>
        <w:t xml:space="preserve"> </w:t>
      </w:r>
      <w:r>
        <w:t xml:space="preserve">prüfen: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Build FULL or DELTA artifact</w:t>
      </w:r>
      <w:r>
        <w:t xml:space="preserve"> </w:t>
      </w:r>
      <w:r>
        <w:t xml:space="preserve">validiert Konfiguration, Tag und</w:t>
      </w:r>
      <w:r>
        <w:t xml:space="preserve"> </w:t>
      </w:r>
      <w:r>
        <w:t xml:space="preserve">Branchzuordnung, baut die Pakete und erzeugt</w:t>
      </w:r>
      <w:r>
        <w:t xml:space="preserve"> </w:t>
      </w:r>
      <w:r>
        <w:rPr>
          <w:rStyle w:val="VerbatimChar"/>
        </w:rPr>
        <w:t xml:space="preserve">manifest.json</w:t>
      </w:r>
      <w:r>
        <w:t xml:space="preserve"> </w:t>
      </w:r>
      <w:r>
        <w:t xml:space="preserve">mit</w:t>
      </w:r>
      <w:r>
        <w:t xml:space="preserve"> </w:t>
      </w:r>
      <w:r>
        <w:t xml:space="preserve">SHA-256-Prüfsummen.</w:t>
      </w:r>
    </w:p>
    <w:p>
      <w:pPr>
        <w:pStyle w:val="Compact"/>
        <w:numPr>
          <w:ilvl w:val="0"/>
          <w:numId w:val="1007"/>
        </w:numPr>
      </w:pPr>
      <w:r>
        <w:t xml:space="preserve">Das Artefakt heißt</w:t>
      </w:r>
      <w:r>
        <w:t xml:space="preserve"> </w:t>
      </w:r>
      <w:r>
        <w:rPr>
          <w:rStyle w:val="VerbatimChar"/>
        </w:rPr>
        <w:t xml:space="preserve">&lt;Repository&gt;-&lt;Release-Tag&gt;</w:t>
      </w:r>
      <w:r>
        <w:t xml:space="preserve"> </w:t>
      </w:r>
      <w:r>
        <w:t xml:space="preserve">und wird standardmäßig</w:t>
      </w:r>
      <w:r>
        <w:t xml:space="preserve"> </w:t>
      </w:r>
      <w:r>
        <w:t xml:space="preserve">30 Tage aufbewahrt.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Verify and hand over artifact to Mainframe</w:t>
      </w:r>
      <w:r>
        <w:t xml:space="preserve"> </w:t>
      </w:r>
      <w:r>
        <w:t xml:space="preserve">wartet im Environment</w:t>
      </w:r>
      <w:r>
        <w:t xml:space="preserve"> </w:t>
      </w:r>
      <w:r>
        <w:rPr>
          <w:rStyle w:val="VerbatimChar"/>
        </w:rPr>
        <w:t xml:space="preserve">Bereitstellung</w:t>
      </w:r>
      <w:r>
        <w:t xml:space="preserve"> </w:t>
      </w:r>
      <w:r>
        <w:t xml:space="preserve">auf die eingerichtete manuelle Freigabe.</w:t>
      </w:r>
    </w:p>
    <w:p>
      <w:pPr>
        <w:pStyle w:val="Compact"/>
        <w:numPr>
          <w:ilvl w:val="0"/>
          <w:numId w:val="1007"/>
        </w:numPr>
      </w:pPr>
      <w:r>
        <w:t xml:space="preserve">Nach der Freigabe werden Manifest und Prüfsummen erneut geprüft, JCL wird</w:t>
      </w:r>
      <w:r>
        <w:t xml:space="preserve"> </w:t>
      </w:r>
      <w:r>
        <w:t xml:space="preserve">aus dem versionierten Template gerendert und Paket plus JCL werden per</w:t>
      </w:r>
      <w:r>
        <w:t xml:space="preserve"> </w:t>
      </w:r>
      <w:r>
        <w:t xml:space="preserve">FTP/JES übergeben.</w:t>
      </w:r>
    </w:p>
    <w:p>
      <w:pPr>
        <w:pStyle w:val="FirstParagraph"/>
      </w:pPr>
      <w:r>
        <w:rPr>
          <w:rStyle w:val="VerbatimChar"/>
        </w:rPr>
        <w:t xml:space="preserve">MAINFRAME_SUBMITTED</w:t>
      </w:r>
      <w:r>
        <w:t xml:space="preserve"> </w:t>
      </w:r>
      <w:r>
        <w:t xml:space="preserve">bedeutet ausschließlich, dass die unmittelbare</w:t>
      </w:r>
      <w:r>
        <w:t xml:space="preserve"> </w:t>
      </w:r>
      <w:r>
        <w:t xml:space="preserve">FTP-/JES-Übergabe akzeptiert wurde. Der fachliche Abschluss des Mainframe-Jobs</w:t>
      </w:r>
      <w:r>
        <w:t xml:space="preserve"> </w:t>
      </w:r>
      <w:r>
        <w:t xml:space="preserve">wird in Ausbaustufe 1 nicht abgefragt.</w:t>
      </w:r>
    </w:p>
    <w:bookmarkEnd w:id="23"/>
    <w:bookmarkStart w:id="26" w:name="Xb1478888d6ab1f8c0dff86c249ddba7025804a2"/>
    <w:p>
      <w:pPr>
        <w:pStyle w:val="Heading2"/>
      </w:pPr>
      <w:r>
        <w:t xml:space="preserve">7. Einen Lauf kontrolliert wiederholen</w:t>
      </w:r>
    </w:p>
    <w:bookmarkStart w:id="24" w:name="mtext-synchronisation-wiederholen"/>
    <w:p>
      <w:pPr>
        <w:pStyle w:val="Heading3"/>
      </w:pPr>
      <w:r>
        <w:t xml:space="preserve">M/Text-Synchronisation wiederholen</w:t>
      </w:r>
    </w:p>
    <w:p>
      <w:pPr>
        <w:pStyle w:val="FirstParagraph"/>
      </w:pPr>
      <w:r>
        <w:t xml:space="preserve">Unter</w:t>
      </w:r>
      <w:r>
        <w:t xml:space="preserve"> </w:t>
      </w:r>
      <w:r>
        <w:rPr>
          <w:b/>
          <w:bCs/>
        </w:rPr>
        <w:t xml:space="preserve">Actions → Sync M/Text resources → Run workflow</w:t>
      </w:r>
      <w:r>
        <w:t xml:space="preserve"> </w:t>
      </w:r>
      <w:r>
        <w:t xml:space="preserve">angeben: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commit_sha</w:t>
      </w:r>
      <w:r>
        <w:t xml:space="preserve">: vollständiger 40-stelliger SHA des bereits geprüften Commits;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source_branch</w:t>
      </w:r>
      <w:r>
        <w:t xml:space="preserve">: der passende Branch</w:t>
      </w:r>
      <w:r>
        <w:t xml:space="preserve"> </w:t>
      </w:r>
      <w:r>
        <w:rPr>
          <w:rStyle w:val="VerbatimChar"/>
        </w:rPr>
        <w:t xml:space="preserve">Rnnn/Entwicklung</w:t>
      </w:r>
      <w:r>
        <w:t xml:space="preserve"> </w:t>
      </w:r>
      <w:r>
        <w:t xml:space="preserve">oder</w:t>
      </w:r>
      <w:r>
        <w:t xml:space="preserve"> </w:t>
      </w:r>
      <w:r>
        <w:rPr>
          <w:rStyle w:val="VerbatimChar"/>
        </w:rPr>
        <w:t xml:space="preserve">Rnnn/Abnahme</w:t>
      </w:r>
      <w:r>
        <w:t xml:space="preserve">.</w:t>
      </w:r>
    </w:p>
    <w:p>
      <w:pPr>
        <w:pStyle w:val="FirstParagraph"/>
      </w:pPr>
      <w:r>
        <w:t xml:space="preserve">Die Automation weist den Lauf zurück, wenn der Commit nicht aus dem gewählten</w:t>
      </w:r>
      <w:r>
        <w:t xml:space="preserve"> </w:t>
      </w:r>
      <w:r>
        <w:t xml:space="preserve">Branch erreichbar ist. Das Zielsystem kann nicht frei eingegeben werden; es</w:t>
      </w:r>
      <w:r>
        <w:t xml:space="preserve"> </w:t>
      </w:r>
      <w:r>
        <w:t xml:space="preserve">wird aus Branch und zentraler Konfiguration abgeleitet. Eine allgemeine</w:t>
      </w:r>
      <w:r>
        <w:t xml:space="preserve"> </w:t>
      </w:r>
      <w:r>
        <w:t xml:space="preserve">Erklärung zu Commits und SHAs steht unter „Begriffe und Namensregeln“.</w:t>
      </w:r>
    </w:p>
    <w:bookmarkEnd w:id="24"/>
    <w:bookmarkStart w:id="25" w:name="release-lauf-wiederholen"/>
    <w:p>
      <w:pPr>
        <w:pStyle w:val="Heading3"/>
      </w:pPr>
      <w:r>
        <w:t xml:space="preserve">Release-Lauf wiederholen</w:t>
      </w:r>
    </w:p>
    <w:p>
      <w:pPr>
        <w:pStyle w:val="FirstParagraph"/>
      </w:pPr>
      <w:r>
        <w:t xml:space="preserve">Unter</w:t>
      </w:r>
      <w:r>
        <w:t xml:space="preserve"> </w:t>
      </w:r>
      <w:r>
        <w:rPr>
          <w:b/>
          <w:bCs/>
        </w:rPr>
        <w:t xml:space="preserve">Actions → Build and publish release → Run workflow</w:t>
      </w:r>
      <w:r>
        <w:t xml:space="preserve"> </w:t>
      </w:r>
      <w:r>
        <w:t xml:space="preserve">den bereits</w:t>
      </w:r>
      <w:r>
        <w:t xml:space="preserve"> </w:t>
      </w:r>
      <w:r>
        <w:t xml:space="preserve">existierenden</w:t>
      </w:r>
      <w:r>
        <w:t xml:space="preserve"> </w:t>
      </w:r>
      <w:r>
        <w:rPr>
          <w:rStyle w:val="VerbatimChar"/>
        </w:rPr>
        <w:t xml:space="preserve">release_tag</w:t>
      </w:r>
      <w:r>
        <w:t xml:space="preserve"> </w:t>
      </w:r>
      <w:r>
        <w:t xml:space="preserve">angeben. Keinen neuen Tag nur für einen technischen</w:t>
      </w:r>
      <w:r>
        <w:t xml:space="preserve"> </w:t>
      </w:r>
      <w:r>
        <w:t xml:space="preserve">Wiederanlauf erzeugen. Die Automation löst den Tag erneut auf und prüft seine</w:t>
      </w:r>
      <w:r>
        <w:t xml:space="preserve"> </w:t>
      </w:r>
      <w:r>
        <w:t xml:space="preserve">Erreichbarkeit aus</w:t>
      </w:r>
      <w:r>
        <w:t xml:space="preserve"> </w:t>
      </w:r>
      <w:r>
        <w:rPr>
          <w:rStyle w:val="VerbatimChar"/>
        </w:rPr>
        <w:t xml:space="preserve">&lt;Releaselinie&gt;/Bereitstellung</w:t>
      </w:r>
      <w:r>
        <w:t xml:space="preserve">.</w:t>
      </w:r>
    </w:p>
    <w:p>
      <w:pPr>
        <w:pStyle w:val="BodyText"/>
      </w:pPr>
      <w:r>
        <w:t xml:space="preserve">Vor jedem Wiederanlauf klären, ob das Zielsystem die vorherige Übergabe bereits</w:t>
      </w:r>
      <w:r>
        <w:t xml:space="preserve"> </w:t>
      </w:r>
      <w:r>
        <w:t xml:space="preserve">angenommen hat. GitHub Actions kennt ohne Status-Polling keinen nachgelagerten</w:t>
      </w:r>
      <w:r>
        <w:t xml:space="preserve"> </w:t>
      </w:r>
      <w:r>
        <w:t xml:space="preserve">fachlichen Endstatus.</w:t>
      </w:r>
    </w:p>
    <w:bookmarkEnd w:id="25"/>
    <w:bookmarkEnd w:id="26"/>
    <w:bookmarkStart w:id="27" w:name="Xf7e46cfc9f9d86dd3d6475ad5b3351b87cb19c6"/>
    <w:p>
      <w:pPr>
        <w:pStyle w:val="Heading2"/>
      </w:pPr>
      <w:r>
        <w:t xml:space="preserve">8. Status und Fehlerbilder verstehen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 oder sichtbares Symptom</w:t>
            </w:r>
          </w:p>
        </w:tc>
        <w:tc>
          <w:tcPr/>
          <w:p>
            <w:pPr>
              <w:pStyle w:val="Compact"/>
            </w:pPr>
            <w:r>
              <w:t xml:space="preserve">Bedeutung</w:t>
            </w:r>
          </w:p>
        </w:tc>
        <w:tc>
          <w:tcPr/>
          <w:p>
            <w:pPr>
              <w:pStyle w:val="Compact"/>
            </w:pPr>
            <w:r>
              <w:t xml:space="preserve">Nächste Prüfung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Workflow kann zentrale Datei am Null-SHA nicht laden</w:t>
            </w:r>
          </w:p>
        </w:tc>
        <w:tc>
          <w:tcPr/>
          <w:p>
            <w:pPr>
              <w:pStyle w:val="Compact"/>
            </w:pPr>
            <w:r>
              <w:t xml:space="preserve">Technischer Platzhalter ist noch eingetragen</w:t>
            </w:r>
          </w:p>
        </w:tc>
        <w:tc>
          <w:tcPr/>
          <w:p>
            <w:pPr>
              <w:pStyle w:val="Compact"/>
            </w:pPr>
            <w:r>
              <w:t xml:space="preserve">Vorgesehenen vollständigen Commit-SHA von</w:t>
            </w:r>
            <w:r>
              <w:t xml:space="preserve"> </w:t>
            </w:r>
            <w:r>
              <w:rPr>
                <w:rStyle w:val="VerbatimChar"/>
              </w:rPr>
              <w:t xml:space="preserve">mtext-actions</w:t>
            </w:r>
            <w:r>
              <w:t xml:space="preserve"> </w:t>
            </w:r>
            <w:r>
              <w:t xml:space="preserve">in allen Workflows eintragen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CONFIG_VALIDATED</w:t>
            </w:r>
          </w:p>
        </w:tc>
        <w:tc>
          <w:tcPr/>
          <w:p>
            <w:pPr>
              <w:pStyle w:val="Compact"/>
            </w:pPr>
            <w:r>
              <w:t xml:space="preserve">Mandanten- und Deploymentkonfiguration sind technisch konsistent</w:t>
            </w:r>
          </w:p>
        </w:tc>
        <w:tc>
          <w:tcPr/>
          <w:p>
            <w:pPr>
              <w:pStyle w:val="Compact"/>
            </w:pPr>
            <w:r>
              <w:t xml:space="preserve">Fachliche Abstimmung fortsetzen; der Status ist keine automatische Freigabe für die nächste Stufe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VALIDATION_FAILED</w:t>
            </w:r>
          </w:p>
        </w:tc>
        <w:tc>
          <w:tcPr/>
          <w:p>
            <w:pPr>
              <w:pStyle w:val="Compact"/>
            </w:pPr>
            <w:r>
              <w:t xml:space="preserve">Input, Konfiguration, Schema, Branchrichtung oder JCL ungültig</w:t>
            </w:r>
          </w:p>
        </w:tc>
        <w:tc>
          <w:tcPr/>
          <w:p>
            <w:pPr>
              <w:pStyle w:val="Compact"/>
            </w:pPr>
            <w:r>
              <w:t xml:space="preserve">Erste Fehlermeldung lesen; Branch-/Tagformat und Konfiguration prüfen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SOURCE_FAILED</w:t>
            </w:r>
          </w:p>
        </w:tc>
        <w:tc>
          <w:tcPr/>
          <w:p>
            <w:pPr>
              <w:pStyle w:val="Compact"/>
            </w:pPr>
            <w:r>
              <w:t xml:space="preserve">Commit oder Tag/Basisreferenz nicht auflösbar</w:t>
            </w:r>
          </w:p>
        </w:tc>
        <w:tc>
          <w:tcPr/>
          <w:p>
            <w:pPr>
              <w:pStyle w:val="Compact"/>
            </w:pPr>
            <w:r>
              <w:t xml:space="preserve">SHA, Tag,</w:t>
            </w:r>
            <w:r>
              <w:t xml:space="preserve"> </w:t>
            </w:r>
            <w:r>
              <w:rPr>
                <w:rStyle w:val="VerbatimChar"/>
              </w:rPr>
              <w:t xml:space="preserve">.100</w:t>
            </w:r>
            <w:r>
              <w:t xml:space="preserve">-Basis und Branch-Erreichbarkeit prüfen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PACKAGE_FAILED</w:t>
            </w:r>
          </w:p>
        </w:tc>
        <w:tc>
          <w:tcPr/>
          <w:p>
            <w:pPr>
              <w:pStyle w:val="Compact"/>
            </w:pPr>
            <w:r>
              <w:t xml:space="preserve">Paket, Informationsdatei oder Manifest konnte nicht sicher gebaut werden</w:t>
            </w:r>
          </w:p>
        </w:tc>
        <w:tc>
          <w:tcPr/>
          <w:p>
            <w:pPr>
              <w:pStyle w:val="Compact"/>
            </w:pPr>
            <w:r>
              <w:t xml:space="preserve">Fehlende Projektpfade, Symlinks, leeres/benutztes Ausgabeverzeichnis prüfen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RESOURCE_TRANSFER_FAILED</w:t>
            </w:r>
          </w:p>
        </w:tc>
        <w:tc>
          <w:tcPr/>
          <w:p>
            <w:pPr>
              <w:pStyle w:val="Compact"/>
            </w:pPr>
            <w:r>
              <w:t xml:space="preserve">Veröffentlichung nach serverSync/NFS fehlgeschlagen</w:t>
            </w:r>
          </w:p>
        </w:tc>
        <w:tc>
          <w:tcPr/>
          <w:p>
            <w:pPr>
              <w:pStyle w:val="Compact"/>
            </w:pPr>
            <w:r>
              <w:t xml:space="preserve">Mount, Rechte, Zielpfad und Runnerzugriff prüfen; Adapter wurde nicht aufgerufen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ADAPTER_FAILED</w:t>
            </w:r>
          </w:p>
        </w:tc>
        <w:tc>
          <w:tcPr/>
          <w:p>
            <w:pPr>
              <w:pStyle w:val="Compact"/>
            </w:pPr>
            <w:r>
              <w:t xml:space="preserve">Transportfehler oder Nicht-2xx vom Adapter</w:t>
            </w:r>
          </w:p>
        </w:tc>
        <w:tc>
          <w:tcPr/>
          <w:p>
            <w:pPr>
              <w:pStyle w:val="Compact"/>
            </w:pPr>
            <w:r>
              <w:t xml:space="preserve">HTTP-Status und bereinigten Response-Body im Log prüfen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ADAPTER_ACCEPTED</w:t>
            </w:r>
          </w:p>
        </w:tc>
        <w:tc>
          <w:tcPr/>
          <w:p>
            <w:pPr>
              <w:pStyle w:val="Compact"/>
            </w:pPr>
            <w:r>
              <w:t xml:space="preserve">Unmittelbare Adapterannahme erfolgreich</w:t>
            </w:r>
          </w:p>
        </w:tc>
        <w:tc>
          <w:tcPr/>
          <w:p>
            <w:pPr>
              <w:pStyle w:val="Compact"/>
            </w:pPr>
            <w:r>
              <w:t xml:space="preserve">Kein Beleg für einen nachgelagerten M/Text-Endstatus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ARTIFACT_READY</w:t>
            </w:r>
          </w:p>
        </w:tc>
        <w:tc>
          <w:tcPr/>
          <w:p>
            <w:pPr>
              <w:pStyle w:val="Compact"/>
            </w:pPr>
            <w:r>
              <w:t xml:space="preserve">Releaseartefakt lokal gebaut und geprüft</w:t>
            </w:r>
          </w:p>
        </w:tc>
        <w:tc>
          <w:tcPr/>
          <w:p>
            <w:pPr>
              <w:pStyle w:val="Compact"/>
            </w:pPr>
            <w:r>
              <w:t xml:space="preserve">Publish-Freigabe beziehungsweise nächsten Job prüfen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MAINFRAME_TRANSFER_FAILED</w:t>
            </w:r>
          </w:p>
        </w:tc>
        <w:tc>
          <w:tcPr/>
          <w:p>
            <w:pPr>
              <w:pStyle w:val="Compact"/>
            </w:pPr>
            <w:r>
              <w:t xml:space="preserve">FTP-Upload oder JES-Submit unmittelbar fehlgeschlagen</w:t>
            </w:r>
          </w:p>
        </w:tc>
        <w:tc>
          <w:tcPr/>
          <w:p>
            <w:pPr>
              <w:pStyle w:val="Compact"/>
            </w:pPr>
            <w:r>
              <w:t xml:space="preserve">Credentials, Dataset, JES-Ziel, Netzwerk und FTP-Antwort prüfen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MAINFRAME_SUBMITTED</w:t>
            </w:r>
          </w:p>
        </w:tc>
        <w:tc>
          <w:tcPr/>
          <w:p>
            <w:pPr>
              <w:pStyle w:val="Compact"/>
            </w:pPr>
            <w:r>
              <w:t xml:space="preserve">Unmittelbare FTP-/JES-Übergabe akzeptiert</w:t>
            </w:r>
          </w:p>
        </w:tc>
        <w:tc>
          <w:tcPr/>
          <w:p>
            <w:pPr>
              <w:pStyle w:val="Compact"/>
            </w:pPr>
            <w:r>
              <w:t xml:space="preserve">Weiteren Status im Betriebsverfahren verfolgen</w:t>
            </w:r>
          </w:p>
        </w:tc>
      </w:tr>
    </w:tbl>
    <w:p>
      <w:pPr>
        <w:pStyle w:val="BodyText"/>
      </w:pPr>
      <w:r>
        <w:t xml:space="preserve">Logs dürfen keine Credentials enthalten. Zugangsdaten niemals in</w:t>
      </w:r>
      <w:r>
        <w:t xml:space="preserve"> </w:t>
      </w:r>
      <w:r>
        <w:t xml:space="preserve">Konfigurationsdateien, Workflow-Inputs, GitHub-Kommentare oder Support-Tickets</w:t>
      </w:r>
      <w:r>
        <w:t xml:space="preserve"> </w:t>
      </w:r>
      <w:r>
        <w:t xml:space="preserve">kopieren.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de-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../Architektur_Soll_GitHub_Actions_Git.drawio" TargetMode="External" /><Relationship Type="http://schemas.openxmlformats.org/officeDocument/2006/relationships/hyperlink" Id="rId12" Target="./Naechste_Schritte.md" TargetMode="External" /><Relationship Type="http://schemas.openxmlformats.org/officeDocument/2006/relationships/hyperlink" Id="rId9" Target="./Zielbild_GitHub_Actions_Gi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../Architektur_Soll_GitHub_Actions_Git.drawio" TargetMode="External" /><Relationship Type="http://schemas.openxmlformats.org/officeDocument/2006/relationships/hyperlink" Id="rId12" Target="./Naechste_Schritte.md" TargetMode="External" /><Relationship Type="http://schemas.openxmlformats.org/officeDocument/2006/relationships/hyperlink" Id="rId9" Target="./Zielbild_GitHub_Actions_Gi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de-DE</dc:language>
  <cp:keywords/>
  <dcterms:created xsi:type="dcterms:W3CDTF">2026-07-16T18:18:41Z</dcterms:created>
  <dcterms:modified xsi:type="dcterms:W3CDTF">2026-07-16T18:18:41Z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