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ächste-schritte"/>
    <w:p>
      <w:pPr>
        <w:pStyle w:val="Heading1"/>
      </w:pPr>
      <w:r>
        <w:t xml:space="preserve">Nächste Schritte</w:t>
      </w:r>
    </w:p>
    <w:p>
      <w:pPr>
        <w:pStyle w:val="FirstParagraph"/>
      </w:pPr>
      <w:r>
        <w:rPr>
          <w:b/>
          <w:bCs/>
        </w:rPr>
        <w:t xml:space="preserve">Zweck:</w:t>
      </w:r>
      <w:r>
        <w:t xml:space="preserve"> </w:t>
      </w:r>
      <w:r>
        <w:t xml:space="preserve">Operative Restarbeiten für den Test-Parallelbetrieb und den späteren produktiven Cutover</w:t>
      </w:r>
    </w:p>
    <w:p>
      <w:pPr>
        <w:pStyle w:val="BodyText"/>
      </w:pPr>
      <w:r>
        <w:rPr>
          <w:b/>
          <w:bCs/>
        </w:rPr>
        <w:t xml:space="preserve">Bezug:</w:t>
      </w:r>
      <w:r>
        <w:t xml:space="preserve"> </w:t>
      </w:r>
      <w:hyperlink r:id="rId9">
        <w:r>
          <w:rPr>
            <w:rStyle w:val="Hyperlink"/>
          </w:rPr>
          <w:t xml:space="preserve">Zielbild</w:t>
        </w:r>
      </w:hyperlink>
    </w:p>
    <w:p>
      <w:pPr>
        <w:pStyle w:val="BodyText"/>
      </w:pPr>
      <w:r>
        <w:rPr>
          <w:b/>
          <w:bCs/>
        </w:rPr>
        <w:t xml:space="preserve">Bedienung nach Aktivierung:</w:t>
      </w:r>
      <w:r>
        <w:t xml:space="preserve"> </w:t>
      </w:r>
      <w:hyperlink r:id="rId10">
        <w:r>
          <w:rPr>
            <w:rStyle w:val="Hyperlink"/>
          </w:rPr>
          <w:t xml:space="preserve">Benutzeranleitung</w:t>
        </w:r>
      </w:hyperlink>
    </w:p>
    <w:p>
      <w:pPr>
        <w:pStyle w:val="BodyText"/>
      </w:pPr>
      <w:r>
        <w:rPr>
          <w:b/>
          <w:bCs/>
        </w:rPr>
        <w:t xml:space="preserve">Ablauf:</w:t>
      </w:r>
      <w:r>
        <w:t xml:space="preserve"> </w:t>
      </w:r>
      <w:hyperlink r:id="rId11">
        <w:r>
          <w:rPr>
            <w:rStyle w:val="Hyperlink"/>
          </w:rPr>
          <w:t xml:space="preserve">Soll-Architektur Ablaufdiagramm</w:t>
        </w:r>
      </w:hyperlink>
    </w:p>
    <w:p>
      <w:pPr>
        <w:pStyle w:val="BodyText"/>
      </w:pPr>
      <w:r>
        <w:t xml:space="preserve">Diese Seite enthält nur noch Tätigkeiten, die nach dem lokalen</w:t>
      </w:r>
      <w:r>
        <w:t xml:space="preserve"> </w:t>
      </w:r>
      <w:r>
        <w:t xml:space="preserve">Implementierungsstand manuell oder durch konkrete Konfiguration auszuführen</w:t>
      </w:r>
      <w:r>
        <w:t xml:space="preserve"> </w:t>
      </w:r>
      <w:r>
        <w:t xml:space="preserve">sind. Architekturbegründungen stehen im Zielbild. Noch unbekannte Werte werden</w:t>
      </w:r>
      <w:r>
        <w:t xml:space="preserve"> </w:t>
      </w:r>
      <w:r>
        <w:t xml:space="preserve">offen ausgewiesen und vor dem jeweiligen Integrationslauf geklärt.</w:t>
      </w:r>
    </w:p>
    <w:bookmarkStart w:id="12" w:name="X9bd4537786c0ef9817f719f065faef24d33e3da"/>
    <w:p>
      <w:pPr>
        <w:pStyle w:val="Heading2"/>
      </w:pPr>
      <w:r>
        <w:t xml:space="preserve">1. GitHub-Repositories erstmals einrichten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Zentrales Repository anlegen beziehungsweise lokalen Stand übernehmen</w:t>
            </w:r>
          </w:p>
        </w:tc>
        <w:tc>
          <w:tcPr/>
          <w:p>
            <w:pPr>
              <w:pStyle w:val="Compact"/>
            </w:pPr>
            <w:r>
              <w:t xml:space="preserve">GitHub Enterprise:</w:t>
            </w:r>
            <w:r>
              <w:t xml:space="preserve"> </w:t>
            </w:r>
            <w:r>
              <w:rPr>
                <w:rStyle w:val="VerbatimChar"/>
              </w:rPr>
              <w:t xml:space="preserve">j520730/mtext-actions</w:t>
            </w:r>
          </w:p>
        </w:tc>
        <w:tc>
          <w:tcPr/>
          <w:p>
            <w:pPr>
              <w:pStyle w:val="Compact"/>
            </w:pPr>
            <w:r>
              <w:t xml:space="preserve">Standardbranch und Freigabeprozess für die zentrale Automatisierung festlegen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FI-Repository anlegen beziehungsweise lokalen Stand übernehmen</w:t>
            </w:r>
          </w:p>
        </w:tc>
        <w:tc>
          <w:tcPr/>
          <w:p>
            <w:pPr>
              <w:pStyle w:val="Compact"/>
            </w:pPr>
            <w:r>
              <w:t xml:space="preserve">GitHub Enterprise:</w:t>
            </w:r>
            <w:r>
              <w:t xml:space="preserve"> </w:t>
            </w:r>
            <w:r>
              <w:rPr>
                <w:rStyle w:val="VerbatimChar"/>
              </w:rPr>
              <w:t xml:space="preserve">j517120/mtext-fi</w:t>
            </w:r>
          </w:p>
        </w:tc>
        <w:tc>
          <w:tcPr/>
          <w:p>
            <w:pPr>
              <w:pStyle w:val="Compact"/>
            </w:pPr>
            <w:r>
              <w:t xml:space="preserve">Ressourcen,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  <w:r>
              <w:t xml:space="preserve"> </w:t>
            </w:r>
            <w:r>
              <w:t xml:space="preserve">und dünne Workflows übernehmen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Aktive Stufenbranches anlegen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j517120/mtext-fi</w:t>
            </w:r>
          </w:p>
        </w:tc>
        <w:tc>
          <w:tcPr/>
          <w:p>
            <w:pPr>
              <w:pStyle w:val="Compact"/>
            </w:pPr>
            <w:r>
              <w:t xml:space="preserve">Je</w:t>
            </w:r>
            <w:r>
              <w:t xml:space="preserve"> </w:t>
            </w:r>
            <w:r>
              <w:rPr>
                <w:rStyle w:val="VerbatimChar"/>
              </w:rPr>
              <w:t xml:space="preserve">R260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Aktuellen Default Branch setzen</w:t>
            </w:r>
          </w:p>
        </w:tc>
        <w:tc>
          <w:tcPr/>
          <w:p>
            <w:pPr>
              <w:pStyle w:val="Compact"/>
            </w:pPr>
            <w:r>
              <w:t xml:space="preserve">Repository Settings → Default branch</w:t>
            </w:r>
          </w:p>
        </w:tc>
        <w:tc>
          <w:tcPr/>
          <w:p>
            <w:pPr>
              <w:pStyle w:val="Compact"/>
            </w:pPr>
            <w:r>
              <w:t xml:space="preserve">Zunächst</w:t>
            </w:r>
            <w:r>
              <w:t xml:space="preserve"> </w:t>
            </w:r>
            <w:r>
              <w:rPr>
                <w:rStyle w:val="VerbatimChar"/>
              </w:rPr>
              <w:t xml:space="preserve">R261/Entwicklung</w:t>
            </w:r>
            <w:r>
              <w:t xml:space="preserve">; beim rollierenden Linienwechsel manuell umstellen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 Workflowversion pinnen</w:t>
            </w:r>
          </w:p>
        </w:tc>
        <w:tc>
          <w:tcPr/>
          <w:p>
            <w:pPr>
              <w:pStyle w:val="Compact"/>
            </w:pPr>
            <w:r>
              <w:t xml:space="preserve">Alle Dateien unter</w:t>
            </w:r>
            <w:r>
              <w:t xml:space="preserve"> </w:t>
            </w:r>
            <w:r>
              <w:rPr>
                <w:rStyle w:val="VerbatimChar"/>
              </w:rPr>
              <w:t xml:space="preserve">mtext-fi/.github/workflows/</w:t>
            </w:r>
            <w:r>
              <w:t xml:space="preserve"> </w:t>
            </w:r>
            <w:r>
              <w:t xml:space="preserve">in jeder aktiven Linie</w:t>
            </w:r>
          </w:p>
        </w:tc>
        <w:tc>
          <w:tcPr/>
          <w:p>
            <w:pPr>
              <w:pStyle w:val="Compact"/>
            </w:pPr>
            <w:r>
              <w:t xml:space="preserve">Null-SHA durch denselben freigegebenen 40-stelligen Commit-SHA aus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  <w:r>
              <w:t xml:space="preserve"> </w:t>
            </w:r>
            <w:r>
              <w:t xml:space="preserve">ersetzen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Repositoryübergreifenden Actions-Zugriff aktivieren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j520730/mtext-actions</w:t>
            </w:r>
            <w:r>
              <w:t xml:space="preserve"> </w:t>
            </w:r>
            <w:r>
              <w:t xml:space="preserve">→ Settings → Actions → General → Access</w:t>
            </w:r>
          </w:p>
        </w:tc>
        <w:tc>
          <w:tcPr/>
          <w:p>
            <w:pPr>
              <w:pStyle w:val="Compact"/>
            </w:pPr>
            <w:r>
              <w:t xml:space="preserve">Nutzung durch</w:t>
            </w:r>
            <w:r>
              <w:t xml:space="preserve"> </w:t>
            </w:r>
            <w:r>
              <w:rPr>
                <w:rStyle w:val="VerbatimChar"/>
              </w:rPr>
              <w:t xml:space="preserve">j517120/mtext-fi</w:t>
            </w:r>
            <w:r>
              <w:t xml:space="preserve"> </w:t>
            </w:r>
            <w:r>
              <w:t xml:space="preserve">und spätere Mandanten-Repositories erlauben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Zentralen Code-Checkout praktisch prüfen</w:t>
            </w:r>
          </w:p>
        </w:tc>
        <w:tc>
          <w:tcPr/>
          <w:p>
            <w:pPr>
              <w:pStyle w:val="Compact"/>
            </w:pPr>
            <w:r>
              <w:t xml:space="preserve">Nichtproduktiver Config-, Sync- oder Release-Lauf</w:t>
            </w:r>
          </w:p>
        </w:tc>
        <w:tc>
          <w:tcPr/>
          <w:p>
            <w:pPr>
              <w:pStyle w:val="Compact"/>
            </w:pPr>
            <w:r>
              <w:t xml:space="preserve">Prüfen, ob die Enterprise-Freigabe den Checkout über beide Namespaces ermöglicht; falls ein Installation-Token erforderlich ist, den Workflowvertrag vor Aktivierung um dessen sichere Übergabe erweitern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GitHub-Plattform festhalten</w:t>
            </w:r>
          </w:p>
        </w:tc>
        <w:tc>
          <w:tcPr/>
          <w:p>
            <w:pPr>
              <w:pStyle w:val="Compact"/>
            </w:pPr>
            <w:r>
              <w:t xml:space="preserve">Betriebsdokumentation</w:t>
            </w:r>
          </w:p>
        </w:tc>
        <w:tc>
          <w:tcPr/>
          <w:p>
            <w:pPr>
              <w:pStyle w:val="Compact"/>
            </w:pPr>
            <w:r>
              <w:t xml:space="preserve">GitHub Enterprise Server 3.20.4</w:t>
            </w:r>
          </w:p>
        </w:tc>
      </w:tr>
    </w:tbl>
    <w:bookmarkEnd w:id="12"/>
    <w:bookmarkStart w:id="13" w:name="Xea7ae2bf0e6a3795cf711749914df0f9d154fc8"/>
    <w:p>
      <w:pPr>
        <w:pStyle w:val="Heading2"/>
      </w:pPr>
      <w:r>
        <w:t xml:space="preserve">2. Branch- und Environment-Regeln konfigurieren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Mandantenspezifische Verantwortliche benennen</w:t>
            </w:r>
          </w:p>
        </w:tc>
        <w:tc>
          <w:tcPr/>
          <w:p>
            <w:pPr>
              <w:pStyle w:val="Compact"/>
            </w:pPr>
            <w:r>
              <w:t xml:space="preserve">Je Mandanten-Repository</w:t>
            </w:r>
          </w:p>
        </w:tc>
        <w:tc>
          <w:tcPr/>
          <w:p>
            <w:pPr>
              <w:pStyle w:val="Compact"/>
            </w:pPr>
            <w:r>
              <w:t xml:space="preserve">Team für Ressourcenarbeit sowie kleines Release-Team für</w:t>
            </w:r>
            <w:r>
              <w:t xml:space="preserve"> </w:t>
            </w:r>
            <w:r>
              <w:rPr>
                <w:rStyle w:val="VerbatimChar"/>
              </w:rPr>
              <w:t xml:space="preserve">R*/Bereitstellung</w:t>
            </w:r>
            <w:r>
              <w:t xml:space="preserve"> </w:t>
            </w:r>
            <w:r>
              <w:t xml:space="preserve">und neue Release-Tags festlegen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Direkte Pushes auf Entwicklung und Abnahme zulassen</w:t>
            </w:r>
          </w:p>
        </w:tc>
        <w:tc>
          <w:tcPr/>
          <w:p>
            <w:pPr>
              <w:pStyle w:val="Compact"/>
            </w:pPr>
            <w:r>
              <w:t xml:space="preserve">Branchschutz für</w:t>
            </w:r>
            <w:r>
              <w:t xml:space="preserve"> </w:t>
            </w:r>
            <w:r>
              <w:rPr>
                <w:rStyle w:val="VerbatimChar"/>
              </w:rPr>
              <w:t xml:space="preserve">R*/Entwicklung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R*/Abnahme</w:t>
            </w:r>
          </w:p>
        </w:tc>
        <w:tc>
          <w:tcPr/>
          <w:p>
            <w:pPr>
              <w:pStyle w:val="Compact"/>
            </w:pPr>
            <w:r>
              <w:t xml:space="preserve">Berechtigten Mitarbeiterkreis je Mandant festlegen; Force-Pushes und Löschen verbieten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Pushes nach Bereitstellung begrenzen</w:t>
            </w:r>
          </w:p>
        </w:tc>
        <w:tc>
          <w:tcPr/>
          <w:p>
            <w:pPr>
              <w:pStyle w:val="Compact"/>
            </w:pPr>
            <w:r>
              <w:t xml:space="preserve">Branchschutz für</w:t>
            </w:r>
            <w:r>
              <w:t xml:space="preserve"> </w:t>
            </w:r>
            <w:r>
              <w:rPr>
                <w:rStyle w:val="VerbatimChar"/>
              </w:rPr>
              <w:t xml:space="preserve">R*/Bereitstellung</w:t>
            </w:r>
          </w:p>
        </w:tc>
        <w:tc>
          <w:tcPr/>
          <w:p>
            <w:pPr>
              <w:pStyle w:val="Compact"/>
            </w:pPr>
            <w:r>
              <w:t xml:space="preserve">Nur das benannte Release-Team darf direkt pushen; Force-Pushes und Löschen bleiben verboten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GitHub Environment anlegen</w:t>
            </w:r>
          </w:p>
        </w:tc>
        <w:tc>
          <w:tcPr/>
          <w:p>
            <w:pPr>
              <w:pStyle w:val="Compact"/>
            </w:pPr>
            <w:r>
              <w:t xml:space="preserve">Repository Settings → Environments</w:t>
            </w:r>
          </w:p>
        </w:tc>
        <w:tc>
          <w:tcPr/>
          <w:p>
            <w:pPr>
              <w:pStyle w:val="Compact"/>
            </w:pPr>
            <w:r>
              <w:t xml:space="preserve">Gemeinsame Environments</w:t>
            </w:r>
            <w:r>
              <w:t xml:space="preserve"> </w:t>
            </w:r>
            <w:r>
              <w:rPr>
                <w:rStyle w:val="VerbatimChar"/>
              </w:rPr>
              <w:t xml:space="preserve">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Environment-Regeln setzen</w:t>
            </w:r>
          </w:p>
        </w:tc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t xml:space="preserve">Keine zusätzliche Freigabe für Entwicklung und Abnahme; manuelle Freigabe vor Mainframe-Übergabe in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Zulässige Deploymentbranches eintragen</w:t>
            </w:r>
          </w:p>
        </w:tc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t xml:space="preserve">Generische Muster</w:t>
            </w:r>
            <w:r>
              <w:t xml:space="preserve"> </w:t>
            </w:r>
            <w:r>
              <w:rPr>
                <w:rStyle w:val="VerbatimChar"/>
              </w:rPr>
              <w:t xml:space="preserve">R*/Entwicklung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R*/Abnahme</w:t>
            </w:r>
            <w:r>
              <w:t xml:space="preserve"> </w:t>
            </w:r>
            <w:r>
              <w:t xml:space="preserve">und für die Freigabe</w:t>
            </w:r>
            <w:r>
              <w:t xml:space="preserve"> </w:t>
            </w:r>
            <w:r>
              <w:rPr>
                <w:rStyle w:val="VerbatimChar"/>
              </w:rPr>
              <w:t xml:space="preserve">R*/Bereitstellung</w:t>
            </w:r>
            <w:r>
              <w:t xml:space="preserve"> </w:t>
            </w:r>
            <w:r>
              <w:t xml:space="preserve">verwenden; die aktive Linie wird zentral validiert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Erstellung von Release-Tags begrenzen</w:t>
            </w:r>
          </w:p>
        </w:tc>
        <w:tc>
          <w:tcPr/>
          <w:p>
            <w:pPr>
              <w:pStyle w:val="Compact"/>
            </w:pPr>
            <w:r>
              <w:t xml:space="preserve">Tag-Ruleset für</w:t>
            </w:r>
            <w:r>
              <w:t xml:space="preserve"> </w:t>
            </w:r>
            <w:r>
              <w:rPr>
                <w:rStyle w:val="VerbatimChar"/>
              </w:rPr>
              <w:t xml:space="preserve">R[0-9][0-9][0-9].[0-9][0-9][0-9]</w:t>
            </w:r>
          </w:p>
        </w:tc>
        <w:tc>
          <w:tcPr/>
          <w:p>
            <w:pPr>
              <w:pStyle w:val="Compact"/>
            </w:pPr>
            <w:r>
              <w:t xml:space="preserve">Nur das je Mandant benannte Release-Team darf neue passende Tags anlegen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Release-Tags unveränderlich schützen</w:t>
            </w:r>
          </w:p>
        </w:tc>
        <w:tc>
          <w:tcPr/>
          <w:p>
            <w:pPr>
              <w:pStyle w:val="Compact"/>
            </w:pPr>
            <w:r>
              <w:t xml:space="preserve">Separates Tag-Ruleset für dasselbe Muster</w:t>
            </w:r>
          </w:p>
        </w:tc>
        <w:tc>
          <w:tcPr/>
          <w:p>
            <w:pPr>
              <w:pStyle w:val="Compact"/>
            </w:pPr>
            <w:r>
              <w:t xml:space="preserve">Updates, Force-Pushes und Löschungen ohne regulären Bypass verbieten; einen gegebenenfalls notwendigen administrativen Notfallweg separat festlegen</w:t>
            </w:r>
          </w:p>
        </w:tc>
      </w:tr>
    </w:tbl>
    <w:bookmarkEnd w:id="13"/>
    <w:bookmarkStart w:id="14" w:name="Xcc8653b865780bfdc18c7b7c1c97ca57b78448b"/>
    <w:p>
      <w:pPr>
        <w:pStyle w:val="Heading2"/>
      </w:pPr>
      <w:r>
        <w:t xml:space="preserve">3. Runner und Abhängigkeiten bereitstellen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Self-hosted Runner bereitstellen</w:t>
            </w:r>
          </w:p>
        </w:tc>
        <w:tc>
          <w:tcPr/>
          <w:p>
            <w:pPr>
              <w:pStyle w:val="Compact"/>
            </w:pPr>
            <w:r>
              <w:t xml:space="preserve">GitHub-Enterprise-Runnerverwaltung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  <w:r>
              <w:t xml:space="preserve"> </w:t>
            </w:r>
            <w:r>
              <w:rPr>
                <w:rStyle w:val="VerbatimChar"/>
              </w:rPr>
              <w:t xml:space="preserve">self-hosted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mtext-delivery</w:t>
            </w:r>
            <w:r>
              <w:t xml:space="preserve"> </w:t>
            </w:r>
            <w:r>
              <w:t xml:space="preserve">bestätigen und zuweisen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Python und Git prüfen</w:t>
            </w:r>
          </w:p>
        </w:tc>
        <w:tc>
          <w:tcPr/>
          <w:p>
            <w:pPr>
              <w:pStyle w:val="Compact"/>
            </w:pPr>
            <w:r>
              <w:t xml:space="preserve">Vorgesehener Runner</w:t>
            </w:r>
          </w:p>
        </w:tc>
        <w:tc>
          <w:tcPr/>
          <w:p>
            <w:pPr>
              <w:pStyle w:val="Compact"/>
            </w:pPr>
            <w:r>
              <w:t xml:space="preserve">Python 3.14 und Git müssen verfügbar sein;</w:t>
            </w:r>
            <w:r>
              <w:t xml:space="preserve"> </w:t>
            </w:r>
            <w:r>
              <w:rPr>
                <w:rStyle w:val="VerbatimChar"/>
              </w:rPr>
              <w:t xml:space="preserve">scripts/runner-preflight.sh</w:t>
            </w:r>
            <w:r>
              <w:t xml:space="preserve"> </w:t>
            </w:r>
            <w:r>
              <w:t xml:space="preserve">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GHES-Artefakt-Actions prüfen</w:t>
            </w:r>
          </w:p>
        </w:tc>
        <w:tc>
          <w:tcPr/>
          <w:p>
            <w:pPr>
              <w:pStyle w:val="Compact"/>
            </w:pPr>
            <w:r>
              <w:t xml:space="preserve">GHES-Organisation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  <w:r>
              <w:t xml:space="preserve"> </w:t>
            </w:r>
            <w:r>
              <w:t xml:space="preserve">und nichtproduktiver Release-Lauf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upload-artifact</w:t>
            </w:r>
            <w:r>
              <w:t xml:space="preserve"> </w:t>
            </w:r>
            <w:r>
              <w:t xml:space="preserve">v3.2.2-node20 (</w:t>
            </w:r>
            <w:r>
              <w:rPr>
                <w:rStyle w:val="VerbatimChar"/>
              </w:rPr>
              <w:t xml:space="preserve">c6a3b2bd78b3985e4b2f15397fec357f0fd808de</w:t>
            </w:r>
            <w:r>
              <w:t xml:space="preserve">) und</w:t>
            </w:r>
            <w:r>
              <w:t xml:space="preserve"> </w:t>
            </w:r>
            <w:r>
              <w:rPr>
                <w:rStyle w:val="VerbatimChar"/>
              </w:rPr>
              <w:t xml:space="preserve">download-artifact</w:t>
            </w:r>
            <w:r>
              <w:t xml:space="preserve"> </w:t>
            </w:r>
            <w:r>
              <w:t xml:space="preserve">v3.1.0-node20 (</w:t>
            </w:r>
            <w:r>
              <w:rPr>
                <w:rStyle w:val="VerbatimChar"/>
              </w:rPr>
              <w:t xml:space="preserve">ad191675b41f6a5b46da9a048cb6893812da158b</w:t>
            </w:r>
            <w:r>
              <w:t xml:space="preserve">) müssen auf GHES 3.20.4 verfügbar sein; v4 ist nicht zu verwenden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Action-Runtime des Runners prüfen</w:t>
            </w:r>
          </w:p>
        </w:tc>
        <w:tc>
          <w:tcPr/>
          <w:p>
            <w:pPr>
              <w:pStyle w:val="Compact"/>
            </w:pPr>
            <w:r>
              <w:t xml:space="preserve">Vorgesehener Self-hosted Runner</w:t>
            </w:r>
          </w:p>
        </w:tc>
        <w:tc>
          <w:tcPr/>
          <w:p>
            <w:pPr>
              <w:pStyle w:val="Compact"/>
            </w:pPr>
            <w:r>
              <w:t xml:space="preserve">Ausführung von Node-20-Actions mit den fest gepinnten Artefakt-SHAs bestätigen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Internes Wheelhouse bereitstellen</w:t>
            </w:r>
          </w:p>
        </w:tc>
        <w:tc>
          <w:tcPr/>
          <w:p>
            <w:pPr>
              <w:pStyle w:val="Compact"/>
            </w:pPr>
            <w:r>
              <w:t xml:space="preserve">Runner und Repository-/Organisationsvariable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LBS_WHEELHOUSE</w:t>
            </w:r>
            <w:r>
              <w:t xml:space="preserve"> </w:t>
            </w:r>
            <w:r>
              <w:t xml:space="preserve">auf freigegebenen lokalen Pfad setzen; Installation bleibt</w:t>
            </w:r>
            <w:r>
              <w:t xml:space="preserve"> </w:t>
            </w:r>
            <w:r>
              <w:rPr>
                <w:rStyle w:val="VerbatimChar"/>
              </w:rPr>
              <w:t xml:space="preserve">--no-index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Interne CA prüfen</w:t>
            </w:r>
          </w:p>
        </w:tc>
        <w:tc>
          <w:tcPr/>
          <w:p>
            <w:pPr>
              <w:pStyle w:val="Compact"/>
            </w:pPr>
            <w:r>
              <w:t xml:space="preserve">Vorgesehener Runner</w:t>
            </w:r>
          </w:p>
        </w:tc>
        <w:tc>
          <w:tcPr/>
          <w:p>
            <w:pPr>
              <w:pStyle w:val="Compact"/>
            </w:pPr>
            <w:r>
              <w:t xml:space="preserve">TLS-Aufruf gegen</w:t>
            </w:r>
            <w:r>
              <w:t xml:space="preserve"> </w:t>
            </w:r>
            <w:r>
              <w:rPr>
                <w:rStyle w:val="VerbatimChar"/>
              </w:rPr>
              <w:t xml:space="preserve">https://en01e.ltoma.intern/vMtextAdapter/sync</w:t>
            </w:r>
            <w:r>
              <w:t xml:space="preserve"> </w:t>
            </w:r>
            <w:r>
              <w:t xml:space="preserve">testen; fehlende CA in den Truststore aufnehmen, TLS-Prüfung nicht deaktivieren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Netzwerkpfade freigeben</w:t>
            </w:r>
          </w:p>
        </w:tc>
        <w:tc>
          <w:tcPr/>
          <w:p>
            <w:pPr>
              <w:pStyle w:val="Compact"/>
            </w:pPr>
            <w:r>
              <w:t xml:space="preserve">Runner/Netzwerk</w:t>
            </w:r>
          </w:p>
        </w:tc>
        <w:tc>
          <w:tcPr/>
          <w:p>
            <w:pPr>
              <w:pStyle w:val="Compact"/>
            </w:pPr>
            <w:r>
              <w:t xml:space="preserve">Zugriff auf serverSync-Share,</w:t>
            </w:r>
            <w:r>
              <w:t xml:space="preserve"> </w:t>
            </w:r>
            <w:r>
              <w:rPr>
                <w:rStyle w:val="VerbatimChar"/>
              </w:rPr>
              <w:t xml:space="preserve">*.ltoma.intern</w:t>
            </w:r>
            <w:r>
              <w:t xml:space="preserve">, Mainframe-FTP und JES ermöglichen</w:t>
            </w:r>
          </w:p>
        </w:tc>
      </w:tr>
    </w:tbl>
    <w:bookmarkEnd w:id="14"/>
    <w:bookmarkStart w:id="15" w:name="X15f2a691930aadd3a76210346a9f8b005c4ecba"/>
    <w:p>
      <w:pPr>
        <w:pStyle w:val="Heading2"/>
      </w:pPr>
      <w:r>
        <w:t xml:space="preserve">4. M/Text-Konfiguration vervollständigen und abnehmen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Linien- und URL-Mapping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mtext-actions/config/deployments.json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R260→en03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R261→en01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R270→en02</w:t>
            </w:r>
            <w:r>
              <w:t xml:space="preserve">; Hosts jeweils</w:t>
            </w:r>
            <w:r>
              <w:t xml:space="preserve"> </w:t>
            </w:r>
            <w:r>
              <w:rPr>
                <w:rStyle w:val="VerbatimChar"/>
              </w:rPr>
              <w:t xml:space="preserve">enXXe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enXXa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Adaptervertrag</w:t>
            </w:r>
          </w:p>
        </w:tc>
        <w:tc>
          <w:tcPr/>
          <w:p>
            <w:pPr>
              <w:pStyle w:val="Compact"/>
            </w:pPr>
            <w:r>
              <w:t xml:space="preserve">Dieselbe Datei</w:t>
            </w:r>
          </w:p>
        </w:tc>
        <w:tc>
          <w:tcPr/>
          <w:p>
            <w:pPr>
              <w:pStyle w:val="Compact"/>
            </w:pPr>
            <w:r>
              <w:t xml:space="preserve">POST auf</w:t>
            </w:r>
            <w:r>
              <w:t xml:space="preserve"> </w:t>
            </w:r>
            <w:r>
              <w:rPr>
                <w:rStyle w:val="VerbatimChar"/>
              </w:rPr>
              <w:t xml:space="preserve">/vMtextAdapter/sync</w:t>
            </w:r>
            <w:r>
              <w:t xml:space="preserve">, Payload</w:t>
            </w:r>
            <w:r>
              <w:t xml:space="preserve"> </w:t>
            </w:r>
            <w:r>
              <w:rPr>
                <w:rStyle w:val="VerbatimChar"/>
              </w:rPr>
              <w:t xml:space="preserve">MAN</w:t>
            </w:r>
            <w:r>
              <w:t xml:space="preserve">/</w:t>
            </w:r>
            <w:r>
              <w:rPr>
                <w:rStyle w:val="VerbatimChar"/>
              </w:rPr>
              <w:t xml:space="preserve">INR</w:t>
            </w:r>
            <w:r>
              <w:t xml:space="preserve">, kein Auth-Header, jeder 2xx-Status erfolgreich, kein Polling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serverSync-Sharepfad bestätigen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adapter.server_sync_path_template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mtext-actions/config/deployments.json</w:t>
            </w:r>
          </w:p>
        </w:tc>
        <w:tc>
          <w:tcPr/>
          <w:p>
            <w:pPr>
              <w:pStyle w:val="Compact"/>
            </w:pPr>
            <w:r>
              <w:t xml:space="preserve">Vorläufiges Template durch den tatsächlich gemounteten Pfad bestätigen oder ersetzen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Nebenwirkungsfreien Config-Check prüfen</w:t>
            </w:r>
          </w:p>
        </w:tc>
        <w:tc>
          <w:tcPr/>
          <w:p>
            <w:pPr>
              <w:pStyle w:val="Compact"/>
            </w:pPr>
            <w:r>
              <w:t xml:space="preserve">Push mit Änderung an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CONFIG_VALIDATED</w:t>
            </w:r>
            <w:r>
              <w:t xml:space="preserve"> </w:t>
            </w:r>
            <w:r>
              <w:t xml:space="preserve">ohne Environment, Secrets, serverSync-, Adapter- oder Mainframe-Zugriff bestätigen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Nichtproduktiven Synchronisationslauf durchführen</w:t>
            </w:r>
          </w:p>
        </w:tc>
        <w:tc>
          <w:tcPr/>
          <w:p>
            <w:pPr>
              <w:pStyle w:val="Compact"/>
            </w:pPr>
            <w:r>
              <w:t xml:space="preserve">Freigegebener Runner und nichtproduktive Ziele</w:t>
            </w:r>
          </w:p>
        </w:tc>
        <w:tc>
          <w:tcPr/>
          <w:p>
            <w:pPr>
              <w:pStyle w:val="Compact"/>
            </w:pPr>
            <w:r>
              <w:t xml:space="preserve">Vollständigen Projektstand bereitstellen, Adapterantwort und Wiederanlauf prüfen</w:t>
            </w:r>
          </w:p>
        </w:tc>
      </w:tr>
    </w:tbl>
    <w:bookmarkEnd w:id="15"/>
    <w:bookmarkStart w:id="16" w:name="Xd75f1ce8aca86079cb74baf4d871d5abc28dfb2"/>
    <w:p>
      <w:pPr>
        <w:pStyle w:val="Heading2"/>
      </w:pPr>
      <w:r>
        <w:t xml:space="preserve">5. Mainframe-Übergabe einrichten und abnehmen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FTP-Secrets hinterlegen</w:t>
            </w:r>
          </w:p>
        </w:tc>
        <w:tc>
          <w:tcPr/>
          <w:p>
            <w:pPr>
              <w:pStyle w:val="Compact"/>
            </w:pPr>
            <w:r>
              <w:t xml:space="preserve">GitHub Environment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MAINFRAME_FTP_HOST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Mainframe-Variablen hinterlegen</w:t>
            </w:r>
          </w:p>
        </w:tc>
        <w:tc>
          <w:tcPr/>
          <w:p>
            <w:pPr>
              <w:pStyle w:val="Compact"/>
            </w:pPr>
            <w:r>
              <w:t xml:space="preserve">Repository-/Environment-Variablen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MAINFRAME_DATASET=IEA.LOMS.TONICZ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MAINFRAME_JES_TARGET=LIT9028A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MAINFRAME_FTP_TIMEOUT=60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JCL und unmittelbare Übergabe nichtproduktiv prüfen</w:t>
            </w:r>
          </w:p>
        </w:tc>
        <w:tc>
          <w:tcPr/>
          <w:p>
            <w:pPr>
              <w:pStyle w:val="Compact"/>
            </w:pPr>
            <w:r>
              <w:t xml:space="preserve">Freigegebener Mainframe-Testweg</w:t>
            </w:r>
          </w:p>
        </w:tc>
        <w:tc>
          <w:tcPr/>
          <w:p>
            <w:pPr>
              <w:pStyle w:val="Compact"/>
            </w:pPr>
            <w:r>
              <w:t xml:space="preserve">FTP-Antworten,</w:t>
            </w:r>
            <w:r>
              <w:t xml:space="preserve"> </w:t>
            </w:r>
            <w:r>
              <w:rPr>
                <w:rStyle w:val="VerbatimChar"/>
              </w:rPr>
              <w:t xml:space="preserve">SITE FILETYPE=JES</w:t>
            </w:r>
            <w:r>
              <w:t xml:space="preserve">, Submit und gerendertes JCL abnehmen</w:t>
            </w:r>
          </w:p>
        </w:tc>
      </w:tr>
    </w:tbl>
    <w:p>
      <w:pPr>
        <w:pStyle w:val="BodyText"/>
      </w:pPr>
      <w:r>
        <w:t xml:space="preserve">Die Mainframe-Übergabe wartet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manuelle</w:t>
      </w:r>
      <w:r>
        <w:t xml:space="preserve"> </w:t>
      </w:r>
      <w:r>
        <w:t xml:space="preserve">Freigabe. GitHub-Actions-Artefakte bleiben 30 Tage erhalten. Build und Publish</w:t>
      </w:r>
      <w:r>
        <w:t xml:space="preserve"> </w:t>
      </w:r>
      <w:r>
        <w:t xml:space="preserve">sind getrennte Jobs desselben Release-Workflows; vor der Übergabe werden</w:t>
      </w:r>
      <w:r>
        <w:t xml:space="preserve"> </w:t>
      </w:r>
      <w:r>
        <w:t xml:space="preserve">Manifest und Prüfsummen erneut geprüft. Übergaben werden je</w:t>
      </w:r>
      <w:r>
        <w:t xml:space="preserve"> </w:t>
      </w:r>
      <w:r>
        <w:t xml:space="preserve">Mandanten-Repository serialisiert; unterschiedliche Mandanten dürfen parallel</w:t>
      </w:r>
      <w:r>
        <w:t xml:space="preserve"> </w:t>
      </w:r>
      <w:r>
        <w:t xml:space="preserve">laufen.</w:t>
      </w:r>
    </w:p>
    <w:p>
      <w:pPr>
        <w:pStyle w:val="BodyText"/>
      </w:pPr>
      <w:r>
        <w:t xml:space="preserve">Mit der bestätigten Übergabe an IZE9 endet der in GitHub Actions abgebildete</w:t>
      </w:r>
      <w:r>
        <w:t xml:space="preserve"> </w:t>
      </w:r>
      <w:r>
        <w:t xml:space="preserve">Lieferprozess. Der weitere, deutlich umfangreichere Weg bis Produktion wird</w:t>
      </w:r>
      <w:r>
        <w:t xml:space="preserve"> </w:t>
      </w:r>
      <w:r>
        <w:t xml:space="preserve">außerhalb dieser Automation nach dem bestehenden Betriebsverfahren gesteuert.</w:t>
      </w:r>
    </w:p>
    <w:bookmarkEnd w:id="16"/>
    <w:bookmarkStart w:id="17" w:name="X25e67690fbc886e1f8425ab48322334d9d3e64a"/>
    <w:p>
      <w:pPr>
        <w:pStyle w:val="Heading2"/>
      </w:pPr>
      <w:r>
        <w:t xml:space="preserve">6. SVN-Abzug für Parallelbetrieb und Cutover vorbereiten</w:t>
      </w:r>
    </w:p>
    <w:p>
      <w:pPr>
        <w:pStyle w:val="FirstParagraph"/>
      </w:pPr>
      <w:r>
        <w:t xml:space="preserve">Voraussichtlich im November/Dezember 2026 wird zunächst ein Abzug der</w:t>
      </w:r>
      <w:r>
        <w:t xml:space="preserve"> </w:t>
      </w:r>
      <w:r>
        <w:t xml:space="preserve">SVN-Repositories nach Git kopiert. Auf diesem Stand wird die GitHub-Umgebung</w:t>
      </w:r>
      <w:r>
        <w:t xml:space="preserve"> </w:t>
      </w:r>
      <w:r>
        <w:t xml:space="preserve">für Tests bereitgestellt, während Jenkins und SVN weiterhin den produktiven</w:t>
      </w:r>
      <w:r>
        <w:t xml:space="preserve"> </w:t>
      </w:r>
      <w:r>
        <w:t xml:space="preserve">Prozess tragen. Eine laufende Synchronisation des Testbestands mit SVN ist</w:t>
      </w:r>
      <w:r>
        <w:t xml:space="preserve"> </w:t>
      </w:r>
      <w:r>
        <w:t xml:space="preserve">nicht erforderlich. Für den ab Januar 2027 geplanten produktiven harten</w:t>
      </w:r>
      <w:r>
        <w:t xml:space="preserve"> </w:t>
      </w:r>
      <w:r>
        <w:t xml:space="preserve">Cutover wird der dann freigegebene aktuelle SVN-Stand abschließend nach Git</w:t>
      </w:r>
      <w:r>
        <w:t xml:space="preserve"> </w:t>
      </w:r>
      <w:r>
        <w:t xml:space="preserve">übertragen und geprüft.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 November/Dezember 2026</w:t>
            </w:r>
          </w:p>
        </w:tc>
        <w:tc>
          <w:tcPr/>
          <w:p>
            <w:pPr>
              <w:pStyle w:val="Compact"/>
            </w:pPr>
            <w:r>
              <w:t xml:space="preserve">Ersten SVN-Abzug für den Test-Parallelbetrieb erstellen</w:t>
            </w:r>
          </w:p>
        </w:tc>
        <w:tc>
          <w:tcPr/>
          <w:p>
            <w:pPr>
              <w:pStyle w:val="Compact"/>
            </w:pPr>
            <w:r>
              <w:t xml:space="preserve">Alle Mandanten-Repositories</w:t>
            </w:r>
          </w:p>
        </w:tc>
        <w:tc>
          <w:tcPr/>
          <w:p>
            <w:pPr>
              <w:pStyle w:val="Compact"/>
            </w:pPr>
            <w:r>
              <w:t xml:space="preserve">GitHub-Testumgebung mit einem dokumentierten SVN-Ausgangsstand bereitstellen; Jenkins/SVN bleiben produktiv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Import-Allowlist erstellen</w:t>
            </w:r>
          </w:p>
        </w:tc>
        <w:tc>
          <w:tcPr/>
          <w:p>
            <w:pPr>
              <w:pStyle w:val="Compact"/>
            </w:pPr>
            <w:r>
              <w:t xml:space="preserve">Migrationskonfiguration je SVN-Repository</w:t>
            </w:r>
          </w:p>
        </w:tc>
        <w:tc>
          <w:tcPr/>
          <w:p>
            <w:pPr>
              <w:pStyle w:val="Compact"/>
            </w:pPr>
            <w:r>
              <w:t xml:space="preserve">Aktive Linien</w:t>
            </w:r>
            <w:r>
              <w:t xml:space="preserve"> </w:t>
            </w:r>
            <w:r>
              <w:rPr>
                <w:rStyle w:val="VerbatimChar"/>
              </w:rPr>
              <w:t xml:space="preserve">R260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</w:t>
            </w:r>
            <w:r>
              <w:t xml:space="preserve"> </w:t>
            </w:r>
            <w:r>
              <w:t xml:space="preserve">und die drei fachlichen Stufen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Projektmatrix inventarisieren und freigeben</w:t>
            </w:r>
          </w:p>
        </w:tc>
        <w:tc>
          <w:tcPr/>
          <w:p>
            <w:pPr>
              <w:pStyle w:val="Compact"/>
            </w:pPr>
            <w:r>
              <w:t xml:space="preserve">Je Mandant und gegebenenfalls je Releaselinie</w:t>
            </w:r>
          </w:p>
        </w:tc>
        <w:tc>
          <w:tcPr/>
          <w:p>
            <w:pPr>
              <w:pStyle w:val="Compact"/>
            </w:pPr>
            <w:r>
              <w:t xml:space="preserve">Repositoryinhalt, Projekt-Allowlist und Paketcode getrennt dokumentieren; nicht allein aus einer globalen Projektliste ableiten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erforderlich</w:t>
            </w:r>
          </w:p>
        </w:tc>
        <w:tc>
          <w:tcPr/>
          <w:p>
            <w:pPr>
              <w:pStyle w:val="Compact"/>
            </w:pPr>
            <w:r>
              <w:t xml:space="preserve">Release-Basis importieren</w:t>
            </w:r>
          </w:p>
        </w:tc>
        <w:tc>
          <w:tcPr/>
          <w:p>
            <w:pPr>
              <w:pStyle w:val="Compact"/>
            </w:pPr>
            <w:r>
              <w:t xml:space="preserve">Git-Tags je Mandanten-Repository</w:t>
            </w:r>
          </w:p>
        </w:tc>
        <w:tc>
          <w:tcPr/>
          <w:p>
            <w:pPr>
              <w:pStyle w:val="Compact"/>
            </w:pPr>
            <w:r>
              <w:t xml:space="preserve">Je aktiver Linie mindestens</w:t>
            </w:r>
            <w:r>
              <w:t xml:space="preserve"> </w:t>
            </w:r>
            <w:r>
              <w:rPr>
                <w:rStyle w:val="VerbatimChar"/>
              </w:rPr>
              <w:t xml:space="preserve">.100</w:t>
            </w:r>
            <w:r>
              <w:t xml:space="preserve"> </w:t>
            </w:r>
            <w:r>
              <w:t xml:space="preserve">und alle danach entstandenen Tags importieren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SVN-Pfade auf Git abbilden</w:t>
            </w:r>
          </w:p>
        </w:tc>
        <w:tc>
          <w:tcPr/>
          <w:p>
            <w:pPr>
              <w:pStyle w:val="Compact"/>
            </w:pPr>
            <w:r>
              <w:t xml:space="preserve">Migrationsskript/-konfiguration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branches/Entwicklung/R260.100_MText/&lt;Projekt&gt;</w:t>
            </w:r>
            <w:r>
              <w:t xml:space="preserve"> </w:t>
            </w:r>
            <w:r>
              <w:t xml:space="preserve">→ Branch</w:t>
            </w:r>
            <w:r>
              <w:t xml:space="preserve"> </w:t>
            </w:r>
            <w:r>
              <w:rPr>
                <w:rStyle w:val="VerbatimChar"/>
              </w:rPr>
              <w:t xml:space="preserve">R260/Entwicklung</w:t>
            </w:r>
            <w:r>
              <w:t xml:space="preserve">, Pfad</w:t>
            </w:r>
            <w:r>
              <w:t xml:space="preserve"> </w:t>
            </w:r>
            <w:r>
              <w:rPr>
                <w:rStyle w:val="VerbatimChar"/>
              </w:rPr>
              <w:t xml:space="preserve">&lt;Projekt&gt;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Tagnamen normalisieren</w:t>
            </w:r>
          </w:p>
        </w:tc>
        <w:tc>
          <w:tcPr/>
          <w:p>
            <w:pPr>
              <w:pStyle w:val="Compact"/>
            </w:pPr>
            <w:r>
              <w:t xml:space="preserve">Migrationsskript/-konfiguration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R260.101_MText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R260.101</w:t>
            </w:r>
            <w:r>
              <w:t xml:space="preserve">; Entfernung von</w:t>
            </w:r>
            <w:r>
              <w:t xml:space="preserve"> </w:t>
            </w:r>
            <w:r>
              <w:rPr>
                <w:rStyle w:val="VerbatimChar"/>
              </w:rPr>
              <w:t xml:space="preserve">_MText</w:t>
            </w:r>
            <w:r>
              <w:t xml:space="preserve"> </w:t>
            </w:r>
            <w:r>
              <w:t xml:space="preserve">protokollieren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SVN-Artefakte ausschließen</w:t>
            </w:r>
          </w:p>
        </w:tc>
        <w:tc>
          <w:tcPr/>
          <w:p>
            <w:pPr>
              <w:pStyle w:val="Compact"/>
            </w:pPr>
            <w:r>
              <w:t xml:space="preserve">Migrationsfilter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Verbunden mit Bereitstellung*.txt</w:t>
            </w:r>
            <w:r>
              <w:t xml:space="preserve">, Backup-/Fusion-Sonderstände und andere nicht freigegebene Marker nicht übernehmen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Repositoryinhalte und Projekt-Allowlist unterscheiden</w:t>
            </w:r>
          </w:p>
        </w:tc>
        <w:tc>
          <w:tcPr/>
          <w:p>
            <w:pPr>
              <w:pStyle w:val="Compact"/>
            </w:pPr>
            <w:r>
              <w:t xml:space="preserve">Importprüfung und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</w:p>
        </w:tc>
        <w:tc>
          <w:tcPr/>
          <w:p>
            <w:pPr>
              <w:pStyle w:val="Compact"/>
            </w:pPr>
            <w:r>
              <w:t xml:space="preserve">FI enthält auch</w:t>
            </w:r>
            <w:r>
              <w:t xml:space="preserve"> </w:t>
            </w:r>
            <w:r>
              <w:rPr>
                <w:rStyle w:val="VerbatimChar"/>
              </w:rPr>
              <w:t xml:space="preserve">LOMS_Testdaten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mtext-autonom</w:t>
            </w:r>
            <w:r>
              <w:t xml:space="preserve"> </w:t>
            </w:r>
            <w:r>
              <w:t xml:space="preserve">auch</w:t>
            </w:r>
            <w:r>
              <w:t xml:space="preserve"> </w:t>
            </w:r>
            <w:r>
              <w:rPr>
                <w:rStyle w:val="VerbatimChar"/>
              </w:rPr>
              <w:t xml:space="preserve">LOMS_Testdaten_Autonom</w:t>
            </w:r>
            <w:r>
              <w:t xml:space="preserve">; Testdatenprojekte bleiben außerhalb der Projekt-Allowlist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 Aufgabe</w:t>
            </w:r>
          </w:p>
        </w:tc>
        <w:tc>
          <w:tcPr/>
          <w:p>
            <w:pPr>
              <w:pStyle w:val="Compact"/>
            </w:pPr>
            <w:r>
              <w:t xml:space="preserve">SVN-Autoren zuordnen</w:t>
            </w:r>
          </w:p>
        </w:tc>
        <w:tc>
          <w:tcPr/>
          <w:p>
            <w:pPr>
              <w:pStyle w:val="Compact"/>
            </w:pPr>
            <w:r>
              <w:t xml:space="preserve">Autoren-Mappingdatei des Migrationstools</w:t>
            </w:r>
          </w:p>
        </w:tc>
        <w:tc>
          <w:tcPr/>
          <w:p>
            <w:pPr>
              <w:pStyle w:val="Compact"/>
            </w:pPr>
            <w:r>
              <w:t xml:space="preserve">Bestehende SVN-Namen auf Git-Identitäten abbilden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SVN-Eigenschaften inventarisieren</w:t>
            </w:r>
          </w:p>
        </w:tc>
        <w:tc>
          <w:tcPr/>
          <w:p>
            <w:pPr>
              <w:pStyle w:val="Compact"/>
            </w:pPr>
            <w:r>
              <w:t xml:space="preserve">Read-only SVN-Analyse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svn:externals</w:t>
            </w:r>
            <w:r>
              <w:t xml:space="preserve">, EOL, Keywords, executable, leere Verzeichnisse, Mergeinfo und große Dateien behandeln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Weitere Historie und ältere Tags importieren</w:t>
            </w:r>
          </w:p>
        </w:tc>
        <w:tc>
          <w:tcPr/>
          <w:p>
            <w:pPr>
              <w:pStyle w:val="Compact"/>
            </w:pPr>
            <w:r>
              <w:t xml:space="preserve">Migrationskonfiguration</w:t>
            </w:r>
          </w:p>
        </w:tc>
        <w:tc>
          <w:tcPr/>
          <w:p>
            <w:pPr>
              <w:pStyle w:val="Compact"/>
            </w:pPr>
            <w:r>
              <w:t xml:space="preserve">So viel Elementhistorie wie praktikabel erhalten; darf den Cutover nicht blockieren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 ab Januar 2027</w:t>
            </w:r>
          </w:p>
        </w:tc>
        <w:tc>
          <w:tcPr/>
          <w:p>
            <w:pPr>
              <w:pStyle w:val="Compact"/>
            </w:pPr>
            <w:r>
              <w:t xml:space="preserve">Finalen SVN-Stand für den produktiven Cutover übertragen</w:t>
            </w:r>
          </w:p>
        </w:tc>
        <w:tc>
          <w:tcPr/>
          <w:p>
            <w:pPr>
              <w:pStyle w:val="Compact"/>
            </w:pPr>
            <w:r>
              <w:t xml:space="preserve">Alle Mandanten-Repositories</w:t>
            </w:r>
          </w:p>
        </w:tc>
        <w:tc>
          <w:tcPr/>
          <w:p>
            <w:pPr>
              <w:pStyle w:val="Compact"/>
            </w:pPr>
            <w:r>
              <w:t xml:space="preserve">Seit dem ersten Abzug entstandene produktive Änderungen übernehmen und den freigegebenen Endstand verifizieren</w:t>
            </w:r>
          </w:p>
        </w:tc>
      </w:tr>
    </w:tbl>
    <w:p>
      <w:pPr>
        <w:pStyle w:val="BodyText"/>
      </w:pPr>
      <w:r>
        <w:t xml:space="preserve">Ziel-Repositories sind</w:t>
      </w:r>
      <w:r>
        <w:t xml:space="preserve"> </w:t>
      </w:r>
      <w:r>
        <w:rPr>
          <w:rStyle w:val="VerbatimChar"/>
        </w:rPr>
        <w:t xml:space="preserve">mtext-fi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mtext-by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mtext-lh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mtext-nw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mtext-os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mtext-sa</w:t>
      </w:r>
      <w:r>
        <w:t xml:space="preserve">. Der erste Abzug eröffnet nur den</w:t>
      </w:r>
      <w:r>
        <w:t xml:space="preserve"> </w:t>
      </w:r>
      <w:r>
        <w:t xml:space="preserve">Test-Parallelbetrieb. Der finale Import, SVN-Freeze sowie die Deaktivierung von</w:t>
      </w:r>
      <w:r>
        <w:t xml:space="preserve"> </w:t>
      </w:r>
      <w:r>
        <w:t xml:space="preserve">Jenkins sind eigene freizugebende Tätigkeiten des produktiven Cutovers und</w:t>
      </w:r>
      <w:r>
        <w:t xml:space="preserve"> </w:t>
      </w:r>
      <w:r>
        <w:t xml:space="preserve">werden nicht durch den lokalen Implementierungsstand ausgelöst.</w:t>
      </w:r>
    </w:p>
    <w:bookmarkEnd w:id="17"/>
    <w:bookmarkStart w:id="18" w:name="X1be3a33b3580a77b8f276ff7038408680b044f6"/>
    <w:p>
      <w:pPr>
        <w:pStyle w:val="Heading2"/>
      </w:pPr>
      <w:r>
        <w:t xml:space="preserve">7. Produktiven Cutover durchführen und abnehmen</w:t>
      </w:r>
    </w:p>
    <w:p>
      <w:pPr>
        <w:pStyle w:val="FirstParagraph"/>
      </w:pPr>
      <w:r>
        <w:t xml:space="preserve">Der produktive harte Cutover ist ab Januar 2027 vorgesehen. Er wird mit einem</w:t>
      </w:r>
      <w:r>
        <w:t xml:space="preserve"> </w:t>
      </w:r>
      <w:r>
        <w:t xml:space="preserve">eigenen freigegebenen Runbook durchgeführt; der vorherige Test-Parallelbetrieb</w:t>
      </w:r>
      <w:r>
        <w:t xml:space="preserve"> </w:t>
      </w:r>
      <w:r>
        <w:t xml:space="preserve">aktiviert ihn nicht automatisch. Die verbindliche Reihenfolge ist:</w:t>
      </w:r>
    </w:p>
    <w:p>
      <w:pPr>
        <w:pStyle w:val="Compact"/>
        <w:numPr>
          <w:ilvl w:val="0"/>
          <w:numId w:val="1001"/>
        </w:numPr>
      </w:pPr>
      <w:r>
        <w:t xml:space="preserve">Änderungsfreeze für den bisherigen Jenkins-/SVN-Prozess aktivieren.</w:t>
      </w:r>
    </w:p>
    <w:p>
      <w:pPr>
        <w:pStyle w:val="Compact"/>
        <w:numPr>
          <w:ilvl w:val="0"/>
          <w:numId w:val="1001"/>
        </w:numPr>
      </w:pPr>
      <w:r>
        <w:t xml:space="preserve">Den letzten freigegebenen SVN-Stand und alle weiterhin benötigten Tags je</w:t>
      </w:r>
      <w:r>
        <w:t xml:space="preserve"> </w:t>
      </w:r>
      <w:r>
        <w:t xml:space="preserve">Mandant nach Git übertragen.</w:t>
      </w:r>
    </w:p>
    <w:p>
      <w:pPr>
        <w:pStyle w:val="Compact"/>
        <w:numPr>
          <w:ilvl w:val="0"/>
          <w:numId w:val="1001"/>
        </w:numPr>
      </w:pPr>
      <w:r>
        <w:t xml:space="preserve">Inhalte, Pfadabbildungen, Tags und den letzten migrierten Commit je Mandant</w:t>
      </w:r>
      <w:r>
        <w:t xml:space="preserve"> </w:t>
      </w:r>
      <w:r>
        <w:t xml:space="preserve">dokumentieren und automatisiert verifizieren.</w:t>
      </w:r>
    </w:p>
    <w:p>
      <w:pPr>
        <w:pStyle w:val="Compact"/>
        <w:numPr>
          <w:ilvl w:val="0"/>
          <w:numId w:val="1001"/>
        </w:numPr>
      </w:pPr>
      <w:r>
        <w:t xml:space="preserve">Jenkins-Trigger und Jenkins-Job für diesen Prozess deaktivieren.</w:t>
      </w:r>
    </w:p>
    <w:p>
      <w:pPr>
        <w:pStyle w:val="Compact"/>
        <w:numPr>
          <w:ilvl w:val="0"/>
          <w:numId w:val="1001"/>
        </w:numPr>
      </w:pPr>
      <w:r>
        <w:t xml:space="preserve">SVN für diesen Prozess schreibschützen oder gemäß Betriebskonzept</w:t>
      </w:r>
      <w:r>
        <w:t xml:space="preserve"> </w:t>
      </w:r>
      <w:r>
        <w:t xml:space="preserve">stilllegen.</w:t>
      </w:r>
    </w:p>
    <w:p>
      <w:pPr>
        <w:pStyle w:val="Compact"/>
        <w:numPr>
          <w:ilvl w:val="0"/>
          <w:numId w:val="1001"/>
        </w:numPr>
      </w:pPr>
      <w:r>
        <w:t xml:space="preserve">Git als einzige führende Quelle für diesen Prozess festlegen.</w:t>
      </w:r>
    </w:p>
    <w:p>
      <w:pPr>
        <w:pStyle w:val="Compact"/>
        <w:numPr>
          <w:ilvl w:val="0"/>
          <w:numId w:val="1001"/>
        </w:numPr>
      </w:pPr>
      <w:r>
        <w:t xml:space="preserve">Die für den Regelbetrieb vorgesehenen GitHub Environments, Secrets und</w:t>
      </w:r>
      <w:r>
        <w:t xml:space="preserve"> </w:t>
      </w:r>
      <w:r>
        <w:t xml:space="preserve">Workflows freigeben.</w:t>
      </w:r>
    </w:p>
    <w:p>
      <w:pPr>
        <w:pStyle w:val="Compact"/>
        <w:numPr>
          <w:ilvl w:val="0"/>
          <w:numId w:val="1001"/>
        </w:numPr>
      </w:pPr>
      <w:r>
        <w:t xml:space="preserve">Je einen definierten Smoke-Test für Entwicklung und Abnahme sowie je einen</w:t>
      </w:r>
      <w:r>
        <w:t xml:space="preserve"> </w:t>
      </w:r>
      <w:r>
        <w:t xml:space="preserve">FULL- und DELTA-Release durchführen und dokumentieren.</w:t>
      </w:r>
    </w:p>
    <w:p>
      <w:pPr>
        <w:pStyle w:val="FirstParagraph"/>
      </w:pPr>
      <w:r>
        <w:t xml:space="preserve">Während der eigentlichen Umschaltung gibt es keinen gleichzeitigen produktiven</w:t>
      </w:r>
      <w:r>
        <w:t xml:space="preserve"> </w:t>
      </w:r>
      <w:r>
        <w:t xml:space="preserve">Lieferbetrieb aus Jenkins/SVN und GitHub. Der Cutover ist erst abgenommen, wenn</w:t>
      </w:r>
      <w:r>
        <w:t xml:space="preserve"> </w:t>
      </w:r>
      <w:r>
        <w:t xml:space="preserve">mindestens folgende Kriterien erfüllt sind:</w:t>
      </w:r>
    </w:p>
    <w:p>
      <w:pPr>
        <w:pStyle w:val="Compact"/>
        <w:numPr>
          <w:ilvl w:val="0"/>
          <w:numId w:val="1002"/>
        </w:numPr>
      </w:pPr>
      <w:r>
        <w:t xml:space="preserve">Kein GitHub-Workflow benötigt Jenkins oder SVN und Jenkins löst für diesen</w:t>
      </w:r>
      <w:r>
        <w:t xml:space="preserve"> </w:t>
      </w:r>
      <w:r>
        <w:t xml:space="preserve">Prozess keine Jobs mehr aus.</w:t>
      </w:r>
    </w:p>
    <w:p>
      <w:pPr>
        <w:pStyle w:val="Compact"/>
        <w:numPr>
          <w:ilvl w:val="0"/>
          <w:numId w:val="1002"/>
        </w:numPr>
      </w:pPr>
      <w:r>
        <w:t xml:space="preserve">Für jeden Mandanten sind der letzte migrierte SVN-Stand, sein Git-Commit und</w:t>
      </w:r>
      <w:r>
        <w:t xml:space="preserve"> </w:t>
      </w:r>
      <w:r>
        <w:t xml:space="preserve">alle weiterhin benötigten Release-Tags dokumentiert und geprüft.</w:t>
      </w:r>
    </w:p>
    <w:p>
      <w:pPr>
        <w:pStyle w:val="Compact"/>
        <w:numPr>
          <w:ilvl w:val="0"/>
          <w:numId w:val="1002"/>
        </w:numPr>
      </w:pPr>
      <w:r>
        <w:t xml:space="preserve">Sicherungs- und Sonderstände wurden nur nach ausdrücklicher Freigabe</w:t>
      </w:r>
      <w:r>
        <w:t xml:space="preserve"> </w:t>
      </w:r>
      <w:r>
        <w:t xml:space="preserve">übernommen.</w:t>
      </w:r>
    </w:p>
    <w:p>
      <w:pPr>
        <w:pStyle w:val="Compact"/>
        <w:numPr>
          <w:ilvl w:val="0"/>
          <w:numId w:val="1002"/>
        </w:numPr>
      </w:pPr>
      <w:r>
        <w:t xml:space="preserve">Alle Mandanten-Repositories verwenden dieselbe freigegebene Version der</w:t>
      </w:r>
      <w:r>
        <w:t xml:space="preserve"> </w:t>
      </w:r>
      <w:r>
        <w:t xml:space="preserve">zentralen Automation.</w:t>
      </w:r>
    </w:p>
    <w:p>
      <w:pPr>
        <w:pStyle w:val="Compact"/>
        <w:numPr>
          <w:ilvl w:val="0"/>
          <w:numId w:val="1002"/>
        </w:numPr>
      </w:pPr>
      <w:r>
        <w:t xml:space="preserve">Pushes nach Entwicklung und Abnahme lösen jeweils genau die vorgesehene</w:t>
      </w:r>
      <w:r>
        <w:t xml:space="preserve"> </w:t>
      </w:r>
      <w:r>
        <w:t xml:space="preserve">M/Text-Verteilung aus; ein Push nach Bereitstellung erzeugt ohne Tag keine</w:t>
      </w:r>
      <w:r>
        <w:t xml:space="preserve"> </w:t>
      </w:r>
      <w:r>
        <w:t xml:space="preserve">Lieferung.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.100</w:t>
      </w:r>
      <w:r>
        <w:t xml:space="preserve"> </w:t>
      </w:r>
      <w:r>
        <w:t xml:space="preserve">erzeugt FULL, andere gültige Release-Tags derselben Linie erzeugen</w:t>
      </w:r>
      <w:r>
        <w:t xml:space="preserve"> </w:t>
      </w:r>
      <w:r>
        <w:t xml:space="preserve">ein kumulatives DELTA gegen</w:t>
      </w:r>
      <w:r>
        <w:t xml:space="preserve"> </w:t>
      </w:r>
      <w:r>
        <w:rPr>
          <w:rStyle w:val="VerbatimChar"/>
        </w:rPr>
        <w:t xml:space="preserve">.100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Ressourcenbereitstellung, Adapterantwort, Artefaktprüfung, JCL und die</w:t>
      </w:r>
      <w:r>
        <w:t xml:space="preserve"> </w:t>
      </w:r>
      <w:r>
        <w:t xml:space="preserve">unmittelbare Mainframe-Übergabe wurden auf dem vorgesehenen Betriebsweg</w:t>
      </w:r>
      <w:r>
        <w:t xml:space="preserve"> </w:t>
      </w:r>
      <w:r>
        <w:t xml:space="preserve">erfolgreich geprüft.</w:t>
      </w:r>
    </w:p>
    <w:p>
      <w:pPr>
        <w:pStyle w:val="Compact"/>
        <w:numPr>
          <w:ilvl w:val="0"/>
          <w:numId w:val="1002"/>
        </w:numPr>
      </w:pPr>
      <w:r>
        <w:t xml:space="preserve">Gleichzeitige Schreibvorgänge auf dasselbe Ziel werden verhindert; Läufe für</w:t>
      </w:r>
      <w:r>
        <w:t xml:space="preserve"> </w:t>
      </w:r>
      <w:r>
        <w:t xml:space="preserve">unterschiedliche Mandanten dürfen wie vorgesehen parallel arbeiten.</w:t>
      </w:r>
    </w:p>
    <w:bookmarkEnd w:id="18"/>
    <w:bookmarkStart w:id="19" w:name="X28913f9ea2ac097fdf3056b7fe257ca92e030c6"/>
    <w:p>
      <w:pPr>
        <w:pStyle w:val="Heading2"/>
      </w:pPr>
      <w:r>
        <w:t xml:space="preserve">8. Wiederkehrende Konfigurationsarbeiten</w:t>
      </w:r>
    </w:p>
    <w:p>
      <w:pPr>
        <w:pStyle w:val="FirstParagraph"/>
      </w:pPr>
      <w:r>
        <w:t xml:space="preserve">Bei einer rollierenden Releaselinie sind folgende Änderungen abgestimmt</w:t>
      </w:r>
      <w:r>
        <w:t xml:space="preserve"> </w:t>
      </w:r>
      <w:r>
        <w:t xml:space="preserve">auszuführen:</w:t>
      </w:r>
    </w:p>
    <w:p>
      <w:pPr>
        <w:pStyle w:val="Compact"/>
        <w:numPr>
          <w:ilvl w:val="0"/>
          <w:numId w:val="1003"/>
        </w:numPr>
      </w:pPr>
      <w:r>
        <w:t xml:space="preserve">Linienmapping und Adapterziele in</w:t>
      </w:r>
      <w:r>
        <w:t xml:space="preserve"> </w:t>
      </w:r>
      <w:r>
        <w:rPr>
          <w:rStyle w:val="VerbatimChar"/>
        </w:rPr>
        <w:t xml:space="preserve">mtext-actions/config/deployments.json</w:t>
      </w:r>
      <w:r>
        <w:t xml:space="preserve"> </w:t>
      </w:r>
      <w:r>
        <w:t xml:space="preserve">aktualisieren.</w:t>
      </w:r>
    </w:p>
    <w:p>
      <w:pPr>
        <w:pStyle w:val="Compact"/>
        <w:numPr>
          <w:ilvl w:val="0"/>
          <w:numId w:val="1003"/>
        </w:numPr>
      </w:pPr>
      <w:r>
        <w:t xml:space="preserve">Neue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/Abnahme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/Bereitstellung</w:t>
      </w:r>
      <w:r>
        <w:t xml:space="preserve"> </w:t>
      </w:r>
      <w:r>
        <w:t xml:space="preserve">anlegen</w:t>
      </w:r>
      <w:r>
        <w:t xml:space="preserve"> </w:t>
      </w:r>
      <w:r>
        <w:t xml:space="preserve">und die ausgeschiedene Linie gemäß Aufbewahrungsregel stilllegen.</w:t>
      </w:r>
    </w:p>
    <w:p>
      <w:pPr>
        <w:pStyle w:val="Compact"/>
        <w:numPr>
          <w:ilvl w:val="0"/>
          <w:numId w:val="1003"/>
        </w:numPr>
      </w:pPr>
      <w:r>
        <w:t xml:space="preserve">Default Branch auf den Entwicklungsbranch der neuen führenden Linie setzen.</w:t>
      </w:r>
    </w:p>
    <w:p>
      <w:pPr>
        <w:pStyle w:val="Compact"/>
        <w:numPr>
          <w:ilvl w:val="0"/>
          <w:numId w:val="1003"/>
        </w:numPr>
      </w:pPr>
      <w:r>
        <w:t xml:space="preserve">Workflow- und Konfigurationsänderungen je aktiver Linie nach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einbringen und anschließend normal nach Abnahme und</w:t>
      </w:r>
      <w:r>
        <w:t xml:space="preserve"> </w:t>
      </w:r>
      <w:r>
        <w:t xml:space="preserve">Bereitstellung übernehmen. Es gibt keine automatisch schreibende</w:t>
      </w:r>
      <w:r>
        <w:t xml:space="preserve"> </w:t>
      </w:r>
      <w:r>
        <w:t xml:space="preserve">branchübergreifende Verwaltungsautomation.</w:t>
      </w:r>
    </w:p>
    <w:p>
      <w:pPr>
        <w:pStyle w:val="Compact"/>
        <w:numPr>
          <w:ilvl w:val="0"/>
          <w:numId w:val="1003"/>
        </w:numPr>
      </w:pPr>
      <w:r>
        <w:t xml:space="preserve">Assignment und Level bei betrieblichen Änderungen ausschließlich in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des betroffenen Mandanten anpassen.</w:t>
      </w:r>
    </w:p>
    <w:p>
      <w:pPr>
        <w:pStyle w:val="FirstParagraph"/>
      </w:pPr>
      <w:r>
        <w:t xml:space="preserve">Die dünnen Sync-Workflows enthalten keine Liste aktiver Releaselinien mehr.</w:t>
      </w:r>
      <w:r>
        <w:t xml:space="preserve"> </w:t>
      </w:r>
      <w:r>
        <w:t xml:space="preserve">Ihre generischen Branchmuster bleiben bei einem Linienwechsel unverändert;</w:t>
      </w:r>
      <w:r>
        <w:t xml:space="preserve"> </w:t>
      </w:r>
      <w:r>
        <w:t xml:space="preserve">unbekannte Linien werden durch</w:t>
      </w:r>
      <w:r>
        <w:t xml:space="preserve"> </w:t>
      </w:r>
      <w:r>
        <w:rPr>
          <w:rStyle w:val="VerbatimChar"/>
        </w:rPr>
        <w:t xml:space="preserve">deployments.json</w:t>
      </w:r>
      <w:r>
        <w:t xml:space="preserve"> </w:t>
      </w:r>
      <w:r>
        <w:t xml:space="preserve">abgewiesen.</w:t>
      </w:r>
    </w:p>
    <w:bookmarkEnd w:id="19"/>
    <w:bookmarkStart w:id="20" w:name="X7c6b684f0ebb17df03295a4aaf23a8f8671fb9f"/>
    <w:p>
      <w:pPr>
        <w:pStyle w:val="Heading2"/>
      </w:pPr>
      <w:r>
        <w:t xml:space="preserve">9. Spätere Erweiterungen</w:t>
      </w:r>
    </w:p>
    <w:p>
      <w:pPr>
        <w:pStyle w:val="Compact"/>
        <w:numPr>
          <w:ilvl w:val="0"/>
          <w:numId w:val="1004"/>
        </w:numPr>
      </w:pPr>
      <w:r>
        <w:t xml:space="preserve">E-Mail-Benachrichtigungen zusätzlich zu GitHub-Benachrichtigungen;</w:t>
      </w:r>
    </w:p>
    <w:p>
      <w:pPr>
        <w:pStyle w:val="Compact"/>
        <w:numPr>
          <w:ilvl w:val="0"/>
          <w:numId w:val="1004"/>
        </w:numPr>
      </w:pPr>
      <w:r>
        <w:t xml:space="preserve">optional mehr historische SVN-Tags und Elementhistorie;</w:t>
      </w:r>
    </w:p>
    <w:p>
      <w:pPr>
        <w:pStyle w:val="Compact"/>
        <w:numPr>
          <w:ilvl w:val="0"/>
          <w:numId w:val="1004"/>
        </w:numPr>
      </w:pPr>
      <w:r>
        <w:t xml:space="preserve">bei einer späteren PR-basierten Config-Pflege verbindliche Code-Owner- und</w:t>
      </w:r>
      <w:r>
        <w:t xml:space="preserve"> </w:t>
      </w:r>
      <w:r>
        <w:t xml:space="preserve">Freigaberegel für Änderungen an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bei entsprechendem Ergebnis der Pilotphase kurzlebiger Auswahlbranch mit</w:t>
      </w:r>
      <w:r>
        <w:t xml:space="preserve"> </w:t>
      </w:r>
      <w:r>
        <w:t xml:space="preserve">normalem Pull Request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, ohne eigenen</w:t>
      </w:r>
      <w:r>
        <w:t xml:space="preserve"> </w:t>
      </w:r>
      <w:r>
        <w:t xml:space="preserve">zusätzlichen Workflow für diesen Auswahlbranch;</w:t>
      </w:r>
    </w:p>
    <w:p>
      <w:pPr>
        <w:pStyle w:val="Compact"/>
        <w:numPr>
          <w:ilvl w:val="0"/>
          <w:numId w:val="1004"/>
        </w:numPr>
      </w:pPr>
      <w:r>
        <w:t xml:space="preserve">optionales M/Text- oder Mainframe-Status-Polling als eigener Ausbau, nicht</w:t>
      </w:r>
      <w:r>
        <w:t xml:space="preserve"> </w:t>
      </w:r>
      <w:r>
        <w:t xml:space="preserve">als Voraussetzung für die erste Produktivsetzung.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Zielbild_GitHub_Actions_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Zielbild_GitHub_Actions_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2026-07-16T18:18:41Z</dcterms:created>
  <dcterms:modified xsi:type="dcterms:W3CDTF">2026-07-16T18:18:41Z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