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7e557bc7e8dabc0fe80862b53409af5c29efd1"/>
    <w:p>
      <w:pPr>
        <w:pStyle w:val="Heading1"/>
      </w:pPr>
      <w:r>
        <w:t xml:space="preserve">Zielbild für die Ablösung von Jenkins und SVN</w:t>
      </w:r>
    </w:p>
    <w:p>
      <w:pPr>
        <w:pStyle w:val="FirstParagraph"/>
      </w:pPr>
      <w:r>
        <w:rPr>
          <w:b/>
          <w:bCs/>
        </w:rPr>
        <w:t xml:space="preserve">Dokumenttyp:</w:t>
      </w:r>
      <w:r>
        <w:t xml:space="preserve"> </w:t>
      </w:r>
      <w:r>
        <w:t xml:space="preserve">Verbindliches fachliches und technisches Zielbild</w:t>
      </w:r>
    </w:p>
    <w:p>
      <w:pPr>
        <w:pStyle w:val="BodyText"/>
      </w:pPr>
      <w:r>
        <w:rPr>
          <w:b/>
          <w:bCs/>
        </w:rPr>
        <w:t xml:space="preserve">Geltungsbereich:</w:t>
      </w:r>
      <w:r>
        <w:t xml:space="preserve"> </w:t>
      </w:r>
      <w:r>
        <w:t xml:space="preserve">Verteilung von M/Text-Ressourcen und Bereitstellung von</w:t>
      </w:r>
      <w:r>
        <w:t xml:space="preserve"> </w:t>
      </w:r>
      <w:r>
        <w:t xml:space="preserve">Mainframe-Lieferungen</w:t>
      </w:r>
    </w:p>
    <w:p>
      <w:pPr>
        <w:pStyle w:val="BodyText"/>
      </w:pPr>
      <w:r>
        <w:t xml:space="preserve">Dieses Dokument beschreibt, wie Git und GitHub Actions den bisherigen Prozess</w:t>
      </w:r>
      <w:r>
        <w:t xml:space="preserve"> </w:t>
      </w:r>
      <w:r>
        <w:t xml:space="preserve">mit SVN und Jenkins ablösen sollen. Es konzentriert sich auf die dauerhaften</w:t>
      </w:r>
      <w:r>
        <w:t xml:space="preserve"> </w:t>
      </w:r>
      <w:r>
        <w:t xml:space="preserve">fachlichen und technischen Entscheidungen. Der aktuelle Arbeitsstand steht</w:t>
      </w:r>
      <w:r>
        <w:t xml:space="preserve"> </w:t>
      </w:r>
      <w:r>
        <w:t xml:space="preserve">unter</w:t>
      </w:r>
      <w:r>
        <w:t xml:space="preserve"> </w:t>
      </w:r>
      <w:hyperlink r:id="rId9">
        <w:r>
          <w:rPr>
            <w:rStyle w:val="Hyperlink"/>
          </w:rPr>
          <w:t xml:space="preserve">Nächste Schritte</w:t>
        </w:r>
      </w:hyperlink>
      <w:r>
        <w:t xml:space="preserve">, die Bedienung unter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  <w:r>
        <w:t xml:space="preserve">. Einzelheiten zur Implementierung</w:t>
      </w:r>
      <w:r>
        <w:t xml:space="preserve"> </w:t>
      </w:r>
      <w:r>
        <w:t xml:space="preserve">stehen in den README-Dateien der beiden Repositories.</w:t>
      </w:r>
    </w:p>
    <w:p>
      <w:pPr>
        <w:pStyle w:val="BodyText"/>
      </w:pPr>
      <w:r>
        <w:t xml:space="preserve">Die</w:t>
      </w:r>
      <w:r>
        <w:t xml:space="preserve"> </w:t>
      </w:r>
      <w:hyperlink r:id="rId11">
        <w:r>
          <w:rPr>
            <w:rStyle w:val="Hyperlink"/>
          </w:rPr>
          <w:t xml:space="preserve">Soll-Grafik GitHub Actions/Git</w:t>
        </w:r>
      </w:hyperlink>
      <w:r>
        <w:t xml:space="preserve"> </w:t>
      </w:r>
      <w:r>
        <w:t xml:space="preserve">zeigt den Ablauf von einer Änderung bis zur M/Text-Verteilung oder</w:t>
      </w:r>
      <w:r>
        <w:t xml:space="preserve"> </w:t>
      </w:r>
      <w:r>
        <w:t xml:space="preserve">Mainframe-Übergabe. Die</w:t>
      </w:r>
      <w:r>
        <w:t xml:space="preserve"> </w:t>
      </w:r>
      <w:hyperlink r:id="rId12">
        <w:r>
          <w:rPr>
            <w:rStyle w:val="Hyperlink"/>
          </w:rPr>
          <w:t xml:space="preserve">Ist-Grafik Jenkins/SVN</w:t>
        </w:r>
      </w:hyperlink>
      <w:r>
        <w:t xml:space="preserve"> </w:t>
      </w:r>
      <w:r>
        <w:t xml:space="preserve">dokumentiert</w:t>
      </w:r>
      <w:r>
        <w:t xml:space="preserve"> </w:t>
      </w:r>
      <w:r>
        <w:t xml:space="preserve">den bisherigen Prozess.</w:t>
      </w:r>
    </w:p>
    <w:bookmarkStart w:id="13" w:name="X6ca149798834b923c7e20e96a51533531a4303c"/>
    <w:p>
      <w:pPr>
        <w:pStyle w:val="Heading2"/>
      </w:pPr>
      <w:r>
        <w:t xml:space="preserve">1. Kurzfassung</w:t>
      </w:r>
    </w:p>
    <w:p>
      <w:pPr>
        <w:pStyle w:val="FirstParagraph"/>
      </w:pPr>
      <w:r>
        <w:t xml:space="preserve">SVN wird durch Git und Jenkins durch GitHub Actions ersetzt. Dafür wird</w:t>
      </w:r>
      <w:r>
        <w:t xml:space="preserve"> </w:t>
      </w:r>
      <w:r>
        <w:t xml:space="preserve">voraussichtlich ab November oder Dezember 2026 ein SVN-Abzug nach Git</w:t>
      </w:r>
      <w:r>
        <w:t xml:space="preserve"> </w:t>
      </w:r>
      <w:r>
        <w:t xml:space="preserve">übernommen und in einer nichtproduktiven GitHub-Umgebung erprobt. Während</w:t>
      </w:r>
      <w:r>
        <w:t xml:space="preserve"> </w:t>
      </w:r>
      <w:r>
        <w:t xml:space="preserve">dieser Testphase bleibt der bisherige Prozess produktiv. Unmittelbar vor der</w:t>
      </w:r>
      <w:r>
        <w:t xml:space="preserve"> </w:t>
      </w:r>
      <w:r>
        <w:t xml:space="preserve">für Januar 2027 geplanten Produktivsetzung wird der dann freigegebene</w:t>
      </w:r>
      <w:r>
        <w:t xml:space="preserve"> </w:t>
      </w:r>
      <w:r>
        <w:t xml:space="preserve">SVN-Endstand nach Git übertragen. Danach sind Git und GitHub Actions für diesen</w:t>
      </w:r>
      <w:r>
        <w:t xml:space="preserve"> </w:t>
      </w:r>
      <w:r>
        <w:t xml:space="preserve">Prozess führend; eine dauerhafte Synchronisation mit SVN gibt es nicht.</w:t>
      </w:r>
    </w:p>
    <w:p>
      <w:pPr>
        <w:pStyle w:val="BodyText"/>
      </w:pPr>
      <w:r>
        <w:t xml:space="preserve">Jeder Mandant erhält ein eigenes Repository mit seinen M/Text-Ressourcen und</w:t>
      </w:r>
      <w:r>
        <w:t xml:space="preserve"> </w:t>
      </w:r>
      <w:r>
        <w:t xml:space="preserve">seiner Konfiguration. Die gemeinsame Automatisierung liegt in einem zentralen</w:t>
      </w:r>
      <w:r>
        <w:t xml:space="preserve"> </w:t>
      </w:r>
      <w:r>
        <w:t xml:space="preserve">Repository. So bleiben die Mandantendaten getrennt, während alle Mandanten</w:t>
      </w:r>
      <w:r>
        <w:t xml:space="preserve"> </w:t>
      </w:r>
      <w:r>
        <w:t xml:space="preserve">dieselben geprüften Abläufe verwenden.</w:t>
      </w:r>
    </w:p>
    <w:p>
      <w:pPr>
        <w:pStyle w:val="BodyText"/>
      </w:pPr>
      <w:r>
        <w:t xml:space="preserve">Eine Änderung durchläuft weiterhin die Stufen Entwicklung, Abnahme und</w:t>
      </w:r>
      <w:r>
        <w:t xml:space="preserve"> </w:t>
      </w:r>
      <w:r>
        <w:t xml:space="preserve">Bereitstellung:</w:t>
      </w:r>
    </w:p>
    <w:p>
      <w:pPr>
        <w:pStyle w:val="Compact"/>
        <w:numPr>
          <w:ilvl w:val="0"/>
          <w:numId w:val="1001"/>
        </w:numPr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verteilt den Stand an das</w:t>
      </w:r>
      <w:r>
        <w:t xml:space="preserve"> </w:t>
      </w:r>
      <w:r>
        <w:t xml:space="preserve">M/Text-Entwicklungssystem.</w:t>
      </w:r>
    </w:p>
    <w:p>
      <w:pPr>
        <w:pStyle w:val="Compact"/>
        <w:numPr>
          <w:ilvl w:val="0"/>
          <w:numId w:val="1001"/>
        </w:numPr>
      </w:pPr>
      <w:r>
        <w:t xml:space="preserve">Nach fachlicher Prüfung wird derselbe Stand nach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 </w:t>
      </w:r>
      <w:r>
        <w:t xml:space="preserve">übernommen</w:t>
      </w:r>
      <w:r>
        <w:t xml:space="preserve"> </w:t>
      </w:r>
      <w:r>
        <w:t xml:space="preserve">und an das M/Text-Abnahmesystem verteilt.</w:t>
      </w:r>
    </w:p>
    <w:p>
      <w:pPr>
        <w:pStyle w:val="Compact"/>
        <w:numPr>
          <w:ilvl w:val="0"/>
          <w:numId w:val="1001"/>
        </w:numPr>
      </w:pPr>
      <w:r>
        <w:t xml:space="preserve">Freigegebene Änderungen werden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übernommen. Der</w:t>
      </w:r>
      <w:r>
        <w:t xml:space="preserve"> </w:t>
      </w:r>
      <w:r>
        <w:t xml:space="preserve">Push allein erzeugt noch keine Mainframe-Lieferung.</w:t>
      </w:r>
    </w:p>
    <w:p>
      <w:pPr>
        <w:pStyle w:val="Compact"/>
        <w:numPr>
          <w:ilvl w:val="0"/>
          <w:numId w:val="1001"/>
        </w:numPr>
      </w:pPr>
      <w:r>
        <w:t xml:space="preserve">Erst ein Release-Tag wie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 </w:t>
      </w:r>
      <w:r>
        <w:t xml:space="preserve">baut die Lieferung. Vor der technischen</w:t>
      </w:r>
      <w:r>
        <w:t xml:space="preserve"> </w:t>
      </w:r>
      <w:r>
        <w:t xml:space="preserve">Übergabe an den Mainframe ist eine manuelle Freigabe erforderlich.</w:t>
      </w:r>
    </w:p>
    <w:p>
      <w:pPr>
        <w:pStyle w:val="FirstParagraph"/>
      </w:pPr>
      <w:r>
        <w:t xml:space="preserve">Die bestehenden Schnittstellen bleiben zunächst erhalten: M/Text wird über</w:t>
      </w:r>
      <w:r>
        <w:t xml:space="preserve"> </w:t>
      </w:r>
      <w:r>
        <w:t xml:space="preserve">den vorhandenen Adapter angesprochen, die Mainframe-Übergabe erfolgt weiterhin</w:t>
      </w:r>
      <w:r>
        <w:t xml:space="preserve"> </w:t>
      </w:r>
      <w:r>
        <w:t xml:space="preserve">per FTP und JES. GitHub Actions kann dabei nur die unmittelbare Annahme durch</w:t>
      </w:r>
      <w:r>
        <w:t xml:space="preserve"> </w:t>
      </w:r>
      <w:r>
        <w:t xml:space="preserve">die Schnittstelle bestätigen. Der spätere fachliche Abschluss im Zielsystem</w:t>
      </w:r>
      <w:r>
        <w:t xml:space="preserve"> </w:t>
      </w:r>
      <w:r>
        <w:t xml:space="preserve">ist nicht Bestandteil dieser ersten Ausbaustufe.</w:t>
      </w:r>
    </w:p>
    <w:bookmarkEnd w:id="13"/>
    <w:bookmarkStart w:id="14" w:name="Xaa3a15a8bdb46267169bfdafb8ca08e3be7f9d8"/>
    <w:p>
      <w:pPr>
        <w:pStyle w:val="Heading2"/>
      </w:pPr>
      <w:r>
        <w:t xml:space="preserve">2. Verbindliche Rahmenbedingungen</w:t>
      </w:r>
    </w:p>
    <w:p>
      <w:pPr>
        <w:pStyle w:val="Compact"/>
        <w:numPr>
          <w:ilvl w:val="0"/>
          <w:numId w:val="1002"/>
        </w:numPr>
      </w:pPr>
      <w:r>
        <w:t xml:space="preserve">Der produktive Wechsel von SVN/Jenkins zu Git/GitHub Actions erfolgt zu</w:t>
      </w:r>
      <w:r>
        <w:t xml:space="preserve"> </w:t>
      </w:r>
      <w:r>
        <w:t xml:space="preserve">einem festgelegten Zeitpunkt. Danach gibt es keinen parallelen produktiven</w:t>
      </w:r>
      <w:r>
        <w:t xml:space="preserve"> </w:t>
      </w:r>
      <w:r>
        <w:t xml:space="preserve">Lieferbetrieb.</w:t>
      </w:r>
    </w:p>
    <w:p>
      <w:pPr>
        <w:pStyle w:val="Compact"/>
        <w:numPr>
          <w:ilvl w:val="0"/>
          <w:numId w:val="1002"/>
        </w:numPr>
      </w:pPr>
      <w:r>
        <w:t xml:space="preserve">Das bisherige Jenkins-Skript wird nicht weiterentwickelt oder technisch</w:t>
      </w:r>
      <w:r>
        <w:t xml:space="preserve"> </w:t>
      </w:r>
      <w:r>
        <w:t xml:space="preserve">portiert. Nur die weiterhin benötigten Regeln, Zuordnungen und</w:t>
      </w:r>
      <w:r>
        <w:t xml:space="preserve"> </w:t>
      </w:r>
      <w:r>
        <w:t xml:space="preserve">Übergabeverfahren werden übernommen.</w:t>
      </w:r>
    </w:p>
    <w:p>
      <w:pPr>
        <w:pStyle w:val="Compact"/>
        <w:numPr>
          <w:ilvl w:val="0"/>
          <w:numId w:val="1002"/>
        </w:numPr>
      </w:pPr>
      <w:r>
        <w:t xml:space="preserve">Jeder Mandant erhält ein eigenes GitHub-Repository. Namen und grundsätzlicher</w:t>
      </w:r>
      <w:r>
        <w:t xml:space="preserve"> </w:t>
      </w:r>
      <w:r>
        <w:t xml:space="preserve">Aufbau orientieren sich an den bisherigen Mandantenstrukturen.</w:t>
      </w:r>
    </w:p>
    <w:p>
      <w:pPr>
        <w:pStyle w:val="Compact"/>
        <w:numPr>
          <w:ilvl w:val="0"/>
          <w:numId w:val="1002"/>
        </w:numPr>
      </w:pPr>
      <w:r>
        <w:t xml:space="preserve">Die gemeinsame Automatisierung wird zentral durch die FI verwaltet und von</w:t>
      </w:r>
      <w:r>
        <w:t xml:space="preserve"> </w:t>
      </w:r>
      <w:r>
        <w:t xml:space="preserve">den Mandanten-Repositories in einer ausdrücklich festgelegten Version</w:t>
      </w:r>
      <w:r>
        <w:t xml:space="preserve"> </w:t>
      </w:r>
      <w:r>
        <w:t xml:space="preserve">verwendet.</w:t>
      </w:r>
    </w:p>
    <w:p>
      <w:pPr>
        <w:pStyle w:val="Compact"/>
        <w:numPr>
          <w:ilvl w:val="0"/>
          <w:numId w:val="1002"/>
        </w:numPr>
      </w:pPr>
      <w:r>
        <w:t xml:space="preserve">Jeder Lauf verarbeitet genau einen eindeutig bestimmten Git-Stand. Seine</w:t>
      </w:r>
      <w:r>
        <w:t xml:space="preserve"> </w:t>
      </w:r>
      <w:r>
        <w:t xml:space="preserve">technische Kennung ist der Commit-SHA.</w:t>
      </w:r>
    </w:p>
    <w:p>
      <w:pPr>
        <w:pStyle w:val="Compact"/>
        <w:numPr>
          <w:ilvl w:val="0"/>
          <w:numId w:val="1002"/>
        </w:numPr>
      </w:pPr>
      <w:r>
        <w:t xml:space="preserve">Der Mandant ergibt sich aus dem Repository und seiner Konfiguration. Er kann</w:t>
      </w:r>
      <w:r>
        <w:t xml:space="preserve"> </w:t>
      </w:r>
      <w:r>
        <w:t xml:space="preserve">beim Start eines Laufs nicht frei gewählt werden.</w:t>
      </w:r>
    </w:p>
    <w:p>
      <w:pPr>
        <w:pStyle w:val="Compact"/>
        <w:numPr>
          <w:ilvl w:val="0"/>
          <w:numId w:val="1002"/>
        </w:numPr>
      </w:pPr>
      <w:r>
        <w:t xml:space="preserve">Aktive Releaselinien erhalten getrennte Branches für Entwicklung, Abnahme</w:t>
      </w:r>
      <w:r>
        <w:t xml:space="preserve"> </w:t>
      </w:r>
      <w:r>
        <w:t xml:space="preserve">und Bereitstellung. Derzeit sind dies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Geheimnisse und Zugangsdaten werden nicht in Git gespeichert, sondern über</w:t>
      </w:r>
      <w:r>
        <w:t xml:space="preserve"> </w:t>
      </w:r>
      <w:r>
        <w:t xml:space="preserve">die dafür vorgesehenen GitHub-Einstellungen bereitgestellt.</w:t>
      </w:r>
    </w:p>
    <w:p>
      <w:pPr>
        <w:pStyle w:val="Compact"/>
        <w:numPr>
          <w:ilvl w:val="0"/>
          <w:numId w:val="1002"/>
        </w:numPr>
      </w:pPr>
      <w:r>
        <w:t xml:space="preserve">Eine weitergehende Statusabfrage bei M/Text oder auf dem Mainframe wird in</w:t>
      </w:r>
      <w:r>
        <w:t xml:space="preserve"> </w:t>
      </w:r>
      <w:r>
        <w:t xml:space="preserve">der ersten Ausbaustufe nicht eingeführt.</w:t>
      </w:r>
    </w:p>
    <w:bookmarkEnd w:id="14"/>
    <w:bookmarkStart w:id="15" w:name="Xde799a8199d286d96deb4145dd27b5da5352bde"/>
    <w:p>
      <w:pPr>
        <w:pStyle w:val="Heading2"/>
      </w:pPr>
      <w:r>
        <w:t xml:space="preserve">3. Was aus dem bisherigen Verfahren übernommen wird</w:t>
      </w:r>
    </w:p>
    <w:p>
      <w:pPr>
        <w:pStyle w:val="FirstParagraph"/>
      </w:pPr>
      <w:r>
        <w:t xml:space="preserve">Das Jenkins-Skript erledigt heute unter anderem die M/Text-Verteilung, den Bau</w:t>
      </w:r>
      <w:r>
        <w:t xml:space="preserve"> </w:t>
      </w:r>
      <w:r>
        <w:t xml:space="preserve">von FULL- und DELTA-Paketen, die Erstellung von Inhalts- und Löschlisten sowie</w:t>
      </w:r>
      <w:r>
        <w:t xml:space="preserve"> </w:t>
      </w:r>
      <w:r>
        <w:t xml:space="preserve">die Übergabe an den Mainframe. Diese fachlichen Ergebnisse werden weiterhin</w:t>
      </w:r>
      <w:r>
        <w:t xml:space="preserve"> </w:t>
      </w:r>
      <w:r>
        <w:t xml:space="preserve">benötigt.</w:t>
      </w:r>
    </w:p>
    <w:p>
      <w:pPr>
        <w:pStyle w:val="BodyText"/>
      </w:pPr>
      <w:r>
        <w:t xml:space="preserve">Nicht übernommen werden die technischen Altlasten des bisherigen Verfahrens.</w:t>
      </w:r>
      <w:r>
        <w:t xml:space="preserve"> </w:t>
      </w:r>
      <w:r>
        <w:t xml:space="preserve">Dazu gehören langlebige SVN-Arbeitskopien auf Netzlaufwerken,</w:t>
      </w:r>
      <w:r>
        <w:t xml:space="preserve"> </w:t>
      </w:r>
      <w:r>
        <w:t xml:space="preserve">Reparaturkommandos für blockierte Arbeitsverzeichnisse und zur Laufzeit</w:t>
      </w:r>
      <w:r>
        <w:t xml:space="preserve"> </w:t>
      </w:r>
      <w:r>
        <w:t xml:space="preserve">erzeugte Skripte mit Zugangsdaten. Die neue Lösung arbeitet stattdessen je Lauf</w:t>
      </w:r>
      <w:r>
        <w:t xml:space="preserve"> </w:t>
      </w:r>
      <w:r>
        <w:t xml:space="preserve">mit einem frisch ausgecheckten, eindeutig bestimmten Git-Stand.</w:t>
      </w:r>
    </w:p>
    <w:p>
      <w:pPr>
        <w:pStyle w:val="BodyText"/>
      </w:pPr>
      <w:r>
        <w:t xml:space="preserve">Die bisherigen Lieferdateien geben folgende Kompatibilitätsregeln vor:</w:t>
      </w:r>
    </w:p>
    <w:p>
      <w:pPr>
        <w:pStyle w:val="Compact"/>
        <w:numPr>
          <w:ilvl w:val="0"/>
          <w:numId w:val="1003"/>
        </w:numPr>
      </w:pPr>
      <w:r>
        <w:t xml:space="preserve">FULL-Pakete heißen</w:t>
      </w:r>
      <w:r>
        <w:t xml:space="preserve"> </w:t>
      </w:r>
      <w:r>
        <w:rPr>
          <w:rStyle w:val="VerbatimChar"/>
        </w:rPr>
        <w:t xml:space="preserve">&lt;Mandant&gt;&lt;Paketcode&gt;F.tgz</w:t>
      </w:r>
      <w:r>
        <w:t xml:space="preserve">, DELTA-Pakete entsprechend</w:t>
      </w:r>
      <w:r>
        <w:t xml:space="preserve"> </w:t>
      </w:r>
      <w:r>
        <w:rPr>
          <w:rStyle w:val="VerbatimChar"/>
        </w:rPr>
        <w:t xml:space="preserve">&lt;Mandant&gt;&lt;Paketcode&gt;D.tgz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Ein DELTA-Paket enthält eine Löschliste mit dem Namen</w:t>
      </w:r>
      <w:r>
        <w:t xml:space="preserve"> </w:t>
      </w:r>
      <w:r>
        <w:rPr>
          <w:rStyle w:val="VerbatimChar"/>
        </w:rPr>
        <w:t xml:space="preserve">&lt;Mandant&gt;&lt;Paketcode&gt;D.txt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Ressourcen behalten ihre fachlichen Projektpfade. Bei Fragmentprojekten</w:t>
      </w:r>
      <w:r>
        <w:t xml:space="preserve"> </w:t>
      </w:r>
      <w:r>
        <w:t xml:space="preserve">gehört das Mandantenkürzel in eckigen Klammern zum Projektnamen, zum Beispiel</w:t>
      </w:r>
      <w:r>
        <w:t xml:space="preserve"> </w:t>
      </w:r>
      <w:r>
        <w:rPr>
          <w:rStyle w:val="VerbatimChar"/>
        </w:rPr>
        <w:t xml:space="preserve">LOMS_Autonom[BY]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Zu jedem Paket wird eine Informationsdatei erzeugt. Sie beschreibt den</w:t>
      </w:r>
      <w:r>
        <w:t xml:space="preserve"> </w:t>
      </w:r>
      <w:r>
        <w:t xml:space="preserve">Inhalt und den Vergleich zum vorherigen Release, bestimmt aber nicht den</w:t>
      </w:r>
      <w:r>
        <w:t xml:space="preserve"> </w:t>
      </w:r>
      <w:r>
        <w:t xml:space="preserve">Inhalt des DELTA-Pakets.</w:t>
      </w:r>
    </w:p>
    <w:p>
      <w:pPr>
        <w:pStyle w:val="Compact"/>
        <w:numPr>
          <w:ilvl w:val="0"/>
          <w:numId w:val="1003"/>
        </w:numPr>
      </w:pPr>
      <w:r>
        <w:t xml:space="preserve">Die vorhandenen Unterschiede in den Pfaden von FULL- und DELTA-Archiven</w:t>
      </w:r>
      <w:r>
        <w:t xml:space="preserve"> </w:t>
      </w:r>
      <w:r>
        <w:t xml:space="preserve">bleiben zunächst erhalten, damit bestehende Empfänger die Dateien weiterhin</w:t>
      </w:r>
      <w:r>
        <w:t xml:space="preserve"> </w:t>
      </w:r>
      <w:r>
        <w:t xml:space="preserve">verarbeiten können.</w:t>
      </w:r>
    </w:p>
    <w:p>
      <w:pPr>
        <w:pStyle w:val="Compact"/>
        <w:numPr>
          <w:ilvl w:val="0"/>
          <w:numId w:val="1003"/>
        </w:numPr>
      </w:pPr>
      <w:r>
        <w:t xml:space="preserve">Archive werden reproduzierbar erzeugt: Derselbe Quellstand und dieselbe</w:t>
      </w:r>
      <w:r>
        <w:t xml:space="preserve"> </w:t>
      </w:r>
      <w:r>
        <w:t xml:space="preserve">Konfiguration ergeben denselben Inhalt.</w:t>
      </w:r>
    </w:p>
    <w:bookmarkEnd w:id="15"/>
    <w:bookmarkStart w:id="16" w:name="X2a67502238945a5a3161f7030ace06ca0838206"/>
    <w:p>
      <w:pPr>
        <w:pStyle w:val="Heading2"/>
      </w:pPr>
      <w:r>
        <w:t xml:space="preserve">4. Zielarchitektur und Verantwortlichkeiten</w:t>
      </w:r>
    </w:p>
    <w:p>
      <w:pPr>
        <w:pStyle w:val="FirstParagraph"/>
      </w:pPr>
      <w:r>
        <w:t xml:space="preserve">Die Lösung besteht aus vier Bereichen: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Mandanten-Repository</w:t>
            </w:r>
          </w:p>
        </w:tc>
        <w:tc>
          <w:tcPr/>
          <w:p>
            <w:pPr>
              <w:pStyle w:val="Compact"/>
            </w:pPr>
            <w:r>
              <w:t xml:space="preserve">M/Text-Ressourcen, Projektzuordnungen, Paketcodes und mandantenspezifische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Zentrales Repository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</w:p>
        </w:tc>
        <w:tc>
          <w:tcPr/>
          <w:p>
            <w:pPr>
              <w:pStyle w:val="Compact"/>
            </w:pPr>
            <w:r>
              <w:t xml:space="preserve">Gemeinsame Prüfungen, Synchronisation, Paketbau und Mainframe-Übergabe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Ausführung der Abläufe, Freigaben und Protokollierung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Runner</w:t>
            </w:r>
          </w:p>
        </w:tc>
        <w:tc>
          <w:tcPr/>
          <w:p>
            <w:pPr>
              <w:pStyle w:val="Compact"/>
            </w:pPr>
            <w:r>
              <w:t xml:space="preserve">Ausführung innerhalb des internen Netzes und Zugriff auf M/Text, Netzlaufwerk und Mainframe</w:t>
            </w:r>
          </w:p>
        </w:tc>
      </w:tr>
    </w:tbl>
    <w:p>
      <w:pPr>
        <w:pStyle w:val="BodyText"/>
      </w:pPr>
      <w:r>
        <w:t xml:space="preserve">Ein Mandanten-Repository enthält ausschließlich die Ressourcen und Angaben</w:t>
      </w:r>
      <w:r>
        <w:t xml:space="preserve"> </w:t>
      </w:r>
      <w:r>
        <w:t xml:space="preserve">des jeweiligen Mandanten. Das zentrale Repository enthält keine</w:t>
      </w:r>
      <w:r>
        <w:t xml:space="preserve"> </w:t>
      </w:r>
      <w:r>
        <w:t xml:space="preserve">Mandantenressourcen, sondern nur die gemeinsam verwendete Automatisierung.</w:t>
      </w:r>
    </w:p>
    <w:p>
      <w:pPr>
        <w:pStyle w:val="BodyText"/>
      </w:pPr>
      <w:r>
        <w:t xml:space="preserve">Die Berechtigungen werden je Mandanten-Repository vergeben. Jeder Mandant</w:t>
      </w:r>
      <w:r>
        <w:t xml:space="preserve"> </w:t>
      </w:r>
      <w:r>
        <w:t xml:space="preserve">benennt ein Release-Team, das als einzige reguläre Gruppe direkt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pushen und neue Release-Tags anlegen darf. So können die</w:t>
      </w:r>
      <w:r>
        <w:t xml:space="preserve"> </w:t>
      </w:r>
      <w:r>
        <w:t xml:space="preserve">Verantwortlichen je Mandant unterschiedlich sein, ohne die gemeinsame</w:t>
      </w:r>
      <w:r>
        <w:t xml:space="preserve"> </w:t>
      </w:r>
      <w:r>
        <w:t xml:space="preserve">Automation zu verzweigen. Force-Pushes und das Löschen von Stufenbranches</w:t>
      </w:r>
      <w:r>
        <w:t xml:space="preserve"> </w:t>
      </w:r>
      <w:r>
        <w:t xml:space="preserve">bleiben verboten. Bereits angelegte Release-Tags dürfen auch vom Release-Team</w:t>
      </w:r>
      <w:r>
        <w:t xml:space="preserve"> </w:t>
      </w:r>
      <w:r>
        <w:t xml:space="preserve">nicht verändert oder gelöscht werden.</w:t>
      </w:r>
    </w:p>
    <w:p>
      <w:pPr>
        <w:pStyle w:val="BodyText"/>
      </w:pPr>
      <w:r>
        <w:t xml:space="preserve">Für jeden Lauf checkt GitHub Actions sowohl den ausgewählten Stand des</w:t>
      </w:r>
      <w:r>
        <w:t xml:space="preserve"> </w:t>
      </w:r>
      <w:r>
        <w:t xml:space="preserve">Mandanten-Repositories als auch eine festgelegte Version der zentralen</w:t>
      </w:r>
      <w:r>
        <w:t xml:space="preserve"> </w:t>
      </w:r>
      <w:r>
        <w:t xml:space="preserve">Automatisierung aus. Dadurch ist später nachvollziehbar, welche Quellen und</w:t>
      </w:r>
      <w:r>
        <w:t xml:space="preserve"> </w:t>
      </w:r>
      <w:r>
        <w:t xml:space="preserve">welche Automatisierung verwendet wurden.</w:t>
      </w:r>
    </w:p>
    <w:p>
      <w:pPr>
        <w:pStyle w:val="BodyText"/>
      </w:pPr>
      <w:r>
        <w:t xml:space="preserve">Die Verteilung nach Entwicklung oder Abnahme überträgt immer den vollständigen</w:t>
      </w:r>
      <w:r>
        <w:t xml:space="preserve"> </w:t>
      </w:r>
      <w:r>
        <w:t xml:space="preserve">konfigurierten Projektstand des ausgewählten Commits. FULL und DELTA betreffen</w:t>
      </w:r>
      <w:r>
        <w:t xml:space="preserve"> </w:t>
      </w:r>
      <w:r>
        <w:t xml:space="preserve">nur die spätere Mainframe-Lieferung und nicht die M/Text-Synchronisation.</w:t>
      </w:r>
    </w:p>
    <w:p>
      <w:pPr>
        <w:pStyle w:val="BodyText"/>
      </w:pPr>
      <w:r>
        <w:t xml:space="preserve">Der M/Text-Adapter und der bestehende Prozess auf dem Mainframe-Zielsystem</w:t>
      </w:r>
      <w:r>
        <w:t xml:space="preserve"> </w:t>
      </w:r>
      <w:r>
        <w:t xml:space="preserve">IZE9 bleiben zunächst unverändert. Mit der bestätigten technischen Übergabe</w:t>
      </w:r>
      <w:r>
        <w:t xml:space="preserve"> </w:t>
      </w:r>
      <w:r>
        <w:t xml:space="preserve">endet der hier beschriebene GitHub-Prozess. Das anschließende</w:t>
      </w:r>
      <w:r>
        <w:t xml:space="preserve"> </w:t>
      </w:r>
      <w:r>
        <w:t xml:space="preserve">KM-Bereitstellungsverfahren bis zur Produktion liegt außerhalb dieses</w:t>
      </w:r>
      <w:r>
        <w:t xml:space="preserve"> </w:t>
      </w:r>
      <w:r>
        <w:t xml:space="preserve">Zielbilds.</w:t>
      </w:r>
    </w:p>
    <w:bookmarkEnd w:id="16"/>
    <w:bookmarkStart w:id="17" w:name="X5200549c36b4749f3fbbce10428de7f672c4e84"/>
    <w:p>
      <w:pPr>
        <w:pStyle w:val="Heading2"/>
      </w:pPr>
      <w:r>
        <w:t xml:space="preserve">5. Repositories und aktueller Entwicklungsstand</w:t>
      </w:r>
    </w:p>
    <w:p>
      <w:pPr>
        <w:pStyle w:val="FirstParagraph"/>
      </w:pPr>
      <w:r>
        <w:t xml:space="preserve">Ein Mandanten-Repository folgt diesem Grundaufbau:</w:t>
      </w:r>
    </w:p>
    <w:p>
      <w:pPr>
        <w:pStyle w:val="SourceCode"/>
      </w:pPr>
      <w:r>
        <w:rPr>
          <w:rStyle w:val="VerbatimChar"/>
        </w:rPr>
        <w:t xml:space="preserve">mtext-&lt;mandant&gt;/</w:t>
      </w:r>
      <w:r>
        <w:br/>
      </w:r>
      <w:r>
        <w:rPr>
          <w:rStyle w:val="VerbatimChar"/>
        </w:rPr>
        <w:t xml:space="preserve">  .github/workflows/</w:t>
      </w:r>
      <w:r>
        <w:br/>
      </w:r>
      <w:r>
        <w:rPr>
          <w:rStyle w:val="VerbatimChar"/>
        </w:rPr>
        <w:t xml:space="preserve">    validate-config.yml</w:t>
      </w:r>
      <w:r>
        <w:br/>
      </w:r>
      <w:r>
        <w:rPr>
          <w:rStyle w:val="VerbatimChar"/>
        </w:rPr>
        <w:t xml:space="preserve">    sync-resources.yml</w:t>
      </w:r>
      <w:r>
        <w:br/>
      </w:r>
      <w:r>
        <w:rPr>
          <w:rStyle w:val="VerbatimChar"/>
        </w:rPr>
        <w:t xml:space="preserve">    release.yml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mandant.json</w:t>
      </w:r>
      <w:r>
        <w:br/>
      </w:r>
      <w:r>
        <w:rPr>
          <w:rStyle w:val="VerbatimChar"/>
        </w:rPr>
        <w:t xml:space="preserve">  &lt;M/Text-Projekte&gt;</w:t>
      </w:r>
    </w:p>
    <w:p>
      <w:pPr>
        <w:pStyle w:val="FirstParagraph"/>
      </w:pPr>
      <w:r>
        <w:t xml:space="preserve">Das zentrale Repository enthält die wiederverwendbaren Workflows, die</w:t>
      </w:r>
      <w:r>
        <w:t xml:space="preserve"> </w:t>
      </w:r>
      <w:r>
        <w:t xml:space="preserve">gemeinsame Python-Anwendung, geprüfte Konfigurationsregeln, das JCL-Template</w:t>
      </w:r>
      <w:r>
        <w:t xml:space="preserve"> </w:t>
      </w:r>
      <w:r>
        <w:t xml:space="preserve">und die automatisierten Tests:</w:t>
      </w:r>
    </w:p>
    <w:p>
      <w:pPr>
        <w:pStyle w:val="SourceCode"/>
      </w:pPr>
      <w:r>
        <w:rPr>
          <w:rStyle w:val="VerbatimChar"/>
        </w:rPr>
        <w:t xml:space="preserve">mtext-actions/</w:t>
      </w:r>
      <w:r>
        <w:br/>
      </w:r>
      <w:r>
        <w:rPr>
          <w:rStyle w:val="VerbatimChar"/>
        </w:rPr>
        <w:t xml:space="preserve">  .github/workflows/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src/lbs_delivery/</w:t>
      </w:r>
      <w:r>
        <w:br/>
      </w:r>
      <w:r>
        <w:rPr>
          <w:rStyle w:val="VerbatimChar"/>
        </w:rPr>
        <w:t xml:space="preserve">  templates/</w:t>
      </w:r>
      <w:r>
        <w:br/>
      </w:r>
      <w:r>
        <w:rPr>
          <w:rStyle w:val="VerbatimChar"/>
        </w:rPr>
        <w:t xml:space="preserve">  tests/</w:t>
      </w:r>
    </w:p>
    <w:p>
      <w:pPr>
        <w:pStyle w:val="FirstParagraph"/>
      </w:pPr>
      <w:r>
        <w:rPr>
          <w:rStyle w:val="VerbatimChar"/>
        </w:rPr>
        <w:t xml:space="preserve">mtext-fi</w:t>
      </w:r>
      <w:r>
        <w:t xml:space="preserve"> </w:t>
      </w:r>
      <w:r>
        <w:t xml:space="preserve">dient als Muster für die Mandanten-Repositories. In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sind derzeit die fünf FI-Projekte aufgeführt, die</w:t>
      </w:r>
      <w:r>
        <w:t xml:space="preserve"> </w:t>
      </w:r>
      <w:r>
        <w:t xml:space="preserve">synchronisiert und in Releasepakete aufgenommen werden, einschließlich ihrer</w:t>
      </w:r>
      <w:r>
        <w:t xml:space="preserve"> </w:t>
      </w:r>
      <w:r>
        <w:t xml:space="preserve">jeweiligen Paketcodes.</w:t>
      </w:r>
      <w:r>
        <w:t xml:space="preserve"> </w:t>
      </w:r>
      <w:r>
        <w:rPr>
          <w:rStyle w:val="VerbatimChar"/>
        </w:rPr>
        <w:t xml:space="preserve">LOMS_Testdaten</w:t>
      </w:r>
      <w:r>
        <w:t xml:space="preserve"> </w:t>
      </w:r>
      <w:r>
        <w:t xml:space="preserve">soll ebenfalls in das Repository</w:t>
      </w:r>
      <w:r>
        <w:t xml:space="preserve"> </w:t>
      </w:r>
      <w:r>
        <w:t xml:space="preserve">übernommen werden, ist aber wie bisher nicht Bestandteil der Synchronisation</w:t>
      </w:r>
      <w:r>
        <w:t xml:space="preserve"> </w:t>
      </w:r>
      <w:r>
        <w:t xml:space="preserve">oder der Releasepakete.</w:t>
      </w:r>
    </w:p>
    <w:p>
      <w:pPr>
        <w:pStyle w:val="BodyText"/>
      </w:pPr>
      <w:r>
        <w:t xml:space="preserve">Die Workflows im Mandanten-Repository legen nur Auslöser und explizite</w:t>
      </w:r>
      <w:r>
        <w:t xml:space="preserve"> </w:t>
      </w:r>
      <w:r>
        <w:t xml:space="preserve">Zielstufen fest. Die Verarbeitung erfolgt durch die zentralen Workflows aus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. Im aktuellen Entwicklungsstand enthalten die Verweise auf</w:t>
      </w:r>
      <w:r>
        <w:t xml:space="preserve"> </w:t>
      </w:r>
      <w:r>
        <w:t xml:space="preserve">diese zentralen Workflows noch eine nicht lauffähige Folge aus Nullen als</w:t>
      </w:r>
      <w:r>
        <w:t xml:space="preserve"> </w:t>
      </w:r>
      <w:r>
        <w:t xml:space="preserve">Platzhalter.</w:t>
      </w:r>
    </w:p>
    <w:p>
      <w:pPr>
        <w:pStyle w:val="BodyText"/>
      </w:pPr>
      <w:r>
        <w:t xml:space="preserve">Im gemeinsamen Workspace liegen</w:t>
      </w:r>
      <w:r>
        <w:t xml:space="preserve"> </w:t>
      </w:r>
      <w:r>
        <w:rPr>
          <w:rStyle w:val="VerbatimChar"/>
        </w:rPr>
        <w:t xml:space="preserve">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derzeit als</w:t>
      </w:r>
      <w:r>
        <w:t xml:space="preserve"> </w:t>
      </w:r>
      <w:r>
        <w:t xml:space="preserve">Verzeichnisse nebeneinander. Im Zielbetrieb werden sie als eigenständige</w:t>
      </w:r>
      <w:r>
        <w:t xml:space="preserve"> </w:t>
      </w:r>
      <w:r>
        <w:t xml:space="preserve">GitHub-Repositories unter</w:t>
      </w:r>
      <w:r>
        <w:t xml:space="preserve"> </w:t>
      </w:r>
      <w:r>
        <w:rPr>
          <w:rStyle w:val="VerbatimChar"/>
        </w:rPr>
        <w:t xml:space="preserve">j517120/mtext-fi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j520730/mtext-actions</w:t>
      </w:r>
      <w:r>
        <w:t xml:space="preserve"> </w:t>
      </w:r>
      <w:r>
        <w:t xml:space="preserve">geführt. Nach fachlicher Bestandsaufnahme und Freigabe werden auch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 </w:t>
      </w:r>
      <w:r>
        <w:t xml:space="preserve">nach diesem Muster eingerichtet.</w:t>
      </w:r>
    </w:p>
    <w:p>
      <w:pPr>
        <w:pStyle w:val="BodyText"/>
      </w:pPr>
      <w:r>
        <w:t xml:space="preserve">Vor dem ersten Integrationslauf wird der Platzhalter in allen</w:t>
      </w:r>
      <w:r>
        <w:t xml:space="preserve"> </w:t>
      </w:r>
      <w:r>
        <w:t xml:space="preserve">Mandanten-Workflows durch die vollständige Kennung einer freigegebenen Version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ersetzt. GitHub Enterprise muss den</w:t>
      </w:r>
      <w:r>
        <w:t xml:space="preserve"> </w:t>
      </w:r>
      <w:r>
        <w:t xml:space="preserve">Mandanten-Repositories außerdem den Zugriff auf die zentralen Workflows</w:t>
      </w:r>
      <w:r>
        <w:t xml:space="preserve"> </w:t>
      </w:r>
      <w:r>
        <w:t xml:space="preserve">erlauben. Beides wird mit einem nichtproduktiven Lauf geprüft.</w:t>
      </w:r>
    </w:p>
    <w:bookmarkEnd w:id="17"/>
    <w:bookmarkStart w:id="18" w:name="Xf9f5d5b1e10b1cd4e1812458f539d819763c8d3"/>
    <w:p>
      <w:pPr>
        <w:pStyle w:val="Heading2"/>
      </w:pPr>
      <w:r>
        <w:t xml:space="preserve">6. Branches, Weitergabe und Auslöser</w:t>
      </w:r>
    </w:p>
    <w:p>
      <w:pPr>
        <w:pStyle w:val="FirstParagraph"/>
      </w:pPr>
      <w:r>
        <w:t xml:space="preserve">Jede aktive Releaselinie besitzt drei Branches, zum Beispiel:</w:t>
      </w:r>
    </w:p>
    <w:p>
      <w:pPr>
        <w:pStyle w:val="SourceCode"/>
      </w:pPr>
      <w:r>
        <w:rPr>
          <w:rStyle w:val="VerbatimChar"/>
        </w:rPr>
        <w:t xml:space="preserve">R260/Entwicklung</w:t>
      </w:r>
      <w:r>
        <w:br/>
      </w:r>
      <w:r>
        <w:rPr>
          <w:rStyle w:val="VerbatimChar"/>
        </w:rPr>
        <w:t xml:space="preserve">R260/Abnahme</w:t>
      </w:r>
      <w:r>
        <w:br/>
      </w:r>
      <w:r>
        <w:rPr>
          <w:rStyle w:val="VerbatimChar"/>
        </w:rPr>
        <w:t xml:space="preserve">R260/Bereitstellung</w:t>
      </w:r>
    </w:p>
    <w:p>
      <w:pPr>
        <w:pStyle w:val="FirstParagraph"/>
      </w:pPr>
      <w:r>
        <w:t xml:space="preserve">Damit ist aus jedem Branchnamen eindeutig erkennbar, zu welcher Releaselinie</w:t>
      </w:r>
      <w:r>
        <w:t xml:space="preserve"> </w:t>
      </w:r>
      <w:r>
        <w:t xml:space="preserve">und Stufe er gehört. Ein gemeinsamer Stufenbranch mit mehreren</w:t>
      </w:r>
      <w:r>
        <w:t xml:space="preserve"> </w:t>
      </w:r>
      <w:r>
        <w:t xml:space="preserve">Releaseverzeichnissen, wie er in SVN verwendet wurde, wird nicht fortgeführt.</w:t>
      </w:r>
    </w:p>
    <w:p>
      <w:pPr>
        <w:pStyle w:val="BodyText"/>
      </w:pPr>
      <w:r>
        <w:t xml:space="preserve">Für größere oder gemeinsam bearbeitete Änderungen kann ein Feature-Branch</w:t>
      </w:r>
      <w:r>
        <w:t xml:space="preserve"> </w:t>
      </w:r>
      <w:r>
        <w:t xml:space="preserve">verwendet werden. Er löst keine Verteilung aus. Kleine Änderungen dürfen auch</w:t>
      </w:r>
      <w:r>
        <w:t xml:space="preserve"> </w:t>
      </w:r>
      <w:r>
        <w:t xml:space="preserve">direkt auf dem Entwicklungsbranch entstehen. Ein Feature-Branch ist keine</w:t>
      </w:r>
      <w:r>
        <w:t xml:space="preserve"> </w:t>
      </w:r>
      <w:r>
        <w:t xml:space="preserve">zusätzliche fachliche Stufe.</w:t>
      </w:r>
    </w:p>
    <w:p>
      <w:pPr>
        <w:pStyle w:val="BodyText"/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 </w:t>
      </w:r>
      <w:r>
        <w:t xml:space="preserve">startet automatisch die</w:t>
      </w:r>
      <w:r>
        <w:t xml:space="preserve"> </w:t>
      </w:r>
      <w:r>
        <w:t xml:space="preserve">M/Text-Verteilung für die entsprechende Stufe. Beim Übergang zur nächsten</w:t>
      </w:r>
      <w:r>
        <w:t xml:space="preserve"> </w:t>
      </w:r>
      <w:r>
        <w:t xml:space="preserve">Stufe wird derselbe Commit übernommen. Dadurch bleibt erkennbar, welcher</w:t>
      </w:r>
      <w:r>
        <w:t xml:space="preserve"> </w:t>
      </w:r>
      <w:r>
        <w:t xml:space="preserve">geprüfte Stand weitergegeben wurde. Die Workflow-Trigger verwenden das</w:t>
      </w:r>
      <w:r>
        <w:t xml:space="preserve"> </w:t>
      </w:r>
      <w:r>
        <w:t xml:space="preserve">allgemeine Namensmuster</w:t>
      </w:r>
      <w:r>
        <w:t xml:space="preserve"> </w:t>
      </w:r>
      <w:r>
        <w:rPr>
          <w:rStyle w:val="VerbatimChar"/>
        </w:rPr>
        <w:t xml:space="preserve">Rnnn/&lt;Stufe&gt;</w:t>
      </w:r>
      <w:r>
        <w:t xml:space="preserve">; ob eine konkrete Linie aktiv ist,</w:t>
      </w:r>
      <w:r>
        <w:t xml:space="preserve"> </w:t>
      </w:r>
      <w:r>
        <w:t xml:space="preserve">entscheidet ausschließlich die zentrale Deploymentkonfiguration.</w:t>
      </w:r>
    </w:p>
    <w:p>
      <w:pPr>
        <w:pStyle w:val="BodyText"/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erzeugt noch keine Lieferung. Erst ein Tag</w:t>
      </w:r>
      <w:r>
        <w:t xml:space="preserve"> </w:t>
      </w:r>
      <w:r>
        <w:t xml:space="preserve">im Format</w:t>
      </w:r>
      <w:r>
        <w:t xml:space="preserve"> </w:t>
      </w:r>
      <w:r>
        <w:rPr>
          <w:rStyle w:val="VerbatimChar"/>
        </w:rPr>
        <w:t xml:space="preserve">Rnnn.nnn</w:t>
      </w:r>
      <w:r>
        <w:t xml:space="preserve"> </w:t>
      </w:r>
      <w:r>
        <w:t xml:space="preserve">startet den Paketbau. Dabei wird geprüft, ob der Tag zur</w:t>
      </w:r>
      <w:r>
        <w:t xml:space="preserve"> </w:t>
      </w:r>
      <w:r>
        <w:t xml:space="preserve">angegebenen Releaselinie gehört und vom Bereitstellungsbranch erreichbar ist.</w:t>
      </w:r>
      <w:r>
        <w:t xml:space="preserve"> </w:t>
      </w:r>
      <w:r>
        <w:t xml:space="preserve">Der Tag ist danach die unveränderliche Identität dieser Lieferung und wird</w:t>
      </w:r>
      <w:r>
        <w:t xml:space="preserve"> </w:t>
      </w:r>
      <w:r>
        <w:t xml:space="preserve">durch Tag-Rulesets gegen Änderung, Force-Push und Löschung geschützt.</w:t>
      </w:r>
    </w:p>
    <w:p>
      <w:pPr>
        <w:pStyle w:val="BodyText"/>
      </w:pPr>
      <w:r>
        <w:t xml:space="preserve">In der Pilotphase werden die fachlich ausgewählten Commits weiterhin direkt</w:t>
      </w:r>
      <w:r>
        <w:t xml:space="preserve"> </w:t>
      </w:r>
      <w:r>
        <w:t xml:space="preserve">per Cherry-Pick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übernommen. Dabei wird insbesondere</w:t>
      </w:r>
      <w:r>
        <w:t xml:space="preserve"> </w:t>
      </w:r>
      <w:r>
        <w:t xml:space="preserve">beobachtet, ob parallele Zusammenstellungen oder die Nachvollziehbarkeit der</w:t>
      </w:r>
      <w:r>
        <w:t xml:space="preserve"> </w:t>
      </w:r>
      <w:r>
        <w:t xml:space="preserve">Auswahl Probleme verursachen. Falls dies im Betrieb erforderlich wird, kann</w:t>
      </w:r>
      <w:r>
        <w:t xml:space="preserve"> </w:t>
      </w:r>
      <w:r>
        <w:t xml:space="preserve">später ein kurzlebiger Auswahlbranch mit einem normalen Pull Request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eingeführt werden. Dafür ist kein eigener fachlicher</w:t>
      </w:r>
      <w:r>
        <w:t xml:space="preserve"> </w:t>
      </w:r>
      <w:r>
        <w:t xml:space="preserve">Validate-Workflow erforderlich.</w:t>
      </w:r>
    </w:p>
    <w:p>
      <w:pPr>
        <w:pStyle w:val="BodyText"/>
      </w:pPr>
      <w:r>
        <w:t xml:space="preserve">Die Mandanten-Repositories erhalten keinen zusätzlichen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-Branch. Als</w:t>
      </w:r>
      <w:r>
        <w:t xml:space="preserve"> </w:t>
      </w:r>
      <w:r>
        <w:t xml:space="preserve">Default Branch dient der Entwicklungsbranch der aktuell führenden Linie,</w:t>
      </w:r>
      <w:r>
        <w:t xml:space="preserve"> </w:t>
      </w:r>
      <w:r>
        <w:t xml:space="preserve">zunächst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. Beim Wechsel der führenden Linie wird diese</w:t>
      </w:r>
      <w:r>
        <w:t xml:space="preserve"> </w:t>
      </w:r>
      <w:r>
        <w:t xml:space="preserve">Einstellung manuell angepasst.</w:t>
      </w:r>
    </w:p>
    <w:p>
      <w:pPr>
        <w:pStyle w:val="BodyText"/>
      </w:pPr>
      <w:r>
        <w:t xml:space="preserve">Manuelle Wiederholungen sind möglich, müssen aber denselben Commit verwenden.</w:t>
      </w:r>
      <w:r>
        <w:t xml:space="preserve"> </w:t>
      </w:r>
      <w:r>
        <w:t xml:space="preserve">Vor einer erneuten M/Text-Verteilung prüft der Workflow, ob dieser Commit zum</w:t>
      </w:r>
      <w:r>
        <w:t xml:space="preserve"> </w:t>
      </w:r>
      <w:r>
        <w:t xml:space="preserve">ausgewählten Stufenbranch gehört.</w:t>
      </w:r>
    </w:p>
    <w:p>
      <w:pPr>
        <w:pStyle w:val="BodyText"/>
      </w:pPr>
      <w:r>
        <w:t xml:space="preserve">Die Zielplattform ist GitHub Enterprise Server 3.20.4. Die verwendeten</w:t>
      </w:r>
      <w:r>
        <w:t xml:space="preserve"> </w:t>
      </w:r>
      <w:r>
        <w:t xml:space="preserve">GitHub-Actions-Bausteine und der interne Runner müssen vor der Aktivierung auf</w:t>
      </w:r>
      <w:r>
        <w:t xml:space="preserve"> </w:t>
      </w:r>
      <w:r>
        <w:t xml:space="preserve">dieser konkreten Version geprüft werden.</w:t>
      </w:r>
    </w:p>
    <w:bookmarkEnd w:id="18"/>
    <w:bookmarkStart w:id="19" w:name="X2fdd6a840bda6fa4e4e9560b01aa43e9c26603d"/>
    <w:p>
      <w:pPr>
        <w:pStyle w:val="Heading2"/>
      </w:pPr>
      <w:r>
        <w:t xml:space="preserve">7. Konfiguration</w:t>
      </w:r>
    </w:p>
    <w:p>
      <w:pPr>
        <w:pStyle w:val="FirstParagraph"/>
      </w:pPr>
      <w:r>
        <w:t xml:space="preserve">Jedes Mandanten-Repository enthält seine eigene Konfiguration. Sie beschreibt</w:t>
      </w:r>
      <w:r>
        <w:t xml:space="preserve"> </w:t>
      </w:r>
      <w:r>
        <w:t xml:space="preserve">unter anderem:</w:t>
      </w:r>
    </w:p>
    <w:p>
      <w:pPr>
        <w:pStyle w:val="Compact"/>
        <w:numPr>
          <w:ilvl w:val="0"/>
          <w:numId w:val="1004"/>
        </w:numPr>
      </w:pPr>
      <w:r>
        <w:t xml:space="preserve">den Mandanten und das zugehörige Repository,</w:t>
      </w:r>
    </w:p>
    <w:p>
      <w:pPr>
        <w:pStyle w:val="Compact"/>
        <w:numPr>
          <w:ilvl w:val="0"/>
          <w:numId w:val="1004"/>
        </w:numPr>
      </w:pPr>
      <w:r>
        <w:t xml:space="preserve">die zu verarbeitenden Projekte,</w:t>
      </w:r>
    </w:p>
    <w:p>
      <w:pPr>
        <w:pStyle w:val="Compact"/>
        <w:numPr>
          <w:ilvl w:val="0"/>
          <w:numId w:val="1004"/>
        </w:numPr>
      </w:pPr>
      <w:r>
        <w:t xml:space="preserve">die Paketcodes sowie</w:t>
      </w:r>
    </w:p>
    <w:p>
      <w:pPr>
        <w:pStyle w:val="Compact"/>
        <w:numPr>
          <w:ilvl w:val="0"/>
          <w:numId w:val="1004"/>
        </w:numPr>
      </w:pPr>
      <w:r>
        <w:t xml:space="preserve">die Mainframe-Zuordnungen des Mandanten.</w:t>
      </w:r>
    </w:p>
    <w:p>
      <w:pPr>
        <w:pStyle w:val="FirstParagraph"/>
      </w:pPr>
      <w:r>
        <w:t xml:space="preserve">Diese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ist ein versionierter Bestandteil des fachlichen</w:t>
      </w:r>
      <w:r>
        <w:t xml:space="preserve"> </w:t>
      </w:r>
      <w:r>
        <w:t xml:space="preserve">Lieferstands und keine frei veränderbare Laufzeitkonfiguration.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bildet die Projekt-Allowlist für Synchronisation und Release. Optional</w:t>
      </w:r>
      <w:r>
        <w:t xml:space="preserve"> </w:t>
      </w:r>
      <w:r>
        <w:t xml:space="preserve">definierte</w:t>
      </w:r>
      <w:r>
        <w:t xml:space="preserve"> </w:t>
      </w:r>
      <w:r>
        <w:rPr>
          <w:rStyle w:val="VerbatimChar"/>
        </w:rPr>
        <w:t xml:space="preserve">sync_overrides</w:t>
      </w:r>
      <w:r>
        <w:t xml:space="preserve"> </w:t>
      </w:r>
      <w:r>
        <w:t xml:space="preserve">ergänzen nur die Synchronisation einer bestimmten</w:t>
      </w:r>
      <w:r>
        <w:t xml:space="preserve"> </w:t>
      </w:r>
      <w:r>
        <w:t xml:space="preserve">Linie und Stufe; sie verändern den Paketinhalt nicht. Dadurch bleibt auch bei</w:t>
      </w:r>
      <w:r>
        <w:t xml:space="preserve"> </w:t>
      </w:r>
      <w:r>
        <w:t xml:space="preserve">einem späteren Release eines älteren Tags nachvollziehbar, welche Projekte,</w:t>
      </w:r>
      <w:r>
        <w:t xml:space="preserve"> </w:t>
      </w:r>
      <w:r>
        <w:t xml:space="preserve">Paketcodes, Assignments und Level zu genau diesem Stand gehörten. Eine</w:t>
      </w:r>
      <w:r>
        <w:t xml:space="preserve"> </w:t>
      </w:r>
      <w:r>
        <w:t xml:space="preserve">Zentralisierung außerhalb des Mandanten-Repositories würde diese gemeinsame</w:t>
      </w:r>
      <w:r>
        <w:t xml:space="preserve"> </w:t>
      </w:r>
      <w:r>
        <w:t xml:space="preserve">Versionierung von Ressourcen und Mandantenmapping auflösen und ist deshalb</w:t>
      </w:r>
      <w:r>
        <w:t xml:space="preserve"> </w:t>
      </w:r>
      <w:r>
        <w:t xml:space="preserve">nicht vorgesehen.</w:t>
      </w:r>
    </w:p>
    <w:p>
      <w:pPr>
        <w:pStyle w:val="BodyText"/>
      </w:pPr>
      <w:r>
        <w:t xml:space="preserve">Die zentrale Konfiguration beschreibt die gemeinsamen Releaselinien,</w:t>
      </w:r>
      <w:r>
        <w:t xml:space="preserve"> </w:t>
      </w:r>
      <w:r>
        <w:t xml:space="preserve">Zielstufen, M/Text-Adressen und Dateinamensregeln. Derzeit gelten folgende</w:t>
      </w:r>
      <w:r>
        <w:t xml:space="preserve"> </w:t>
      </w:r>
      <w:r>
        <w:t xml:space="preserve">Zuordnungen: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Releaselinie</w:t>
            </w:r>
          </w:p>
        </w:tc>
        <w:tc>
          <w:tcPr/>
          <w:p>
            <w:pPr>
              <w:pStyle w:val="Compact"/>
            </w:pPr>
            <w:r>
              <w:t xml:space="preserve">Technische Linie</w:t>
            </w:r>
          </w:p>
        </w:tc>
        <w:tc>
          <w:tcPr/>
          <w:p>
            <w:pPr>
              <w:pStyle w:val="Compact"/>
            </w:pPr>
            <w:r>
              <w:t xml:space="preserve">Mainframe-Stufe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</w:t>
            </w:r>
          </w:p>
        </w:tc>
      </w:tr>
    </w:tbl>
    <w:p>
      <w:pPr>
        <w:pStyle w:val="BodyText"/>
      </w:pPr>
      <w:r>
        <w:t xml:space="preserve">Vor einer Verteilung oder Lieferung wird die gesamte benötigte Konfiguration</w:t>
      </w:r>
      <w:r>
        <w:t xml:space="preserve"> </w:t>
      </w:r>
      <w:r>
        <w:t xml:space="preserve">geprüft. Unbekannte Mandanten, Releaselinien, Zielumgebungen oder zusätzliche</w:t>
      </w:r>
      <w:r>
        <w:t xml:space="preserve"> </w:t>
      </w:r>
      <w:r>
        <w:t xml:space="preserve">Konfigurationsfelder führen zu einem Fehler. Es gibt keine stillschweigende</w:t>
      </w:r>
      <w:r>
        <w:t xml:space="preserve"> </w:t>
      </w:r>
      <w:r>
        <w:t xml:space="preserve">Rückfallregel auf FI-Werte.</w:t>
      </w:r>
    </w:p>
    <w:p>
      <w:pPr>
        <w:pStyle w:val="BodyText"/>
      </w:pPr>
      <w:r>
        <w:t xml:space="preserve">Zusätzlich startet jede Änderung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bereits beim Push</w:t>
      </w:r>
      <w:r>
        <w:t xml:space="preserve"> </w:t>
      </w:r>
      <w:r>
        <w:t xml:space="preserve">einen nebenwirkungsfreien Config-Check. Er validiert Schema,</w:t>
      </w:r>
      <w:r>
        <w:t xml:space="preserve"> </w:t>
      </w:r>
      <w:r>
        <w:t xml:space="preserve">Repository-Identität, fachliche Eindeutigkeit und interne Querverweise der</w:t>
      </w:r>
      <w:r>
        <w:t xml:space="preserve"> </w:t>
      </w:r>
      <w:r>
        <w:t xml:space="preserve">Deploymentkonfiguration, verwendet aber weder Secrets noch Environments oder</w:t>
      </w:r>
      <w:r>
        <w:t xml:space="preserve"> </w:t>
      </w:r>
      <w:r>
        <w:t xml:space="preserve">externe Zielzugriffe. Da der derzeitige Prozess keine Pull Requests</w:t>
      </w:r>
      <w:r>
        <w:t xml:space="preserve"> </w:t>
      </w:r>
      <w:r>
        <w:t xml:space="preserve">voraussetzt, liefert der Check bewusst nur frühes Feedback und ist kein</w:t>
      </w:r>
      <w:r>
        <w:t xml:space="preserve"> </w:t>
      </w:r>
      <w:r>
        <w:t xml:space="preserve">technisch erzwungenes Gate. Config-Änderungen werden fachlich mit den benannten</w:t>
      </w:r>
      <w:r>
        <w:t xml:space="preserve"> </w:t>
      </w:r>
      <w:r>
        <w:t xml:space="preserve">Mandanten- und Betriebsverantwortlichen abgestimmt. Falls Config-Änderungen</w:t>
      </w:r>
      <w:r>
        <w:t xml:space="preserve"> </w:t>
      </w:r>
      <w:r>
        <w:t xml:space="preserve">später über Pull Requests freigegeben werden, kann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zusätzlich einem verbindlichen Code-Owner-Verfahren unterstellt werden.</w:t>
      </w:r>
    </w:p>
    <w:p>
      <w:pPr>
        <w:pStyle w:val="BodyText"/>
      </w:pPr>
      <w:r>
        <w:t xml:space="preserve">FI ist für die unfragmentierten Basisprojekte maßgeblich,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 </w:t>
      </w:r>
      <w:r>
        <w:t xml:space="preserve">für</w:t>
      </w:r>
      <w:r>
        <w:t xml:space="preserve"> </w:t>
      </w:r>
      <w:r>
        <w:rPr>
          <w:rStyle w:val="VerbatimChar"/>
        </w:rPr>
        <w:t xml:space="preserve">LOMS_Autonom</w:t>
      </w:r>
      <w:r>
        <w:t xml:space="preserve">. Die übrigen Mandanten enthalten Fragmentprojekte mit dem</w:t>
      </w:r>
      <w:r>
        <w:t xml:space="preserve"> </w:t>
      </w:r>
      <w:r>
        <w:t xml:space="preserve">Mandantenkürzel in eckigen Klammern. Welche Projekte in einem Repository</w:t>
      </w:r>
      <w:r>
        <w:t xml:space="preserve"> </w:t>
      </w:r>
      <w:r>
        <w:t xml:space="preserve">liegen und welche davon tatsächlich synchronisiert oder paketiert werden,</w:t>
      </w:r>
      <w:r>
        <w:t xml:space="preserve"> </w:t>
      </w:r>
      <w:r>
        <w:t xml:space="preserve">kann sich unterscheiden. Testdatenprojekte werden zwar nach Git übernommen,</w:t>
      </w:r>
      <w:r>
        <w:t xml:space="preserve"> </w:t>
      </w:r>
      <w:r>
        <w:t xml:space="preserve">aber nicht ausgeliefert.</w:t>
      </w:r>
    </w:p>
    <w:p>
      <w:pPr>
        <w:pStyle w:val="BodyText"/>
      </w:pPr>
      <w:r>
        <w:t xml:space="preserve">Noch nicht vollständig inventarisierte Mandanten werden erst nach fachlicher</w:t>
      </w:r>
      <w:r>
        <w:t xml:space="preserve"> </w:t>
      </w:r>
      <w:r>
        <w:t xml:space="preserve">Prüfung ihrer Projekte und Zuordnungen für den produktiven Betrieb</w:t>
      </w:r>
      <w:r>
        <w:t xml:space="preserve"> </w:t>
      </w:r>
      <w:r>
        <w:t xml:space="preserve">freigegeben.</w:t>
      </w:r>
    </w:p>
    <w:bookmarkEnd w:id="19"/>
    <w:bookmarkStart w:id="20" w:name="X98bce24193f2560f5af3a394424f014cffcf16b"/>
    <w:p>
      <w:pPr>
        <w:pStyle w:val="Heading2"/>
      </w:pPr>
      <w:r>
        <w:t xml:space="preserve">8. FULL- und DELTA-Lieferungen</w:t>
      </w:r>
    </w:p>
    <w:p>
      <w:pPr>
        <w:pStyle w:val="FirstParagraph"/>
      </w:pPr>
      <w:r>
        <w:t xml:space="preserve">Ein Tag mit der Endung</w:t>
      </w:r>
      <w:r>
        <w:t xml:space="preserve"> </w:t>
      </w:r>
      <w:r>
        <w:rPr>
          <w:rStyle w:val="VerbatimChar"/>
        </w:rPr>
        <w:t xml:space="preserve">.100</w:t>
      </w:r>
      <w:r>
        <w:t xml:space="preserve">, zum Beispiel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, erzeugt eine</w:t>
      </w:r>
      <w:r>
        <w:t xml:space="preserve"> </w:t>
      </w:r>
      <w:r>
        <w:t xml:space="preserve">vollständige Lieferung aller Projekte der Mandantenkonfiguration.</w:t>
      </w:r>
    </w:p>
    <w:p>
      <w:pPr>
        <w:pStyle w:val="BodyText"/>
      </w:pPr>
      <w:r>
        <w:t xml:space="preserve">Jeder andere gültige Release-Tag derselben Releaselinie erzeugt ein</w:t>
      </w:r>
      <w:r>
        <w:t xml:space="preserve"> </w:t>
      </w:r>
      <w:r>
        <w:t xml:space="preserve">kumulatives DELTA gegen den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-Tag. Ein Tag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 </w:t>
      </w:r>
      <w:r>
        <w:t xml:space="preserve">enthält somit alle</w:t>
      </w:r>
      <w:r>
        <w:t xml:space="preserve"> </w:t>
      </w:r>
      <w:r>
        <w:t xml:space="preserve">neuen, geänderten und gelöschten Dateien seit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. Frühere</w:t>
      </w:r>
      <w:r>
        <w:t xml:space="preserve"> </w:t>
      </w:r>
      <w:r>
        <w:t xml:space="preserve">DELTA-Lieferungen müssen nicht lückenlos eingespielt worden sein.</w:t>
      </w:r>
    </w:p>
    <w:p>
      <w:pPr>
        <w:pStyle w:val="BodyText"/>
      </w:pPr>
      <w:r>
        <w:t xml:space="preserve">Zu jeder Lieferung wird ein Manifest erzeugt. Diese Begleitdatei nennt unter</w:t>
      </w:r>
      <w:r>
        <w:t xml:space="preserve"> </w:t>
      </w:r>
      <w:r>
        <w:t xml:space="preserve">anderem Mandant, Release, Quellstand, enthaltene Dateien und deren Prüfsummen.</w:t>
      </w:r>
      <w:r>
        <w:t xml:space="preserve"> </w:t>
      </w:r>
      <w:r>
        <w:t xml:space="preserve">Vor der Mainframe-Übergabe werden die Dateien erneut damit verglichen. So wird</w:t>
      </w:r>
      <w:r>
        <w:t xml:space="preserve"> </w:t>
      </w:r>
      <w:r>
        <w:t xml:space="preserve">sichergestellt, dass genau das zuvor gebaute und freigegebene Paket übergeben</w:t>
      </w:r>
      <w:r>
        <w:t xml:space="preserve"> </w:t>
      </w:r>
      <w:r>
        <w:t xml:space="preserve">wird.</w:t>
      </w:r>
    </w:p>
    <w:p>
      <w:pPr>
        <w:pStyle w:val="BodyText"/>
      </w:pPr>
      <w:r>
        <w:t xml:space="preserve">Ein fehlgeschlagener Übergabeversuch kann innerhalb desselben GitHub-Laufs mit</w:t>
      </w:r>
      <w:r>
        <w:t xml:space="preserve"> </w:t>
      </w:r>
      <w:r>
        <w:t xml:space="preserve">dem unveränderten Paket wiederholt werden. Das Paket wird dabei nicht neu</w:t>
      </w:r>
      <w:r>
        <w:t xml:space="preserve"> </w:t>
      </w:r>
      <w:r>
        <w:t xml:space="preserve">gebaut.</w:t>
      </w:r>
    </w:p>
    <w:p>
      <w:pPr>
        <w:pStyle w:val="BodyText"/>
      </w:pPr>
      <w:r>
        <w:t xml:space="preserve">Bei der Migration werden für jede aktive Releaselinie mindestens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-Stand und alle späteren Tags übernommen. Aus einem bisherigen SVN-Namen</w:t>
      </w:r>
      <w:r>
        <w:t xml:space="preserve"> </w:t>
      </w:r>
      <w:r>
        <w:t xml:space="preserve">wie</w:t>
      </w:r>
      <w:r>
        <w:t xml:space="preserve"> </w:t>
      </w:r>
      <w:r>
        <w:rPr>
          <w:rStyle w:val="VerbatimChar"/>
        </w:rPr>
        <w:t xml:space="preserve">R260.101_MText</w:t>
      </w:r>
      <w:r>
        <w:t xml:space="preserve"> </w:t>
      </w:r>
      <w:r>
        <w:t xml:space="preserve">wird der Git-Tag</w:t>
      </w:r>
      <w:r>
        <w:t xml:space="preserve"> </w:t>
      </w:r>
      <w:r>
        <w:rPr>
          <w:rStyle w:val="VerbatimChar"/>
        </w:rPr>
        <w:t xml:space="preserve">R260.101</w:t>
      </w:r>
      <w:r>
        <w:t xml:space="preserve">. Die Übernahme älterer</w:t>
      </w:r>
      <w:r>
        <w:t xml:space="preserve"> </w:t>
      </w:r>
      <w:r>
        <w:t xml:space="preserve">Historie, SVN-Eigenschaften, Autoren und großer Dateien wird im</w:t>
      </w:r>
      <w:r>
        <w:t xml:space="preserve"> </w:t>
      </w:r>
      <w:r>
        <w:t xml:space="preserve">Migrationskonzept gesondert behandelt.</w:t>
      </w:r>
    </w:p>
    <w:bookmarkEnd w:id="20"/>
    <w:bookmarkStart w:id="21" w:name="X91cbc0de5b22a13e420d9396ebf604099507218"/>
    <w:p>
      <w:pPr>
        <w:pStyle w:val="Heading2"/>
      </w:pPr>
      <w:r>
        <w:t xml:space="preserve">9. Mainframe-Übergabe und JCL</w:t>
      </w:r>
    </w:p>
    <w:p>
      <w:pPr>
        <w:pStyle w:val="FirstParagraph"/>
      </w:pPr>
      <w:r>
        <w:t xml:space="preserve">Die JCL liegt künftig als eigene versionierte Template-Datei vor. Änderungen</w:t>
      </w:r>
      <w:r>
        <w:t xml:space="preserve"> </w:t>
      </w:r>
      <w:r>
        <w:t xml:space="preserve">an der Mainframe-Ansteuerung sind dadurch sichtbar und können unabhängig vom</w:t>
      </w:r>
      <w:r>
        <w:t xml:space="preserve"> </w:t>
      </w:r>
      <w:r>
        <w:t xml:space="preserve">Programmcode geprüft werden.</w:t>
      </w:r>
    </w:p>
    <w:p>
      <w:pPr>
        <w:pStyle w:val="BodyText"/>
      </w:pPr>
      <w:r>
        <w:t xml:space="preserve">Für jede Übergabe werden ausschließlich geprüfte Werte für ISPW-Instanz,</w:t>
      </w:r>
      <w:r>
        <w:t xml:space="preserve"> </w:t>
      </w:r>
      <w:r>
        <w:t xml:space="preserve">Level, Subsystem, Member und Assignment in das Template eingesetzt. Fehlende,</w:t>
      </w:r>
      <w:r>
        <w:t xml:space="preserve"> </w:t>
      </w:r>
      <w:r>
        <w:t xml:space="preserve">unbekannte oder syntaktisch unzulässige Werte führen vor der Übergabe zu einem</w:t>
      </w:r>
      <w:r>
        <w:t xml:space="preserve"> </w:t>
      </w:r>
      <w:r>
        <w:t xml:space="preserve">Fehler. Zugangsdaten werden weder in die JCL noch in die Protokolle</w:t>
      </w:r>
      <w:r>
        <w:t xml:space="preserve"> </w:t>
      </w:r>
      <w:r>
        <w:t xml:space="preserve">geschrieben.</w:t>
      </w:r>
    </w:p>
    <w:p>
      <w:pPr>
        <w:pStyle w:val="BodyText"/>
      </w:pPr>
      <w:r>
        <w:t xml:space="preserve">Der Release-Workflow trennt den Paketbau von der Mainframe-Übergabe. Der</w:t>
      </w:r>
      <w:r>
        <w:t xml:space="preserve"> </w:t>
      </w:r>
      <w:r>
        <w:t xml:space="preserve">Paketbau benötigt keinen Zugriff auf das Zielsystem. Erst der Übergabeschritt</w:t>
      </w:r>
      <w:r>
        <w:t xml:space="preserve"> </w:t>
      </w:r>
      <w:r>
        <w:t xml:space="preserve">erhält Zugriff auf die geschützte Umgebung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und wartet dort</w:t>
      </w:r>
      <w:r>
        <w:t xml:space="preserve"> </w:t>
      </w:r>
      <w:r>
        <w:t xml:space="preserve">auf eine manuelle Freigabe.</w:t>
      </w:r>
    </w:p>
    <w:p>
      <w:pPr>
        <w:pStyle w:val="BodyText"/>
      </w:pPr>
      <w:r>
        <w:t xml:space="preserve">Übergaben desselben Mandanten werden nacheinander ausgeführt. Verschiedene</w:t>
      </w:r>
      <w:r>
        <w:t xml:space="preserve"> </w:t>
      </w:r>
      <w:r>
        <w:t xml:space="preserve">Mandanten können gleichzeitig liefern.</w:t>
      </w:r>
    </w:p>
    <w:bookmarkEnd w:id="21"/>
    <w:bookmarkStart w:id="22" w:name="Xc9e55f19a3c267ed17d9fa137e0fc73a757a6fc"/>
    <w:p>
      <w:pPr>
        <w:pStyle w:val="Heading2"/>
      </w:pPr>
      <w:r>
        <w:t xml:space="preserve">10. Status und Fehler</w:t>
      </w:r>
    </w:p>
    <w:p>
      <w:pPr>
        <w:pStyle w:val="FirstParagraph"/>
      </w:pPr>
      <w:r>
        <w:t xml:space="preserve">Die Lösung meldet nur den Status, den sie selbst sicher feststellen kann: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</w:p>
        </w:tc>
        <w:tc>
          <w:tcPr/>
          <w:p>
            <w:pPr>
              <w:pStyle w:val="Compact"/>
            </w:pPr>
            <w:r>
              <w:t xml:space="preserve">Mandanten- und Deploymentkonfiguration wurden ohne externen Zielzugriff technisch geprüft.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Eingaben oder Konfiguration sind ungültig. Es wurde noch kein Zielsystem angesprochen.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Der angegebene Commit, Branch oder Tag konnte nicht eindeutig aufgelöst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Die Ressourcen konnten nicht in den Übergabebereich für M/Text geschrieben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Der M/Text-Adapter war nicht erreichbar oder hat die Anfrage abgelehnt.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Der M/Text-Adapter hat die Anfrage unmittelbar angenommen. Dies ist noch kein fachlicher Endstatus.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konnten nicht korrekt erstellt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Das Releasepaket wurde vollständig erstellt und geprüft.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Die unmittelbare FTP-/JES-Übergabe ist fehlgeschlagen.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Paket und JCL wurden technisch übergeben. Der spätere Mainframe-Job kann trotzdem noch fehlschlagen.</w:t>
            </w:r>
          </w:p>
        </w:tc>
      </w:tr>
    </w:tbl>
    <w:p>
      <w:pPr>
        <w:pStyle w:val="BodyText"/>
      </w:pPr>
      <w:r>
        <w:t xml:space="preserve">Ein HTTP-Fehler des M/Text-Adapters gilt immer als fehlgeschlagener Lauf. Ein</w:t>
      </w:r>
      <w:r>
        <w:t xml:space="preserve"> </w:t>
      </w:r>
      <w:r>
        <w:t xml:space="preserve">Status zwischen 200 und 299 bestätigt nur die unmittelbare Annahme der</w:t>
      </w:r>
      <w:r>
        <w:t xml:space="preserve"> </w:t>
      </w:r>
      <w:r>
        <w:t xml:space="preserve">Anfrage.</w:t>
      </w:r>
    </w:p>
    <w:p>
      <w:pPr>
        <w:pStyle w:val="BodyText"/>
      </w:pPr>
      <w:r>
        <w:t xml:space="preserve">Die erste Ausbaustufe fragt weder bei M/Text noch auf dem Mainframe nach dem</w:t>
      </w:r>
      <w:r>
        <w:t xml:space="preserve"> </w:t>
      </w:r>
      <w:r>
        <w:t xml:space="preserve">späteren fachlichen Endstatus.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2026-07-16T18:18:41Z</dcterms:created>
  <dcterms:modified xsi:type="dcterms:W3CDTF">2026-07-16T18:18:41Z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