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igrations--und-cutover-runbook"/>
    <w:p>
      <w:pPr>
        <w:pStyle w:val="Heading1"/>
      </w:pPr>
      <w:r>
        <w:t xml:space="preserve">Migrations- und Cutover-Runbook</w:t>
      </w:r>
    </w:p>
    <w:p>
      <w:pPr>
        <w:pStyle w:val="FirstParagraph"/>
      </w:pPr>
      <w:r>
        <w:rPr>
          <w:b/>
          <w:bCs/>
        </w:rPr>
        <w:t xml:space="preserve">Zweck:</w:t>
      </w:r>
      <w:r>
        <w:t xml:space="preserve"> </w:t>
      </w:r>
      <w:r>
        <w:t xml:space="preserve">Verbindliche Vorbereitung und Durchführung der SVN-Migration sowie</w:t>
      </w:r>
      <w:r>
        <w:t xml:space="preserve"> </w:t>
      </w:r>
      <w:r>
        <w:t xml:space="preserve">des produktiven harten Cutovers</w:t>
      </w:r>
    </w:p>
    <w:p>
      <w:pPr>
        <w:pStyle w:val="BodyText"/>
      </w:pPr>
      <w:r>
        <w:rPr>
          <w:b/>
          <w:bCs/>
        </w:rPr>
        <w:t xml:space="preserve">Operative Vorbereitung:</w:t>
      </w:r>
      <w:r>
        <w:t xml:space="preserve"> </w:t>
      </w:r>
      <w:hyperlink r:id="rId9">
        <w:r>
          <w:rPr>
            <w:rStyle w:val="Hyperlink"/>
          </w:rPr>
          <w:t xml:space="preserve">Nächste Schritte</w:t>
        </w:r>
      </w:hyperlink>
    </w:p>
    <w:p>
      <w:pPr>
        <w:pStyle w:val="BodyText"/>
      </w:pPr>
      <w:r>
        <w:rPr>
          <w:b/>
          <w:bCs/>
        </w:rPr>
        <w:t xml:space="preserve">Bedienung nach Aktivierung:</w:t>
      </w:r>
      <w:r>
        <w:t xml:space="preserve"> </w:t>
      </w:r>
      <w:hyperlink r:id="rId10">
        <w:r>
          <w:rPr>
            <w:rStyle w:val="Hyperlink"/>
          </w:rPr>
          <w:t xml:space="preserve">Benutzeranleitung</w:t>
        </w:r>
      </w:hyperlink>
    </w:p>
    <w:bookmarkStart w:id="11" w:name="X3782852170420804bf2c8d6e5ac1a7a563a00ce"/>
    <w:p>
      <w:pPr>
        <w:pStyle w:val="Heading2"/>
      </w:pPr>
      <w:r>
        <w:t xml:space="preserve">1. Rahmen und Zeitplan</w:t>
      </w:r>
    </w:p>
    <w:p>
      <w:pPr>
        <w:pStyle w:val="FirstParagraph"/>
      </w:pPr>
      <w:r>
        <w:t xml:space="preserve">Voraussichtlich im November/Dezember 2026 wird zunächst ein Abzug der</w:t>
      </w:r>
      <w:r>
        <w:t xml:space="preserve"> </w:t>
      </w:r>
      <w:r>
        <w:t xml:space="preserve">SVN-Repositories nach Git kopiert. Dieser Stand dient dem Test-Parallelbetrieb;</w:t>
      </w:r>
      <w:r>
        <w:t xml:space="preserve"> </w:t>
      </w:r>
      <w:r>
        <w:t xml:space="preserve">Jenkins und SVN tragen weiterhin den produktiven Prozess. Eine laufende</w:t>
      </w:r>
      <w:r>
        <w:t xml:space="preserve"> </w:t>
      </w:r>
      <w:r>
        <w:t xml:space="preserve">Synchronisation des Testbestands mit SVN ist nicht erforderlich.</w:t>
      </w:r>
    </w:p>
    <w:p>
      <w:pPr>
        <w:pStyle w:val="BodyText"/>
      </w:pPr>
      <w:r>
        <w:t xml:space="preserve">Für den ab Januar 2027 geplanten produktiven harten Cutover wird der dann</w:t>
      </w:r>
      <w:r>
        <w:t xml:space="preserve"> </w:t>
      </w:r>
      <w:r>
        <w:t xml:space="preserve">freigegebene aktuelle SVN-Stand abschließend nach Git übertragen und geprüft.</w:t>
      </w:r>
      <w:r>
        <w:t xml:space="preserve"> </w:t>
      </w:r>
      <w:r>
        <w:t xml:space="preserve">Während der Umschaltung gibt es keinen gleichzeitigen produktiven</w:t>
      </w:r>
      <w:r>
        <w:t xml:space="preserve"> </w:t>
      </w:r>
      <w:r>
        <w:t xml:space="preserve">Lieferbetrieb aus Jenkins/SVN und GitHub.</w:t>
      </w:r>
    </w:p>
    <w:p>
      <w:pPr>
        <w:pStyle w:val="BodyText"/>
      </w:pPr>
      <w:r>
        <w:t xml:space="preserve">Ziel-Repositories sind</w:t>
      </w:r>
      <w:r>
        <w:t xml:space="preserve"> </w:t>
      </w:r>
      <w:r>
        <w:rPr>
          <w:rStyle w:val="VerbatimChar"/>
        </w:rPr>
        <w:t xml:space="preserve">mtext-fi</w:t>
      </w:r>
      <w:r>
        <w:t xml:space="preserve">,</w:t>
      </w:r>
      <w:r>
        <w:t xml:space="preserve"> </w:t>
      </w:r>
      <w:r>
        <w:rPr>
          <w:rStyle w:val="VerbatimChar"/>
        </w:rPr>
        <w:t xml:space="preserve">mtext-autonom</w:t>
      </w:r>
      <w:r>
        <w:t xml:space="preserve">,</w:t>
      </w:r>
      <w:r>
        <w:t xml:space="preserve"> </w:t>
      </w:r>
      <w:r>
        <w:rPr>
          <w:rStyle w:val="VerbatimChar"/>
        </w:rPr>
        <w:t xml:space="preserve">mtext-by</w:t>
      </w:r>
      <w:r>
        <w:t xml:space="preserve">,</w:t>
      </w:r>
      <w:r>
        <w:t xml:space="preserve"> </w:t>
      </w:r>
      <w:r>
        <w:rPr>
          <w:rStyle w:val="VerbatimChar"/>
        </w:rPr>
        <w:t xml:space="preserve">mtext-lh</w:t>
      </w:r>
      <w:r>
        <w:t xml:space="preserve">,</w:t>
      </w:r>
      <w:r>
        <w:t xml:space="preserve"> </w:t>
      </w:r>
      <w:r>
        <w:rPr>
          <w:rStyle w:val="VerbatimChar"/>
        </w:rPr>
        <w:t xml:space="preserve">mtext-nw</w:t>
      </w:r>
      <w:r>
        <w:t xml:space="preserve">,</w:t>
      </w:r>
      <w:r>
        <w:t xml:space="preserve"> </w:t>
      </w:r>
      <w:r>
        <w:rPr>
          <w:rStyle w:val="VerbatimChar"/>
        </w:rPr>
        <w:t xml:space="preserve">mtext-os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mtext-sa</w:t>
      </w:r>
      <w:r>
        <w:t xml:space="preserve">.</w:t>
      </w:r>
    </w:p>
    <w:bookmarkEnd w:id="11"/>
    <w:bookmarkStart w:id="12" w:name="X7c4d9c5af32be77e8d34fd944a6759880c8c566"/>
    <w:p>
      <w:pPr>
        <w:pStyle w:val="Heading2"/>
      </w:pPr>
      <w:r>
        <w:t xml:space="preserve">2. Migration vorbereiten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Tätigkeit</w:t>
            </w:r>
          </w:p>
        </w:tc>
        <w:tc>
          <w:tcPr/>
          <w:p>
            <w:pPr>
              <w:pStyle w:val="Compac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geplant November/Dezember 2026</w:t>
            </w:r>
          </w:p>
        </w:tc>
        <w:tc>
          <w:tcPr/>
          <w:p>
            <w:pPr>
              <w:pStyle w:val="Compact"/>
            </w:pPr>
            <w:r>
              <w:t xml:space="preserve">Ersten SVN-Abzug für den Test-Parallelbetrieb erstellen</w:t>
            </w:r>
          </w:p>
        </w:tc>
        <w:tc>
          <w:tcPr/>
          <w:p>
            <w:pPr>
              <w:pStyle w:val="Compact"/>
            </w:pPr>
            <w:r>
              <w:t xml:space="preserve">GitHub-Testumgebung mit dokumentiertem SVN-Ausgangsstand; Jenkins und SVN bleiben produktiv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Import-Allowlist erstellen</w:t>
            </w:r>
          </w:p>
        </w:tc>
        <w:tc>
          <w:tcPr/>
          <w:p>
            <w:pPr>
              <w:pStyle w:val="Compact"/>
            </w:pPr>
            <w:r>
              <w:t xml:space="preserve">Aktive Linien</w:t>
            </w:r>
            <w:r>
              <w:t xml:space="preserve"> </w:t>
            </w:r>
            <w:r>
              <w:rPr>
                <w:rStyle w:val="VerbatimChar"/>
              </w:rPr>
              <w:t xml:space="preserve">R260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R261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R270</w:t>
            </w:r>
            <w:r>
              <w:t xml:space="preserve"> </w:t>
            </w:r>
            <w:r>
              <w:t xml:space="preserve">und die drei fachlichen Stufen sind je SVN-Repository festgelegt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Projektmatrix inventarisieren und freigeben</w:t>
            </w:r>
          </w:p>
        </w:tc>
        <w:tc>
          <w:tcPr/>
          <w:p>
            <w:pPr>
              <w:pStyle w:val="Compact"/>
            </w:pPr>
            <w:r>
              <w:t xml:space="preserve">Repositoryinhalt, Projekt-Allowlist und historisch festgelegte Lieferdateinamen sind je Mandant und gegebenenfalls je Releaselinie dokumentiert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erforderlich</w:t>
            </w:r>
          </w:p>
        </w:tc>
        <w:tc>
          <w:tcPr/>
          <w:p>
            <w:pPr>
              <w:pStyle w:val="Compact"/>
            </w:pPr>
            <w:r>
              <w:t xml:space="preserve">Release-Basen importieren</w:t>
            </w:r>
          </w:p>
        </w:tc>
        <w:tc>
          <w:tcPr/>
          <w:p>
            <w:pPr>
              <w:pStyle w:val="Compact"/>
            </w:pPr>
            <w:r>
              <w:t xml:space="preserve">Je aktiver Linie werden mindestens der</w:t>
            </w:r>
            <w:r>
              <w:t xml:space="preserve"> </w:t>
            </w:r>
            <w:r>
              <w:rPr>
                <w:rStyle w:val="VerbatimChar"/>
              </w:rPr>
              <w:t xml:space="preserve">.100</w:t>
            </w:r>
            <w:r>
              <w:t xml:space="preserve">-Stand und alle danach entstandenen Tags übernommen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SVN-Pfade auf Git abbilden</w:t>
            </w:r>
          </w:p>
        </w:tc>
        <w:tc>
          <w:tcPr/>
          <w:p>
            <w:pPr>
              <w:pStyle w:val="Compact"/>
            </w:pPr>
            <w:r>
              <w:t xml:space="preserve">Beispielsweise wird</w:t>
            </w:r>
            <w:r>
              <w:t xml:space="preserve"> </w:t>
            </w:r>
            <w:r>
              <w:rPr>
                <w:rStyle w:val="VerbatimChar"/>
              </w:rPr>
              <w:t xml:space="preserve">branches/Entwicklung/R260.100_MText/&lt;Projekt&gt;</w:t>
            </w:r>
            <w:r>
              <w:t xml:space="preserve"> </w:t>
            </w:r>
            <w:r>
              <w:t xml:space="preserve">zu Branch</w:t>
            </w:r>
            <w:r>
              <w:t xml:space="preserve"> </w:t>
            </w:r>
            <w:r>
              <w:rPr>
                <w:rStyle w:val="VerbatimChar"/>
              </w:rPr>
              <w:t xml:space="preserve">R260/Entwicklung</w:t>
            </w:r>
            <w:r>
              <w:t xml:space="preserve"> </w:t>
            </w:r>
            <w:r>
              <w:t xml:space="preserve">mit Pfad</w:t>
            </w:r>
            <w:r>
              <w:t xml:space="preserve"> </w:t>
            </w:r>
            <w:r>
              <w:rPr>
                <w:rStyle w:val="VerbatimChar"/>
              </w:rPr>
              <w:t xml:space="preserve">&lt;Projekt&gt;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Tagnamen normalisieren</w:t>
            </w:r>
          </w:p>
        </w:tc>
        <w:tc>
          <w:tcPr/>
          <w:p>
            <w:pPr>
              <w:pStyle w:val="Compact"/>
            </w:pPr>
            <w:r>
              <w:t xml:space="preserve">Beispielsweise wird</w:t>
            </w:r>
            <w:r>
              <w:t xml:space="preserve"> </w:t>
            </w:r>
            <w:r>
              <w:rPr>
                <w:rStyle w:val="VerbatimChar"/>
              </w:rPr>
              <w:t xml:space="preserve">R260.101_MText</w:t>
            </w:r>
            <w:r>
              <w:t xml:space="preserve"> </w:t>
            </w:r>
            <w:r>
              <w:t xml:space="preserve">zu</w:t>
            </w:r>
            <w:r>
              <w:t xml:space="preserve"> </w:t>
            </w:r>
            <w:r>
              <w:rPr>
                <w:rStyle w:val="VerbatimChar"/>
              </w:rPr>
              <w:t xml:space="preserve">R260.101</w:t>
            </w:r>
            <w:r>
              <w:t xml:space="preserve">; die Entfernung von</w:t>
            </w:r>
            <w:r>
              <w:t xml:space="preserve"> </w:t>
            </w:r>
            <w:r>
              <w:rPr>
                <w:rStyle w:val="VerbatimChar"/>
              </w:rPr>
              <w:t xml:space="preserve">_MText</w:t>
            </w:r>
            <w:r>
              <w:t xml:space="preserve"> </w:t>
            </w:r>
            <w:r>
              <w:t xml:space="preserve">wird protokolliert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Nicht freigegebene SVN-Artefakte ausschließen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Verbunden mit Bereitstellung*.txt</w:t>
            </w:r>
            <w:r>
              <w:t xml:space="preserve">, Backup-/Fusion-Sonderstände und andere nicht freigegebene Marker werden nicht übernommen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Repositoryinhalt und Projekt-Allowlist unterscheiden</w:t>
            </w:r>
          </w:p>
        </w:tc>
        <w:tc>
          <w:tcPr/>
          <w:p>
            <w:pPr>
              <w:pStyle w:val="Compact"/>
            </w:pPr>
            <w:r>
              <w:t xml:space="preserve">Testdatenprojekte wie</w:t>
            </w:r>
            <w:r>
              <w:t xml:space="preserve"> </w:t>
            </w:r>
            <w:r>
              <w:rPr>
                <w:rStyle w:val="VerbatimChar"/>
              </w:rPr>
              <w:t xml:space="preserve">LOMS_Testdaten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LOMS_Testdaten_Autonom</w:t>
            </w:r>
            <w:r>
              <w:t xml:space="preserve"> </w:t>
            </w:r>
            <w:r>
              <w:t xml:space="preserve">können im Repository liegen, bleiben aber außerhalb der Auslieferung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 Aufgabe</w:t>
            </w:r>
          </w:p>
        </w:tc>
        <w:tc>
          <w:tcPr/>
          <w:p>
            <w:pPr>
              <w:pStyle w:val="Compact"/>
            </w:pPr>
            <w:r>
              <w:t xml:space="preserve">SVN-Autoren zuordnen</w:t>
            </w:r>
          </w:p>
        </w:tc>
        <w:tc>
          <w:tcPr/>
          <w:p>
            <w:pPr>
              <w:pStyle w:val="Compact"/>
            </w:pPr>
            <w:r>
              <w:t xml:space="preserve">Bestehende SVN-Namen sind in der Autoren-Mappingdatei auf Git-Identitäten abgebildet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</w:t>
            </w:r>
          </w:p>
        </w:tc>
        <w:tc>
          <w:tcPr/>
          <w:p>
            <w:pPr>
              <w:pStyle w:val="Compact"/>
            </w:pPr>
            <w:r>
              <w:t xml:space="preserve">SVN-Eigenschaften inventarisieren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svn:externals</w:t>
            </w:r>
            <w:r>
              <w:t xml:space="preserve">, EOL, Keywords, executable, leere Verzeichnisse, Mergeinfo und große Dateien sind behandelt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Weitere Historie und ältere Tags importieren</w:t>
            </w:r>
          </w:p>
        </w:tc>
        <w:tc>
          <w:tcPr/>
          <w:p>
            <w:pPr>
              <w:pStyle w:val="Compact"/>
            </w:pPr>
            <w:r>
              <w:t xml:space="preserve">So viel Elementhistorie wie praktikabel bleibt erhalten, ohne den Cutover zu blockieren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geplant ab Januar 2027</w:t>
            </w:r>
          </w:p>
        </w:tc>
        <w:tc>
          <w:tcPr/>
          <w:p>
            <w:pPr>
              <w:pStyle w:val="Compact"/>
            </w:pPr>
            <w:r>
              <w:t xml:space="preserve">Finalen SVN-Stand übertragen</w:t>
            </w:r>
          </w:p>
        </w:tc>
        <w:tc>
          <w:tcPr/>
          <w:p>
            <w:pPr>
              <w:pStyle w:val="Compact"/>
            </w:pPr>
            <w:r>
              <w:t xml:space="preserve">Seit dem ersten Abzug entstandene produktive Änderungen sind übernommen und der freigegebene Endstand ist verifiziert</w:t>
            </w:r>
          </w:p>
        </w:tc>
      </w:tr>
    </w:tbl>
    <w:p>
      <w:pPr>
        <w:pStyle w:val="BodyText"/>
      </w:pPr>
      <w:r>
        <w:t xml:space="preserve">Der erste Abzug eröffnet nur den Test-Parallelbetrieb. Finaler Import,</w:t>
      </w:r>
      <w:r>
        <w:t xml:space="preserve"> </w:t>
      </w:r>
      <w:r>
        <w:t xml:space="preserve">SVN-Freeze und Deaktivierung von Jenkins werden erst durch den separat</w:t>
      </w:r>
      <w:r>
        <w:t xml:space="preserve"> </w:t>
      </w:r>
      <w:r>
        <w:t xml:space="preserve">freigegebenen produktiven Cutover ausgelöst.</w:t>
      </w:r>
    </w:p>
    <w:bookmarkEnd w:id="12"/>
    <w:bookmarkStart w:id="13" w:name="Xd1da6c34f00889210a3038602951599b3801ff1"/>
    <w:p>
      <w:pPr>
        <w:pStyle w:val="Heading2"/>
      </w:pPr>
      <w:r>
        <w:t xml:space="preserve">3. Produktiven Cutover durchführen</w:t>
      </w:r>
    </w:p>
    <w:p>
      <w:pPr>
        <w:pStyle w:val="Compact"/>
        <w:numPr>
          <w:ilvl w:val="0"/>
          <w:numId w:val="1001"/>
        </w:numPr>
      </w:pPr>
      <w:r>
        <w:t xml:space="preserve">Änderungsfreeze für den bisherigen Jenkins-/SVN-Prozess aktivieren.</w:t>
      </w:r>
    </w:p>
    <w:p>
      <w:pPr>
        <w:pStyle w:val="Compact"/>
        <w:numPr>
          <w:ilvl w:val="0"/>
          <w:numId w:val="1001"/>
        </w:numPr>
      </w:pPr>
      <w:r>
        <w:t xml:space="preserve">Den letzten freigegebenen SVN-Stand und alle weiterhin benötigten Tags je</w:t>
      </w:r>
      <w:r>
        <w:t xml:space="preserve"> </w:t>
      </w:r>
      <w:r>
        <w:t xml:space="preserve">Mandant nach Git übertragen.</w:t>
      </w:r>
    </w:p>
    <w:p>
      <w:pPr>
        <w:pStyle w:val="Compact"/>
        <w:numPr>
          <w:ilvl w:val="0"/>
          <w:numId w:val="1001"/>
        </w:numPr>
      </w:pPr>
      <w:r>
        <w:t xml:space="preserve">Inhalte, Pfadabbildungen, Tags und den letzten migrierten Commit je Mandant</w:t>
      </w:r>
      <w:r>
        <w:t xml:space="preserve"> </w:t>
      </w:r>
      <w:r>
        <w:t xml:space="preserve">dokumentieren und automatisiert verifizieren.</w:t>
      </w:r>
    </w:p>
    <w:p>
      <w:pPr>
        <w:pStyle w:val="Compact"/>
        <w:numPr>
          <w:ilvl w:val="0"/>
          <w:numId w:val="1001"/>
        </w:numPr>
      </w:pPr>
      <w:r>
        <w:t xml:space="preserve">Jenkins-Trigger und Jenkins-Job für diesen Prozess deaktivieren.</w:t>
      </w:r>
    </w:p>
    <w:p>
      <w:pPr>
        <w:pStyle w:val="Compact"/>
        <w:numPr>
          <w:ilvl w:val="0"/>
          <w:numId w:val="1001"/>
        </w:numPr>
      </w:pPr>
      <w:r>
        <w:t xml:space="preserve">SVN für diesen Prozess schreibschützen oder gemäß Betriebskonzept</w:t>
      </w:r>
      <w:r>
        <w:t xml:space="preserve"> </w:t>
      </w:r>
      <w:r>
        <w:t xml:space="preserve">stilllegen.</w:t>
      </w:r>
    </w:p>
    <w:p>
      <w:pPr>
        <w:pStyle w:val="Compact"/>
        <w:numPr>
          <w:ilvl w:val="0"/>
          <w:numId w:val="1001"/>
        </w:numPr>
      </w:pPr>
      <w:r>
        <w:t xml:space="preserve">Git als einzige führende Quelle für diesen Prozess festlegen.</w:t>
      </w:r>
    </w:p>
    <w:p>
      <w:pPr>
        <w:pStyle w:val="Compact"/>
        <w:numPr>
          <w:ilvl w:val="0"/>
          <w:numId w:val="1001"/>
        </w:numPr>
      </w:pPr>
      <w:r>
        <w:t xml:space="preserve">Die für den Regelbetrieb vorgesehenen GitHub Environments, Secrets und</w:t>
      </w:r>
      <w:r>
        <w:t xml:space="preserve"> </w:t>
      </w:r>
      <w:r>
        <w:t xml:space="preserve">Workflows freigeben.</w:t>
      </w:r>
    </w:p>
    <w:p>
      <w:pPr>
        <w:pStyle w:val="Compact"/>
        <w:numPr>
          <w:ilvl w:val="0"/>
          <w:numId w:val="1001"/>
        </w:numPr>
      </w:pPr>
      <w:r>
        <w:t xml:space="preserve">Je einen definierten Smoke-Test für Entwicklung und Abnahme sowie je einen</w:t>
      </w:r>
      <w:r>
        <w:t xml:space="preserve"> </w:t>
      </w:r>
      <w:r>
        <w:t xml:space="preserve">FULL- und DELTA-Release durchführen und dokumentieren.</w:t>
      </w:r>
    </w:p>
    <w:bookmarkEnd w:id="13"/>
    <w:bookmarkStart w:id="14" w:name="X80aa0d30065355cffd8e98d182eaf504433531b"/>
    <w:p>
      <w:pPr>
        <w:pStyle w:val="Heading2"/>
      </w:pPr>
      <w:r>
        <w:t xml:space="preserve">4. Cutover abnehmen</w:t>
      </w:r>
    </w:p>
    <w:p>
      <w:pPr>
        <w:pStyle w:val="FirstParagraph"/>
      </w:pPr>
      <w:r>
        <w:t xml:space="preserve">Der Cutover ist erst abgeschlossen, wenn mindestens folgende Kriterien erfüllt</w:t>
      </w:r>
      <w:r>
        <w:t xml:space="preserve"> </w:t>
      </w:r>
      <w:r>
        <w:t xml:space="preserve">sind:</w:t>
      </w:r>
    </w:p>
    <w:p>
      <w:pPr>
        <w:pStyle w:val="Compact"/>
        <w:numPr>
          <w:ilvl w:val="0"/>
          <w:numId w:val="1002"/>
        </w:numPr>
      </w:pPr>
      <w:r>
        <w:t xml:space="preserve">Kein GitHub-Workflow benötigt Jenkins oder SVN und Jenkins löst für diesen</w:t>
      </w:r>
      <w:r>
        <w:t xml:space="preserve"> </w:t>
      </w:r>
      <w:r>
        <w:t xml:space="preserve">Prozess keine Jobs mehr aus.</w:t>
      </w:r>
    </w:p>
    <w:p>
      <w:pPr>
        <w:pStyle w:val="Compact"/>
        <w:numPr>
          <w:ilvl w:val="0"/>
          <w:numId w:val="1002"/>
        </w:numPr>
      </w:pPr>
      <w:r>
        <w:t xml:space="preserve">Für jeden Mandanten sind der letzte migrierte SVN-Stand, sein Git-Commit und</w:t>
      </w:r>
      <w:r>
        <w:t xml:space="preserve"> </w:t>
      </w:r>
      <w:r>
        <w:t xml:space="preserve">alle weiterhin benötigten Release-Tags dokumentiert und geprüft.</w:t>
      </w:r>
    </w:p>
    <w:p>
      <w:pPr>
        <w:pStyle w:val="Compact"/>
        <w:numPr>
          <w:ilvl w:val="0"/>
          <w:numId w:val="1002"/>
        </w:numPr>
      </w:pPr>
      <w:r>
        <w:t xml:space="preserve">Sicherungs- und Sonderstände wurden nur nach ausdrücklicher Freigabe</w:t>
      </w:r>
      <w:r>
        <w:t xml:space="preserve"> </w:t>
      </w:r>
      <w:r>
        <w:t xml:space="preserve">übernommen.</w:t>
      </w:r>
    </w:p>
    <w:p>
      <w:pPr>
        <w:pStyle w:val="Compact"/>
        <w:numPr>
          <w:ilvl w:val="0"/>
          <w:numId w:val="1002"/>
        </w:numPr>
      </w:pPr>
      <w:r>
        <w:t xml:space="preserve">Alle Mandanten-Repositories verwenden dieselbe freigegebene Version der</w:t>
      </w:r>
      <w:r>
        <w:t xml:space="preserve"> </w:t>
      </w:r>
      <w:r>
        <w:t xml:space="preserve">zentralen Automation.</w:t>
      </w:r>
    </w:p>
    <w:p>
      <w:pPr>
        <w:pStyle w:val="Compact"/>
        <w:numPr>
          <w:ilvl w:val="0"/>
          <w:numId w:val="1002"/>
        </w:numPr>
      </w:pPr>
      <w:r>
        <w:t xml:space="preserve">Pushes nach Entwicklung und Abnahme lösen genau die vorgesehene</w:t>
      </w:r>
      <w:r>
        <w:t xml:space="preserve"> </w:t>
      </w:r>
      <w:r>
        <w:t xml:space="preserve">M/Text-Verteilung aus; ein Push nach Bereitstellung erzeugt ohne Tag keine</w:t>
      </w:r>
      <w:r>
        <w:t xml:space="preserve"> </w:t>
      </w:r>
      <w:r>
        <w:t xml:space="preserve">Lieferung.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.100</w:t>
      </w:r>
      <w:r>
        <w:t xml:space="preserve"> </w:t>
      </w:r>
      <w:r>
        <w:t xml:space="preserve">erzeugt FULL, andere gültige Release-Tags derselben Linie erzeugen</w:t>
      </w:r>
      <w:r>
        <w:t xml:space="preserve"> </w:t>
      </w:r>
      <w:r>
        <w:t xml:space="preserve">ein kumulatives DELTA gegen</w:t>
      </w:r>
      <w:r>
        <w:t xml:space="preserve"> </w:t>
      </w:r>
      <w:r>
        <w:rPr>
          <w:rStyle w:val="VerbatimChar"/>
        </w:rPr>
        <w:t xml:space="preserve">.100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Ressourcenbereitstellung, Adapterantwort, Artefaktprüfung, JCL und die</w:t>
      </w:r>
      <w:r>
        <w:t xml:space="preserve"> </w:t>
      </w:r>
      <w:r>
        <w:t xml:space="preserve">unmittelbare Mainframe-Übergabe wurden auf dem vorgesehenen Betriebsweg</w:t>
      </w:r>
      <w:r>
        <w:t xml:space="preserve"> </w:t>
      </w:r>
      <w:r>
        <w:t xml:space="preserve">erfolgreich geprüft.</w:t>
      </w:r>
    </w:p>
    <w:p>
      <w:pPr>
        <w:pStyle w:val="Compact"/>
        <w:numPr>
          <w:ilvl w:val="0"/>
          <w:numId w:val="1002"/>
        </w:numPr>
      </w:pPr>
      <w:r>
        <w:t xml:space="preserve">Gleichzeitige Schreibvorgänge auf dasselbe Ziel werden verhindert; Läufe für</w:t>
      </w:r>
      <w:r>
        <w:t xml:space="preserve"> </w:t>
      </w:r>
      <w:r>
        <w:t xml:space="preserve">unterschiedliche Mandanten dürfen wie vorgesehen parallel arbeiten.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Benutzeranleitung.md" TargetMode="External" /><Relationship Type="http://schemas.openxmlformats.org/officeDocument/2006/relationships/hyperlink" Id="rId9" Target="./Naechste_Schrit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Benutzeranleitung.md" TargetMode="External" /><Relationship Type="http://schemas.openxmlformats.org/officeDocument/2006/relationships/hyperlink" Id="rId9" Target="./Naechste_Schrit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2026-07-16T21:05:50Z</dcterms:created>
  <dcterms:modified xsi:type="dcterms:W3CDTF">2026-07-16T21:05:50Z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