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ächste-schritte"/>
    <w:p>
      <w:pPr>
        <w:pStyle w:val="Heading1"/>
      </w:pPr>
      <w:r>
        <w:t xml:space="preserve">Nächste Schritte</w:t>
      </w:r>
    </w:p>
    <w:p>
      <w:pPr>
        <w:pStyle w:val="FirstParagraph"/>
      </w:pPr>
      <w:r>
        <w:rPr>
          <w:b/>
          <w:bCs/>
        </w:rPr>
        <w:t xml:space="preserve">Zweck:</w:t>
      </w:r>
      <w:r>
        <w:t xml:space="preserve"> </w:t>
      </w:r>
      <w:r>
        <w:t xml:space="preserve">Operative Restarbeiten bis zum Test-Parallelbetrieb</w:t>
      </w:r>
    </w:p>
    <w:p>
      <w:pPr>
        <w:pStyle w:val="BodyText"/>
      </w:pP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</w:p>
    <w:p>
      <w:pPr>
        <w:pStyle w:val="BodyText"/>
      </w:pPr>
      <w:r>
        <w:rPr>
          <w:b/>
          <w:bCs/>
        </w:rPr>
        <w:t xml:space="preserve">Bedienung nach Aktivierung: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</w:p>
    <w:p>
      <w:pPr>
        <w:pStyle w:val="BodyText"/>
      </w:pPr>
      <w:r>
        <w:rPr>
          <w:b/>
          <w:bCs/>
        </w:rPr>
        <w:t xml:space="preserve">Migration und Produktivsetzung:</w:t>
      </w:r>
      <w:r>
        <w:t xml:space="preserve"> </w:t>
      </w:r>
      <w:hyperlink r:id="rId11">
        <w:r>
          <w:rPr>
            <w:rStyle w:val="Hyperlink"/>
          </w:rPr>
          <w:t xml:space="preserve">Migrations- und Cutover-Runbook</w:t>
        </w:r>
      </w:hyperlink>
    </w:p>
    <w:p>
      <w:pPr>
        <w:pStyle w:val="BodyText"/>
      </w:pPr>
      <w:r>
        <w:rPr>
          <w:b/>
          <w:bCs/>
        </w:rPr>
        <w:t xml:space="preserve">Ablauf:</w:t>
      </w:r>
      <w:r>
        <w:t xml:space="preserve"> </w:t>
      </w:r>
      <w:hyperlink r:id="rId12">
        <w:r>
          <w:rPr>
            <w:rStyle w:val="Hyperlink"/>
          </w:rPr>
          <w:t xml:space="preserve">Soll-Architektur Ablaufdiagramm</w:t>
        </w:r>
      </w:hyperlink>
    </w:p>
    <w:p>
      <w:pPr>
        <w:pStyle w:val="BodyText"/>
      </w:pPr>
      <w:r>
        <w:t xml:space="preserve">Diese Seite ist die Arbeitsliste für die erstmalige Einrichtung und die</w:t>
      </w:r>
      <w:r>
        <w:t xml:space="preserve"> </w:t>
      </w:r>
      <w:r>
        <w:t xml:space="preserve">nichtproduktive Abnahme. Bestätigte Punkte bleiben zur Orientierung sichtbar;</w:t>
      </w:r>
      <w:r>
        <w:t xml:space="preserve"> </w:t>
      </w:r>
      <w:r>
        <w:t xml:space="preserve">Architekturbegründungen, Bedienabläufe und das spätere Cutover stehen in den</w:t>
      </w:r>
      <w:r>
        <w:t xml:space="preserve"> </w:t>
      </w:r>
      <w:r>
        <w:t xml:space="preserve">verlinkten Dokumenten.</w:t>
      </w:r>
    </w:p>
    <w:bookmarkStart w:id="13" w:name="Xe841ca936ca7787393970824eda405379939c81"/>
    <w:p>
      <w:pPr>
        <w:pStyle w:val="Heading2"/>
      </w:pPr>
      <w:r>
        <w:t xml:space="preserve">1. GitHub-Grundaufbau herstellen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Zentrales Repository</w:t>
            </w:r>
            <w:r>
              <w:t xml:space="preserve"> </w:t>
            </w:r>
            <w:r>
              <w:rPr>
                <w:rStyle w:val="VerbatimChar"/>
              </w:rPr>
              <w:t xml:space="preserve">j520730/mtext-actions</w:t>
            </w:r>
            <w:r>
              <w:t xml:space="preserve"> </w:t>
            </w:r>
            <w:r>
              <w:t xml:space="preserve">und privates FI-Repository</w:t>
            </w:r>
            <w:r>
              <w:t xml:space="preserve"> </w:t>
            </w:r>
            <w:r>
              <w:rPr>
                <w:rStyle w:val="VerbatimChar"/>
              </w:rPr>
              <w:t xml:space="preserve">j517120/mtext-fi</w:t>
            </w:r>
            <w:r>
              <w:t xml:space="preserve"> </w:t>
            </w:r>
            <w:r>
              <w:t xml:space="preserve">auf GitHub Enterprise anlegen beziehungsweise die lokalen Stände übernehmen</w:t>
            </w:r>
          </w:p>
        </w:tc>
        <w:tc>
          <w:tcPr/>
          <w:p>
            <w:pPr>
              <w:pStyle w:val="Compact"/>
            </w:pPr>
            <w:r>
              <w:t xml:space="preserve">Das zentrale Repository ist nur für das Automatisierungsteam direkt zugänglich; das FI-Repository enthält Ressourcen, Mandantenkonfiguration und dünne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Aktive Stufenbranches und Default Branch einrichten</w:t>
            </w:r>
          </w:p>
        </w:tc>
        <w:tc>
          <w:tcPr/>
          <w:p>
            <w:pPr>
              <w:pStyle w:val="Compact"/>
            </w:pPr>
            <w:r>
              <w:t xml:space="preserve">Für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 </w:t>
            </w:r>
            <w:r>
              <w:t xml:space="preserve">bestehen jeweils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  <w:r>
              <w:t xml:space="preserve">; zunächst ist</w:t>
            </w:r>
            <w:r>
              <w:t xml:space="preserve"> </w:t>
            </w:r>
            <w:r>
              <w:rPr>
                <w:rStyle w:val="VerbatimChar"/>
              </w:rPr>
              <w:t xml:space="preserve">R261/Entwicklung</w:t>
            </w:r>
            <w:r>
              <w:t xml:space="preserve"> </w:t>
            </w:r>
            <w:r>
              <w:t xml:space="preserve">der Default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 Workflowversion pinnen und repositoryübergreifenden Actions-Zugriff freigeben</w:t>
            </w:r>
          </w:p>
        </w:tc>
        <w:tc>
          <w:tcPr/>
          <w:p>
            <w:pPr>
              <w:pStyle w:val="Compact"/>
            </w:pPr>
            <w:r>
              <w:t xml:space="preserve">Alle aufrufenden Workflows verwenden denselben freigegebenen Commit-SHA; nur vorgesehene Mandanten-Repositories dürfen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  <w:r>
              <w:t xml:space="preserve"> </w:t>
            </w:r>
            <w:r>
              <w:t xml:space="preserve">aufrufen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Zentralen Checkout und mandantensichtbare Logs praktisch prüfen</w:t>
            </w:r>
          </w:p>
        </w:tc>
        <w:tc>
          <w:tcPr/>
          <w:p>
            <w:pPr>
              <w:pStyle w:val="Compact"/>
            </w:pPr>
            <w:r>
              <w:t xml:space="preserve">Ein nichtproduktiver Lauf funktioniert über beide Namespaces und zeigt weder Secrets noch unnötige interne Details; ein gegebenenfalls erforderlicher Installation-Token wird vor Aktivierung sicher in den Workflowvertrag aufgenommen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Git-Clients für Ressourcenarbeit und Stufenweitergabe abnehmen</w:t>
            </w:r>
          </w:p>
        </w:tc>
        <w:tc>
          <w:tcPr/>
          <w:p>
            <w:pPr>
              <w:pStyle w:val="Compact"/>
            </w:pPr>
            <w:r>
              <w:t xml:space="preserve">M/Text Workbench unterstützt Authentifizierung, Branchwechsel, Commit und Push; ein zusätzlicher Git-Client unterstützt den dokumentierten Cherry-Pick-Ablauf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GitHub-Plattform festhalten</w:t>
            </w:r>
          </w:p>
        </w:tc>
        <w:tc>
          <w:tcPr/>
          <w:p>
            <w:pPr>
              <w:pStyle w:val="Compact"/>
            </w:pPr>
            <w:r>
              <w:t xml:space="preserve">GitHub Enterprise Server 3.20.4</w:t>
            </w:r>
          </w:p>
        </w:tc>
      </w:tr>
    </w:tbl>
    <w:bookmarkEnd w:id="13"/>
    <w:bookmarkStart w:id="14" w:name="Xbec2f23f1b452ac96fea05d068d55733a1696e9"/>
    <w:p>
      <w:pPr>
        <w:pStyle w:val="Heading2"/>
      </w:pPr>
      <w:r>
        <w:t xml:space="preserve">2. Schutz- und Freigaberegeln konfigurieren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Mandantenspezifische Verantwortliche benennen</w:t>
            </w:r>
          </w:p>
        </w:tc>
        <w:tc>
          <w:tcPr/>
          <w:p>
            <w:pPr>
              <w:pStyle w:val="Compact"/>
            </w:pPr>
            <w:r>
              <w:t xml:space="preserve">Team für Ressourcenarbeit, technischer Konfigurationskreis und kleines Release-Team sind festgelegt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Branchschutz für die drei Stufen einrichten</w:t>
            </w:r>
          </w:p>
        </w:tc>
        <w:tc>
          <w:tcPr/>
          <w:p>
            <w:pPr>
              <w:pStyle w:val="Compact"/>
            </w:pPr>
            <w:r>
              <w:t xml:space="preserve">Berechtigte Text-Entwickler dürfen nach Entwicklung und Abnahme pushen; Bereitstellung ist auf das Release-Team begrenzt; Löschen und Force-Pushes sind gesperrt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 Aufrufdateien und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  <w:r>
              <w:t xml:space="preserve"> </w:t>
            </w:r>
            <w:r>
              <w:t xml:space="preserve">schützen</w:t>
            </w:r>
          </w:p>
        </w:tc>
        <w:tc>
          <w:tcPr/>
          <w:p>
            <w:pPr>
              <w:pStyle w:val="Compact"/>
            </w:pPr>
            <w:r>
              <w:t xml:space="preserve">Normale Ressourcen-Pushes können weder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.github/workflows/**/*</w:t>
            </w:r>
            <w:r>
              <w:t xml:space="preserve"> </w:t>
            </w:r>
            <w:r>
              <w:t xml:space="preserve">noch die Mandantenkonfiguration verändern; notwendige Bypässe sind eng begrenzt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GitHub Environments konfigurieren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  <w:r>
              <w:t xml:space="preserve"> </w:t>
            </w:r>
            <w:r>
              <w:t xml:space="preserve">sind angelegt; nur die Mainframe-Übergabe in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  <w:r>
              <w:t xml:space="preserve"> </w:t>
            </w:r>
            <w:r>
              <w:t xml:space="preserve">erfordert eine manuelle Freigabe; zulässige Branchmuster sind eingetragen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Release-Tags schützen</w:t>
            </w:r>
          </w:p>
        </w:tc>
        <w:tc>
          <w:tcPr/>
          <w:p>
            <w:pPr>
              <w:pStyle w:val="Compact"/>
            </w:pPr>
            <w:r>
              <w:t xml:space="preserve">Nur das Release-Team darf Tags nach dem Muster</w:t>
            </w:r>
            <w:r>
              <w:t xml:space="preserve"> </w:t>
            </w:r>
            <w:r>
              <w:rPr>
                <w:rStyle w:val="VerbatimChar"/>
              </w:rPr>
              <w:t xml:space="preserve">R[0-9][0-9][0-9].[0-9][0-9][0-9]</w:t>
            </w:r>
            <w:r>
              <w:t xml:space="preserve"> </w:t>
            </w:r>
            <w:r>
              <w:t xml:space="preserve">erstellen; Ändern und Löschen sind gesperrt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Cherry-Pick und Release-Tag praktisch abnehmen</w:t>
            </w:r>
          </w:p>
        </w:tc>
        <w:tc>
          <w:tcPr/>
          <w:p>
            <w:pPr>
              <w:pStyle w:val="Compact"/>
            </w:pPr>
            <w:r>
              <w:t xml:space="preserve">Auswahl nach SHA, Konfliktbehandlung und Push in die Zielstufe sind dokumentiert; ein nichtproduktiver Tag startet genau einen Release-Workflow</w:t>
            </w:r>
          </w:p>
        </w:tc>
      </w:tr>
    </w:tbl>
    <w:bookmarkEnd w:id="14"/>
    <w:bookmarkStart w:id="15" w:name="X94a2faf9f438e990accc3d1034a66fef86d82b5"/>
    <w:p>
      <w:pPr>
        <w:pStyle w:val="Heading2"/>
      </w:pPr>
      <w:r>
        <w:t xml:space="preserve">3. Runner und technische Abhängigkeiten bereitstellen</w:t>
      </w:r>
    </w:p>
    <w:p>
      <w:pPr>
        <w:pStyle w:val="FirstParagraph"/>
      </w:pPr>
      <w:r>
        <w:t xml:space="preserve">Ein GitHub-Actions-Artefakt ist ein von einem Workflow erzeugtes und in GitHub</w:t>
      </w:r>
      <w:r>
        <w:t xml:space="preserve"> </w:t>
      </w:r>
      <w:r>
        <w:t xml:space="preserve">befristet gespeichertes Dateipaket. In diesem Prozess übergibt der Build-Job</w:t>
      </w:r>
      <w:r>
        <w:t xml:space="preserve"> </w:t>
      </w:r>
      <w:r>
        <w:t xml:space="preserve">damit Releasepakete, Informationsdateien und Manifest an den Publish-Job; es</w:t>
      </w:r>
      <w:r>
        <w:t xml:space="preserve"> </w:t>
      </w:r>
      <w:r>
        <w:t xml:space="preserve">ist weder ein Git-Commit noch eine dauerhafte Ablage.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Self-hosted Runner und Laufzeit bereitstellen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  <w:r>
              <w:t xml:space="preserve"> </w:t>
            </w:r>
            <w:r>
              <w:rPr>
                <w:rStyle w:val="VerbatimChar"/>
              </w:rPr>
              <w:t xml:space="preserve">self-hosted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mtext-delivery</w:t>
            </w:r>
            <w:r>
              <w:t xml:space="preserve">, Python 3.14, Git und die Ausführung von Node-20-Actions sind bestätigt;</w:t>
            </w:r>
            <w:r>
              <w:t xml:space="preserve"> </w:t>
            </w:r>
            <w:r>
              <w:rPr>
                <w:rStyle w:val="VerbatimChar"/>
              </w:rPr>
              <w:t xml:space="preserve">scripts/runner-preflight.sh</w:t>
            </w:r>
            <w:r>
              <w:t xml:space="preserve"> </w:t>
            </w:r>
            <w:r>
              <w:t xml:space="preserve">ist erfolgreich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GHES-Artefakt-Actions prüfen</w:t>
            </w:r>
          </w:p>
        </w:tc>
        <w:tc>
          <w:tcPr/>
          <w:p>
            <w:pPr>
              <w:pStyle w:val="Compact"/>
            </w:pPr>
            <w:r>
              <w:t xml:space="preserve">Die in den Workflows gepinnten Node-20-Varianten von</w:t>
            </w:r>
            <w:r>
              <w:t xml:space="preserve"> </w:t>
            </w:r>
            <w:r>
              <w:rPr>
                <w:rStyle w:val="VerbatimChar"/>
              </w:rPr>
              <w:t xml:space="preserve">upload-artifact</w:t>
            </w:r>
            <w:r>
              <w:t xml:space="preserve"> </w:t>
            </w:r>
            <w:r>
              <w:t xml:space="preserve">v3.2.2 und</w:t>
            </w:r>
            <w:r>
              <w:t xml:space="preserve"> </w:t>
            </w:r>
            <w:r>
              <w:rPr>
                <w:rStyle w:val="VerbatimChar"/>
              </w:rPr>
              <w:t xml:space="preserve">download-artifact</w:t>
            </w:r>
            <w:r>
              <w:t xml:space="preserve"> </w:t>
            </w:r>
            <w:r>
              <w:t xml:space="preserve">v3.1.0 sind auf GHES 3.20.4 verfügbar; v4 wird nicht verwendet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Internes Wheelhouse bereitstellen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LBS_WHEELHOUSE</w:t>
            </w:r>
            <w:r>
              <w:t xml:space="preserve"> </w:t>
            </w:r>
            <w:r>
              <w:t xml:space="preserve">verweist als Repository- oder Organisationsvariable auf einen freigegebenen lokalen Pfad; die Installation bleibt</w:t>
            </w:r>
            <w:r>
              <w:t xml:space="preserve"> </w:t>
            </w:r>
            <w:r>
              <w:rPr>
                <w:rStyle w:val="VerbatimChar"/>
              </w:rPr>
              <w:t xml:space="preserve">--no-index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Zertifikate und Netzwerkpfade prüfen</w:t>
            </w:r>
          </w:p>
        </w:tc>
        <w:tc>
          <w:tcPr/>
          <w:p>
            <w:pPr>
              <w:pStyle w:val="Compact"/>
            </w:pPr>
            <w:r>
              <w:t xml:space="preserve">Die interne CA ist im Truststore; der Runner erreicht die gewählten M/Text-Ziele sowie Mainframe-FTP und JES, ohne die TLS-Prüfung zu deaktivieren</w:t>
            </w:r>
          </w:p>
        </w:tc>
      </w:tr>
    </w:tbl>
    <w:bookmarkEnd w:id="15"/>
    <w:bookmarkStart w:id="17" w:name="Xe90a86661c5d11db52e82e26db02b46b965f858"/>
    <w:p>
      <w:pPr>
        <w:pStyle w:val="Heading2"/>
      </w:pPr>
      <w:r>
        <w:t xml:space="preserve">4. M/Text-Transport entscheiden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Linien- und URL-Mapping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R260→en03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R261→en01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R270→en02</w:t>
            </w:r>
            <w:r>
              <w:t xml:space="preserve">; Hosts jeweils</w:t>
            </w:r>
            <w:r>
              <w:t xml:space="preserve"> </w:t>
            </w:r>
            <w:r>
              <w:rPr>
                <w:rStyle w:val="VerbatimChar"/>
              </w:rPr>
              <w:t xml:space="preserve">enXXe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enXXa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Heutigen Adaptervertrag als Ausgangslage festhalten</w:t>
            </w:r>
          </w:p>
        </w:tc>
        <w:tc>
          <w:tcPr/>
          <w:p>
            <w:pPr>
              <w:pStyle w:val="Compact"/>
            </w:pPr>
            <w:r>
              <w:t xml:space="preserve">Der bestehende Ablauf schreibt zuerst nach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und sendet danach einen POST mit</w:t>
            </w:r>
            <w:r>
              <w:t xml:space="preserve"> </w:t>
            </w:r>
            <w:r>
              <w:rPr>
                <w:rStyle w:val="VerbatimChar"/>
              </w:rPr>
              <w:t xml:space="preserve">MAN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; dies legt den künftigen Transport noch nicht 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Transportweg nach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entscheiden und Zielvertrag festschreiben</w:t>
            </w:r>
          </w:p>
        </w:tc>
        <w:tc>
          <w:tcPr/>
          <w:p>
            <w:pPr>
              <w:pStyle w:val="Compact"/>
            </w:pPr>
            <w:r>
              <w:t xml:space="preserve">Genau eine der im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Zielbild</w:t>
              </w:r>
            </w:hyperlink>
            <w:r>
              <w:t xml:space="preserve"> </w:t>
            </w:r>
            <w:r>
              <w:t xml:space="preserve">beschriebenen Varianten wird ausgewählt: PUT an den Adapter, Sharezugriff des Runners oder Download eines Actions-Artefakts durch Adapter beziehungsweise M/Text; Verantwortlichkeiten, Authentifizierung, Prüfung und Wiederanlauf sind geklärt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Kompatibilität des gewählten Transports nachweisen</w:t>
            </w:r>
          </w:p>
        </w:tc>
        <w:tc>
          <w:tcPr/>
          <w:p>
            <w:pPr>
              <w:pStyle w:val="Compact"/>
            </w:pPr>
            <w:r>
              <w:t xml:space="preserve">Auf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entsteht derselbe Verzeichnisbaum wie im bisherigen Verfahren; Transportdateien und technische Metadaten verbleiben nicht im ausgewerteten Bestand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Config-Check und Synchronisation nichtproduktiv prüfen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  <w:r>
              <w:t xml:space="preserve"> </w:t>
            </w:r>
            <w:r>
              <w:t xml:space="preserve">bleibt nebenwirkungsfrei; ein vollständiger Projektstand wird erfolgreich über den gewählten Transport bereitgestellt und der Wiederanlauf ist geprüft</w:t>
            </w:r>
          </w:p>
        </w:tc>
      </w:tr>
    </w:tbl>
    <w:bookmarkEnd w:id="17"/>
    <w:bookmarkStart w:id="18" w:name="Xd75f1ce8aca86079cb74baf4d871d5abc28dfb2"/>
    <w:p>
      <w:pPr>
        <w:pStyle w:val="Heading2"/>
      </w:pPr>
      <w:r>
        <w:t xml:space="preserve">5. Mainframe-Übergabe einrichten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FTP-Secrets im GitHub Environment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  <w:r>
              <w:t xml:space="preserve"> </w:t>
            </w:r>
            <w:r>
              <w:t xml:space="preserve">hinterlegen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MAINFRAME_FTP_HOST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MAINFRAME_FTP_USER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MAINFRAME_FTP_PASSWORD</w:t>
            </w:r>
            <w:r>
              <w:t xml:space="preserve"> </w:t>
            </w:r>
            <w:r>
              <w:t xml:space="preserve">sind verfügbar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Historischen JCL-Eingabevertrag fachlich bestätigen</w:t>
            </w:r>
          </w:p>
        </w:tc>
        <w:tc>
          <w:tcPr/>
          <w:p>
            <w:pPr>
              <w:pStyle w:val="Compact"/>
            </w:pPr>
            <w:r>
              <w:t xml:space="preserve">Der mandantenspezifische Zielcode wird wie bisher über genau einen vorhandenen JCL-Platzhalter eingesetzt; der zentrale Test-/Produktionswert ist auf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begrenzt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JCL und unmittelbare Übergabe nichtproduktiv prüfen</w:t>
            </w:r>
          </w:p>
        </w:tc>
        <w:tc>
          <w:tcPr/>
          <w:p>
            <w:pPr>
              <w:pStyle w:val="Compact"/>
            </w:pPr>
            <w:r>
              <w:t xml:space="preserve">FTP-Antworten,</w:t>
            </w:r>
            <w:r>
              <w:t xml:space="preserve"> </w:t>
            </w:r>
            <w:r>
              <w:rPr>
                <w:rStyle w:val="VerbatimChar"/>
              </w:rPr>
              <w:t xml:space="preserve">SITE FILETYPE=JES</w:t>
            </w:r>
            <w:r>
              <w:t xml:space="preserve">, Submit, gerendertes JCL und Wiederholung mit demselben geprüften Artefakt sind abgenommen</w:t>
            </w:r>
          </w:p>
        </w:tc>
      </w:tr>
    </w:tbl>
    <w:p>
      <w:pPr>
        <w:pStyle w:val="BodyText"/>
      </w:pPr>
      <w:r>
        <w:t xml:space="preserve">Die Mainframe-Übergabe wartet auf eine manuelle Freigabe. Das Releaseartefakt</w:t>
      </w:r>
      <w:r>
        <w:t xml:space="preserve"> </w:t>
      </w:r>
      <w:r>
        <w:t xml:space="preserve">bleibt 30 Tage erhalten; vor der Übergabe werden Manifest und Prüfsummen erneut</w:t>
      </w:r>
      <w:r>
        <w:t xml:space="preserve"> </w:t>
      </w:r>
      <w:r>
        <w:t xml:space="preserve">geprüft. Mit der bestätigten Übergabe an IZE9 endet der in GitHub Actions</w:t>
      </w:r>
      <w:r>
        <w:t xml:space="preserve"> </w:t>
      </w:r>
      <w:r>
        <w:t xml:space="preserve">abgebildete Lieferprozess.</w:t>
      </w:r>
    </w:p>
    <w:bookmarkEnd w:id="18"/>
    <w:bookmarkStart w:id="20" w:name="X5b77840640673957b5fce73cdb48a2e68e41687"/>
    <w:p>
      <w:pPr>
        <w:pStyle w:val="Heading2"/>
      </w:pPr>
      <w:r>
        <w:t xml:space="preserve">6. Test-Parallelbetrieb vorbereiten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 November/Dezember 2026</w:t>
            </w:r>
          </w:p>
        </w:tc>
        <w:tc>
          <w:tcPr/>
          <w:p>
            <w:pPr>
              <w:pStyle w:val="Compact"/>
            </w:pPr>
            <w:r>
              <w:t xml:space="preserve">Ersten SVN-Abzug nach dem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Migrations- und Cutover-Runbook</w:t>
              </w:r>
            </w:hyperlink>
            <w:r>
              <w:t xml:space="preserve"> </w:t>
            </w:r>
            <w:r>
              <w:t xml:space="preserve">erstellen</w:t>
            </w:r>
          </w:p>
        </w:tc>
        <w:tc>
          <w:tcPr/>
          <w:p>
            <w:pPr>
              <w:pStyle w:val="Compact"/>
            </w:pPr>
            <w:r>
              <w:t xml:space="preserve">Alle Mandanten-Repositories stehen mit dokumentiertem SVN-Ausgangsstand für Tests bereit; Jenkins und SVN bleiben produktiv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Importumfang und Release-Basen je Mandant freigeben</w:t>
            </w:r>
          </w:p>
        </w:tc>
        <w:tc>
          <w:tcPr/>
          <w:p>
            <w:pPr>
              <w:pStyle w:val="Compact"/>
            </w:pPr>
            <w:r>
              <w:t xml:space="preserve">Aktive Linien, Projekte, Dateinamen und Ausschlüsse sind inventarisiert; je aktiver Linie werden mindestens der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-Stand und alle späteren Tags übernommen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Nichtproduktiven End-to-End-Pilot abnehmen</w:t>
            </w:r>
          </w:p>
        </w:tc>
        <w:tc>
          <w:tcPr/>
          <w:p>
            <w:pPr>
              <w:pStyle w:val="Compact"/>
            </w:pPr>
            <w:r>
              <w:t xml:space="preserve">Git-Clients, Schutzregeln, M/Text-Synchronisation sowie FULL- und DELTA-Release einschließlich Mainframe-Übergabe sind auf dem vorgesehenen Betriebsweg geprüft</w:t>
            </w:r>
          </w:p>
        </w:tc>
      </w:tr>
    </w:tbl>
    <w:p>
      <w:pPr>
        <w:pStyle w:val="BodyText"/>
      </w:pPr>
      <w:r>
        <w:t xml:space="preserve">Der finale SVN-Abzug und der harte Cutover sind ab Januar 2027 vorgesehen. Die</w:t>
      </w:r>
      <w:r>
        <w:t xml:space="preserve"> </w:t>
      </w:r>
      <w:r>
        <w:t xml:space="preserve">verbindliche Reihenfolge und die Abnahmekriterien stehen ausschließlich im</w:t>
      </w:r>
      <w:r>
        <w:t xml:space="preserve"> </w:t>
      </w:r>
      <w:hyperlink r:id="rId11">
        <w:r>
          <w:rPr>
            <w:rStyle w:val="Hyperlink"/>
          </w:rPr>
          <w:t xml:space="preserve">Migrations- und Cutover-Runbook</w:t>
        </w:r>
      </w:hyperlink>
      <w:r>
        <w:t xml:space="preserve">. Der</w:t>
      </w:r>
      <w:r>
        <w:t xml:space="preserve"> </w:t>
      </w:r>
      <w:r>
        <w:t xml:space="preserve">wiederkehrende Linienwechsel steht in der</w:t>
      </w:r>
      <w:r>
        <w:t xml:space="preserve"> </w:t>
      </w:r>
      <w:hyperlink r:id="rId19">
        <w:r>
          <w:rPr>
            <w:rStyle w:val="Hyperlink"/>
          </w:rPr>
          <w:t xml:space="preserve">Benutzeranleitung</w:t>
        </w:r>
      </w:hyperlink>
      <w:r>
        <w:t xml:space="preserve">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19" Target="./Benutzeranleitung.md#3-neue-releaselinie-initial-in-mtext-bereitstellen" TargetMode="External" /><Relationship Type="http://schemas.openxmlformats.org/officeDocument/2006/relationships/hyperlink" Id="rId11" Target="./Migration_und_Cutover_Runbook.md" TargetMode="External" /><Relationship Type="http://schemas.openxmlformats.org/officeDocument/2006/relationships/hyperlink" Id="rId9" Target="./Zielbild_GitHub_Actions_Git.md" TargetMode="External" /><Relationship Type="http://schemas.openxmlformats.org/officeDocument/2006/relationships/hyperlink" Id="rId16" Target="./Zielbild_GitHub_Actions_Git.md#4-zielarchitektur-und-verantwortlichkeit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19" Target="./Benutzeranleitung.md#3-neue-releaselinie-initial-in-mtext-bereitstellen" TargetMode="External" /><Relationship Type="http://schemas.openxmlformats.org/officeDocument/2006/relationships/hyperlink" Id="rId11" Target="./Migration_und_Cutover_Runbook.md" TargetMode="External" /><Relationship Type="http://schemas.openxmlformats.org/officeDocument/2006/relationships/hyperlink" Id="rId9" Target="./Zielbild_GitHub_Actions_Git.md" TargetMode="External" /><Relationship Type="http://schemas.openxmlformats.org/officeDocument/2006/relationships/hyperlink" Id="rId16" Target="./Zielbild_GitHub_Actions_Git.md#4-zielarchitektur-und-verantwortlichkeit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2026-07-16T21:05:50Z</dcterms:created>
  <dcterms:modified xsi:type="dcterms:W3CDTF">2026-07-16T21:05:50Z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