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767fe00d06021c73500f578850dd0563b4d425"/>
    <w:p>
      <w:pPr>
        <w:pStyle w:val="Heading1"/>
      </w:pPr>
      <w:r>
        <w:t xml:space="preserve">Benutzeranleitung für die M/Text-Lieferung mit GitHub Actions</w:t>
      </w:r>
    </w:p>
    <w:p>
      <w:pPr>
        <w:pStyle w:val="FirstParagraph"/>
      </w:pPr>
      <w:r>
        <w:rPr>
          <w:b/>
          <w:bCs/>
        </w:rPr>
        <w:t xml:space="preserve">Stand:</w:t>
      </w:r>
      <w:r>
        <w:t xml:space="preserve"> </w:t>
      </w:r>
      <w:r>
        <w:t xml:space="preserve">15. Juli 2026</w:t>
      </w:r>
    </w:p>
    <w:p>
      <w:pPr>
        <w:pStyle w:val="Body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Ressourcenautoren, Release-Verantwortliche, Freigebende und</w:t>
      </w:r>
      <w:r>
        <w:t xml:space="preserve"> </w:t>
      </w:r>
      <w:r>
        <w:t xml:space="preserve">Betrieb</w:t>
      </w:r>
    </w:p>
    <w:p>
      <w:pPr>
        <w:pStyle w:val="BodyText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Soll-Grafik</w:t>
        </w:r>
      </w:hyperlink>
      <w:r>
        <w:t xml:space="preserve"> </w:t>
      </w:r>
      <w:r>
        <w:t xml:space="preserve">und</w:t>
      </w:r>
      <w:r>
        <w:t xml:space="preserve"> </w:t>
      </w:r>
      <w:hyperlink r:id="rId11">
        <w:r>
          <w:rPr>
            <w:rStyle w:val="Hyperlink"/>
          </w:rPr>
          <w:t xml:space="preserve">offene Aktivierungsschritte</w:t>
        </w:r>
      </w:hyperlink>
    </w:p>
    <w:bookmarkStart w:id="12" w:name="Xf0fb005875fdc84e61f3be53d81a3551716c31f"/>
    <w:p>
      <w:pPr>
        <w:pStyle w:val="Heading2"/>
      </w:pPr>
      <w:r>
        <w:t xml:space="preserve">1. Zweck und aktueller Betriebsstatus</w:t>
      </w:r>
    </w:p>
    <w:p>
      <w:pPr>
        <w:pStyle w:val="FirstParagraph"/>
      </w:pPr>
      <w:r>
        <w:t xml:space="preserve">Die Lösung führt M/Text-Ressourcen eines Mandanten über die drei Stufen</w:t>
      </w:r>
      <w:r>
        <w:t xml:space="preserve"> </w:t>
      </w:r>
      <w:r>
        <w:rPr>
          <w:rStyle w:val="VerbatimChar"/>
        </w:rPr>
        <w:t xml:space="preserve">Entwicklung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Abnahme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. Pushes nach Entwicklung und</w:t>
      </w:r>
      <w:r>
        <w:t xml:space="preserve"> </w:t>
      </w:r>
      <w:r>
        <w:t xml:space="preserve">Abnahme lösen die jeweilige M/Text-Synchronisation aus. Nur der Pull Request</w:t>
      </w:r>
      <w:r>
        <w:t xml:space="preserve"> </w:t>
      </w:r>
      <w:r>
        <w:t xml:space="preserve">nach Bereitstellung prüft den Auswahlbranch vor dem Merge. Ein Merge nach</w:t>
      </w:r>
      <w:r>
        <w:t xml:space="preserve"> </w:t>
      </w:r>
      <w:r>
        <w:t xml:space="preserve">Bereitstellung liefert noch nichts aus; erst ein Release-Tag startet FULL oder</w:t>
      </w:r>
      <w:r>
        <w:t xml:space="preserve"> </w:t>
      </w:r>
      <w:r>
        <w:t xml:space="preserve">DELTA und die nachgelagerte Mainframe-Übergabe.</w:t>
      </w:r>
    </w:p>
    <w:p>
      <w:pPr>
        <w:pStyle w:val="BodyText"/>
      </w:pPr>
      <w:r>
        <w:t xml:space="preserve">Der Stand im gemeinsamen Workspace ist noch</w:t>
      </w:r>
      <w:r>
        <w:t xml:space="preserve"> </w:t>
      </w:r>
      <w:r>
        <w:rPr>
          <w:b/>
          <w:bCs/>
        </w:rPr>
        <w:t xml:space="preserve">nicht aktiviert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die drei Mandantenworkflows referenzieren absichtlich einen nicht</w:t>
      </w:r>
      <w:r>
        <w:t xml:space="preserve"> </w:t>
      </w:r>
      <w:r>
        <w:t xml:space="preserve">auflösbaren Null-SHA der zentralen Automatisierung;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serverSync</w:t>
      </w:r>
      <w:r>
        <w:t xml:space="preserve">, Adapter und Mainframe sind zusätzlich durch drei auf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stehende Vertragsschalter gesperrt;</w:t>
      </w:r>
    </w:p>
    <w:p>
      <w:pPr>
        <w:pStyle w:val="Compact"/>
        <w:numPr>
          <w:ilvl w:val="0"/>
          <w:numId w:val="1001"/>
        </w:numPr>
      </w:pPr>
      <w:r>
        <w:t xml:space="preserve">Runner, Environments, Secrets, Branchrulesets und externe Verträge müssen</w:t>
      </w:r>
      <w:r>
        <w:t xml:space="preserve"> </w:t>
      </w:r>
      <w:r>
        <w:t xml:space="preserve">vor der Nutzung gemäß „Nächste Schritte“ eingerichtet und abgenommen werden.</w:t>
      </w:r>
    </w:p>
    <w:p>
      <w:pPr>
        <w:pStyle w:val="FirstParagraph"/>
      </w:pPr>
      <w:r>
        <w:t xml:space="preserve">Solange diese Sperren bestehen, darf diese Anleitung nur für Vorbereitung,</w:t>
      </w:r>
      <w:r>
        <w:t xml:space="preserve"> </w:t>
      </w:r>
      <w:r>
        <w:t xml:space="preserve">Schulung und lokale nebenwirkungsfreie Tests verwendet werden. Ein roter Lauf</w:t>
      </w:r>
      <w:r>
        <w:t xml:space="preserve"> </w:t>
      </w:r>
      <w:r>
        <w:t xml:space="preserve">wegen Null-SHA oder deaktiviertem Vertrag ist in diesem Zustand erwartetes</w:t>
      </w:r>
      <w:r>
        <w:t xml:space="preserve"> </w:t>
      </w:r>
      <w:r>
        <w:t xml:space="preserve">Schutzverhalten.</w:t>
      </w:r>
    </w:p>
    <w:bookmarkEnd w:id="12"/>
    <w:bookmarkStart w:id="13" w:name="X8ad86c8517593dc1a6272a3f1e3a067ed470d53"/>
    <w:p>
      <w:pPr>
        <w:pStyle w:val="Heading2"/>
      </w:pPr>
      <w:r>
        <w:t xml:space="preserve">2. Rollen und Berechtigungen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Typische Aufgabe</w:t>
            </w:r>
          </w:p>
        </w:tc>
        <w:tc>
          <w:tcPr/>
          <w:p>
            <w:pPr>
              <w:pStyle w:val="Compact"/>
            </w:pPr>
            <w:r>
              <w:t xml:space="preserve">Erforderlicher Zugriff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Ressourcenautor</w:t>
            </w:r>
          </w:p>
        </w:tc>
        <w:tc>
          <w:tcPr/>
          <w:p>
            <w:pPr>
              <w:pStyle w:val="Compact"/>
            </w:pPr>
            <w:r>
              <w:t xml:space="preserve">Änderung direkt nach Entwicklung pushen und nach erfolgreicher Prüfung nach Abnahme promoten</w:t>
            </w:r>
          </w:p>
        </w:tc>
        <w:tc>
          <w:tcPr/>
          <w:p>
            <w:pPr>
              <w:pStyle w:val="Compact"/>
            </w:pPr>
            <w:r>
              <w:t xml:space="preserve">Schreiben auf Entwicklungs- und Abnahmebranches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Release-Verantwortlicher</w:t>
            </w:r>
          </w:p>
        </w:tc>
        <w:tc>
          <w:tcPr/>
          <w:p>
            <w:pPr>
              <w:pStyle w:val="Compact"/>
            </w:pPr>
            <w:r>
              <w:t xml:space="preserve">Nach Abnahme Auswahlbranch erstellen, Bereitstellung mergen und Tag setzen</w:t>
            </w:r>
          </w:p>
        </w:tc>
        <w:tc>
          <w:tcPr/>
          <w:p>
            <w:pPr>
              <w:pStyle w:val="Compact"/>
            </w:pPr>
            <w:r>
              <w:t xml:space="preserve">Branch erstellen, Pull Request mergen, Tag pushen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Environment-Freigebender</w:t>
            </w:r>
          </w:p>
        </w:tc>
        <w:tc>
          <w:tcPr/>
          <w:p>
            <w:pPr>
              <w:pStyle w:val="Compact"/>
            </w:pPr>
            <w:r>
              <w:t xml:space="preserve">Mainframe-Übergabe nach erfolgreichem Paketbau genehmigen</w:t>
            </w:r>
          </w:p>
        </w:tc>
        <w:tc>
          <w:tcPr/>
          <w:p>
            <w:pPr>
              <w:pStyle w:val="Compact"/>
            </w:pPr>
            <w:r>
              <w:t xml:space="preserve">Reviewer für das Environment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Betrieb/Plattform</w:t>
            </w:r>
          </w:p>
        </w:tc>
        <w:tc>
          <w:tcPr/>
          <w:p>
            <w:pPr>
              <w:pStyle w:val="Compact"/>
            </w:pPr>
            <w:r>
              <w:t xml:space="preserve">Runner, Secrets, Environments, Rulesets und Vertragsschalter verwalten</w:t>
            </w:r>
          </w:p>
        </w:tc>
        <w:tc>
          <w:tcPr/>
          <w:p>
            <w:pPr>
              <w:pStyle w:val="Compact"/>
            </w:pPr>
            <w:r>
              <w:t xml:space="preserve">Repository-/Organisationsadministration</w:t>
            </w:r>
          </w:p>
        </w:tc>
      </w:tr>
    </w:tbl>
    <w:p>
      <w:pPr>
        <w:pStyle w:val="BodyText"/>
      </w:pPr>
      <w:r>
        <w:t xml:space="preserve">Ein verpflichtendes fremdes Pull-Request-Review ist im Zielbild nicht</w:t>
      </w:r>
      <w:r>
        <w:t xml:space="preserve"> </w:t>
      </w:r>
      <w:r>
        <w:t xml:space="preserve">vorgesehen. Direkte Pushes sind für Entwicklung und Abnahme erlaubt. Nur die</w:t>
      </w:r>
      <w:r>
        <w:t xml:space="preserve"> </w:t>
      </w:r>
      <w:r>
        <w:t xml:space="preserve">Bereitstellung verlangt einen Pull Request; der Ersteller darf ihn nach</w:t>
      </w:r>
      <w:r>
        <w:t xml:space="preserve"> </w:t>
      </w:r>
      <w:r>
        <w:t xml:space="preserve">erfolgreichen Pflichtchecks selbst mergen.</w:t>
      </w:r>
    </w:p>
    <w:bookmarkEnd w:id="13"/>
    <w:bookmarkStart w:id="15" w:name="X4c27be40f259f44d3b13dd583c1725463a667a2"/>
    <w:p>
      <w:pPr>
        <w:pStyle w:val="Heading2"/>
      </w:pPr>
      <w:r>
        <w:t xml:space="preserve">3. Begriffe und Namensregeln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Verbindliches Format</w:t>
            </w:r>
          </w:p>
        </w:tc>
        <w:tc>
          <w:tcPr/>
          <w:p>
            <w:pPr>
              <w:pStyle w:val="Compac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Stufenbranch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Rnnn/Bereitstellung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R261/Entwicklung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Optionaler Feature-Branch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feature/Rnnn/&lt;Issue&gt;-&lt;kurzname&gt;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feature/R261/12345-neuer-baustein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Auswahlbranch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release/Rnnn-YYYYMMDDTHHMMSSZ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release/R261-20260715T143000Z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Rnnn.nnn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R261.100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R261.108</w:t>
            </w:r>
          </w:p>
        </w:tc>
      </w:tr>
    </w:tbl>
    <w:p>
      <w:pPr>
        <w:pStyle w:val="BodyText"/>
      </w:pPr>
      <w:r>
        <w:t xml:space="preserve">Feature-Branches sind eine optionale lokale Arbeits- und Namenskonvention. Sie</w:t>
      </w:r>
      <w:r>
        <w:t xml:space="preserve"> </w:t>
      </w:r>
      <w:r>
        <w:t xml:space="preserve">sind kein Pull-Request-Gate und lösen keine Verteilung aus. Maßgeblich für die</w:t>
      </w:r>
      <w:r>
        <w:t xml:space="preserve"> </w:t>
      </w:r>
      <w:r>
        <w:t xml:space="preserve">Automatisierung sind nur Pushes auf die Stufenbranches. Groß-/Kleinschreibung</w:t>
      </w:r>
      <w:r>
        <w:t xml:space="preserve"> </w:t>
      </w:r>
      <w:r>
        <w:t xml:space="preserve">der Stufen ist verbindlich. Aktive Linien sind derzeit</w:t>
      </w:r>
      <w:r>
        <w:t xml:space="preserve"> </w:t>
      </w:r>
      <w:r>
        <w:rPr>
          <w:rStyle w:val="VerbatimChar"/>
        </w:rPr>
        <w:t xml:space="preserve">R260</w:t>
      </w:r>
      <w:r>
        <w:t xml:space="preserve">,</w:t>
      </w:r>
      <w:r>
        <w:t xml:space="preserve"> </w:t>
      </w:r>
      <w:r>
        <w:rPr>
          <w:rStyle w:val="VerbatimChar"/>
        </w:rPr>
        <w:t xml:space="preserve">R261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R270</w:t>
      </w:r>
      <w:r>
        <w:t xml:space="preserve">.</w:t>
      </w:r>
    </w:p>
    <w:bookmarkStart w:id="14" w:name="commit-und-sha-einfach-erklärt"/>
    <w:p>
      <w:pPr>
        <w:pStyle w:val="Heading3"/>
      </w:pPr>
      <w:r>
        <w:t xml:space="preserve">Commit und SHA einfach erklärt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ist ein gespeicherter Stand im Git-Repository. Jeder Commit hat</w:t>
      </w:r>
      <w:r>
        <w:t xml:space="preserve"> </w:t>
      </w:r>
      <w:r>
        <w:t xml:space="preserve">eine eindeutige technische Kennung, den</w:t>
      </w:r>
      <w:r>
        <w:t xml:space="preserve"> </w:t>
      </w:r>
      <w:r>
        <w:rPr>
          <w:b/>
          <w:bCs/>
        </w:rPr>
        <w:t xml:space="preserve">Commit-SHA</w:t>
      </w:r>
      <w:r>
        <w:t xml:space="preserve">. Sie besteht in diesem</w:t>
      </w:r>
      <w:r>
        <w:t xml:space="preserve"> </w:t>
      </w:r>
      <w:r>
        <w:t xml:space="preserve">Repository aus 40 Zeichen, zum Beispiel</w:t>
      </w:r>
      <w:r>
        <w:t xml:space="preserve"> </w:t>
      </w:r>
      <w:r>
        <w:rPr>
          <w:rStyle w:val="VerbatimChar"/>
        </w:rPr>
        <w:t xml:space="preserve">8f3a1c2d4e5f67890123456789abcdef01234567</w:t>
      </w:r>
      <w:r>
        <w:t xml:space="preserve">. Meist genügt in der Oberfläche</w:t>
      </w:r>
      <w:r>
        <w:t xml:space="preserve"> </w:t>
      </w:r>
      <w:r>
        <w:t xml:space="preserve">eine verkürzte Darstellung; für einen manuellen Wiederanlauf verlangt die</w:t>
      </w:r>
      <w:r>
        <w:t xml:space="preserve"> </w:t>
      </w:r>
      <w:r>
        <w:t xml:space="preserve">Automation jedoch die vollständige Kennung.</w:t>
      </w:r>
    </w:p>
    <w:p>
      <w:pPr>
        <w:pStyle w:val="BodyText"/>
      </w:pPr>
      <w:r>
        <w:t xml:space="preserve">Ein Branchname wie</w:t>
      </w:r>
      <w:r>
        <w:t xml:space="preserve"> </w:t>
      </w:r>
      <w:r>
        <w:rPr>
          <w:rStyle w:val="VerbatimChar"/>
        </w:rPr>
        <w:t xml:space="preserve">R261/Entwicklung</w:t>
      </w:r>
      <w:r>
        <w:t xml:space="preserve"> </w:t>
      </w:r>
      <w:r>
        <w:t xml:space="preserve">bezeichnet dagegen keinen dauerhaft</w:t>
      </w:r>
      <w:r>
        <w:t xml:space="preserve"> </w:t>
      </w:r>
      <w:r>
        <w:t xml:space="preserve">festen Stand. Er zeigt auf den jeweils neuesten Commit des Branches und bewegt</w:t>
      </w:r>
      <w:r>
        <w:t xml:space="preserve"> </w:t>
      </w:r>
      <w:r>
        <w:t xml:space="preserve">sich mit jedem weiteren Push. Wenn in dieser Anleitung vom „exakten Commit“</w:t>
      </w:r>
      <w:r>
        <w:t xml:space="preserve"> </w:t>
      </w:r>
      <w:r>
        <w:t xml:space="preserve">die Rede ist, bedeutet das deshalb: Verarbeitet wird genau der Stand, der den</w:t>
      </w:r>
      <w:r>
        <w:t xml:space="preserve"> </w:t>
      </w:r>
      <w:r>
        <w:t xml:space="preserve">Lauf ausgelöst hat - nicht ein möglicherweise inzwischen neuerer Stand auf</w:t>
      </w:r>
      <w:r>
        <w:t xml:space="preserve"> </w:t>
      </w:r>
      <w:r>
        <w:t xml:space="preserve">demselben Branch. Bei einem normalen Push übernimmt GitHub diese Kennung</w:t>
      </w:r>
      <w:r>
        <w:t xml:space="preserve"> </w:t>
      </w:r>
      <w:r>
        <w:t xml:space="preserve">automatisch; Benutzer müssen sie nur bei einer manuellen Wiederholung angeben.</w:t>
      </w:r>
    </w:p>
    <w:p>
      <w:pPr>
        <w:pStyle w:val="BodyText"/>
      </w:pPr>
      <w:r>
        <w:t xml:space="preserve">In SVN wird ein Stand üblicherweise über eine fortlaufende Revisionsnummer wie</w:t>
      </w:r>
      <w:r>
        <w:t xml:space="preserve"> </w:t>
      </w:r>
      <w:r>
        <w:rPr>
          <w:rStyle w:val="VerbatimChar"/>
        </w:rPr>
        <w:t xml:space="preserve">r12345</w:t>
      </w:r>
      <w:r>
        <w:t xml:space="preserve"> </w:t>
      </w:r>
      <w:r>
        <w:t xml:space="preserve">bezeichnet. Git ist nicht an ein zentrales, fortlaufendes</w:t>
      </w:r>
      <w:r>
        <w:t xml:space="preserve"> </w:t>
      </w:r>
      <w:r>
        <w:t xml:space="preserve">Nummernsystem gebunden und verwendet daher die Commit-SHA als eindeutige</w:t>
      </w:r>
      <w:r>
        <w:t xml:space="preserve"> </w:t>
      </w:r>
      <w:r>
        <w:t xml:space="preserve">Kennung. Der Zweck ist vergleichbar: Beide Angaben machen einen konkreten</w:t>
      </w:r>
      <w:r>
        <w:t xml:space="preserve"> </w:t>
      </w:r>
      <w:r>
        <w:t xml:space="preserve">Quellstand nachvollziehbar. Die Git-Kennung ist lediglich technisch anders</w:t>
      </w:r>
      <w:r>
        <w:t xml:space="preserve"> </w:t>
      </w:r>
      <w:r>
        <w:t xml:space="preserve">aufgebaut und weniger leicht zu merken.</w:t>
      </w:r>
    </w:p>
    <w:p>
      <w:pPr>
        <w:pStyle w:val="BodyText"/>
      </w:pPr>
      <w:r>
        <w:t xml:space="preserve">Daneben kommen zwei ähnlich aussehende, aber anders verwendete Kennungen vor:</w:t>
      </w:r>
    </w:p>
    <w:p>
      <w:pPr>
        <w:pStyle w:val="Compact"/>
        <w:numPr>
          <w:ilvl w:val="0"/>
          <w:numId w:val="1002"/>
        </w:numPr>
      </w:pPr>
      <w:r>
        <w:t xml:space="preserve">Der Commit-SHA von</w:t>
      </w:r>
      <w:r>
        <w:t xml:space="preserve"> </w:t>
      </w:r>
      <w:r>
        <w:rPr>
          <w:rStyle w:val="VerbatimChar"/>
        </w:rPr>
        <w:t xml:space="preserve">mtext-actions</w:t>
      </w:r>
      <w:r>
        <w:t xml:space="preserve"> </w:t>
      </w:r>
      <w:r>
        <w:t xml:space="preserve">legt für Administratoren fest, welche</w:t>
      </w:r>
      <w:r>
        <w:t xml:space="preserve"> </w:t>
      </w:r>
      <w:r>
        <w:t xml:space="preserve">freigegebene Version der zentralen Automation verwendet wird.</w:t>
      </w:r>
    </w:p>
    <w:p>
      <w:pPr>
        <w:pStyle w:val="Compact"/>
        <w:numPr>
          <w:ilvl w:val="0"/>
          <w:numId w:val="1002"/>
        </w:numPr>
      </w:pPr>
      <w:r>
        <w:t xml:space="preserve">Eine SHA-256-Prüfsumme bestätigt, dass eine erzeugte Paketdatei nach dem Bau</w:t>
      </w:r>
      <w:r>
        <w:t xml:space="preserve"> </w:t>
      </w:r>
      <w:r>
        <w:t xml:space="preserve">nicht verändert wurde. Sie bezeichnet keinen Git-Commit.</w:t>
      </w:r>
    </w:p>
    <w:bookmarkEnd w:id="14"/>
    <w:bookmarkEnd w:id="15"/>
    <w:bookmarkStart w:id="16" w:name="X18377f702a880a3fc4dfa7ec32774d477fd12ff"/>
    <w:p>
      <w:pPr>
        <w:pStyle w:val="Heading2"/>
      </w:pPr>
      <w:r>
        <w:t xml:space="preserve">4. Änderung nach Entwicklung bringen</w:t>
      </w:r>
    </w:p>
    <w:p>
      <w:pPr>
        <w:pStyle w:val="Compact"/>
        <w:numPr>
          <w:ilvl w:val="0"/>
          <w:numId w:val="1003"/>
        </w:numPr>
      </w:pPr>
      <w:r>
        <w:t xml:space="preserve">Das richtige Mandanten-Repository und die betroffene Releaselinie wählen.</w:t>
      </w:r>
    </w:p>
    <w:p>
      <w:pPr>
        <w:pStyle w:val="Compact"/>
        <w:numPr>
          <w:ilvl w:val="0"/>
          <w:numId w:val="1003"/>
        </w:numPr>
      </w:pPr>
      <w:r>
        <w:t xml:space="preserve">Den aktuellen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auschecken; optional dafür einen</w:t>
      </w:r>
      <w:r>
        <w:t xml:space="preserve"> </w:t>
      </w:r>
      <w:r>
        <w:t xml:space="preserve">lokalen Feature-Branch erstellen.</w:t>
      </w:r>
    </w:p>
    <w:p>
      <w:pPr>
        <w:pStyle w:val="Compact"/>
        <w:numPr>
          <w:ilvl w:val="0"/>
          <w:numId w:val="1003"/>
        </w:numPr>
      </w:pPr>
      <w:r>
        <w:t xml:space="preserve">Nur die fachlich vorgesehenen Ressourcen ändern. Die Mandantenkonfiguration</w:t>
      </w:r>
      <w:r>
        <w:t xml:space="preserve"> </w:t>
      </w:r>
      <w:r>
        <w:t xml:space="preserve">nur gemeinsam mit der fachlichen Zuordnung ändern; keine Secrets ablegen.</w:t>
      </w:r>
    </w:p>
    <w:p>
      <w:pPr>
        <w:pStyle w:val="Compact"/>
        <w:numPr>
          <w:ilvl w:val="0"/>
          <w:numId w:val="1003"/>
        </w:numPr>
      </w:pPr>
      <w:r>
        <w:t xml:space="preserve">Änderungen committen und den gewünschten Commit direkt nach</w:t>
      </w:r>
      <w:r>
        <w:t xml:space="preserve"> </w:t>
      </w:r>
      <w:r>
        <w:rPr>
          <w:rStyle w:val="VerbatimChar"/>
        </w:rPr>
        <w:t xml:space="preserve">&lt;Releaselinie&gt;/Entwicklung</w:t>
      </w:r>
      <w:r>
        <w:t xml:space="preserve"> </w:t>
      </w:r>
      <w:r>
        <w:t xml:space="preserve">pushen.</w:t>
      </w:r>
    </w:p>
    <w:p>
      <w:pPr>
        <w:pStyle w:val="Compact"/>
        <w:numPr>
          <w:ilvl w:val="0"/>
          <w:numId w:val="1003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durch den Push ausgelösten</w:t>
      </w:r>
      <w:r>
        <w:t xml:space="preserve"> </w:t>
      </w:r>
      <w:r>
        <w:t xml:space="preserve">Lauf kontrollieren.</w:t>
      </w:r>
    </w:p>
    <w:p>
      <w:pPr>
        <w:pStyle w:val="FirstParagraph"/>
      </w:pPr>
      <w:r>
        <w:t xml:space="preserve">Der Push startet die Synchronisation des exakten Commits. Ein erfolgreicher</w:t>
      </w:r>
      <w:r>
        <w:t xml:space="preserve"> </w:t>
      </w:r>
      <w:r>
        <w:t xml:space="preserve">Lauf endet mit</w:t>
      </w:r>
      <w:r>
        <w:t xml:space="preserve"> </w:t>
      </w:r>
      <w:r>
        <w:rPr>
          <w:rStyle w:val="VerbatimChar"/>
        </w:rPr>
        <w:t xml:space="preserve">ADAPTER_ACCEPTED</w:t>
      </w:r>
      <w:r>
        <w:t xml:space="preserve">; dies bestätigt die synchrone 2xx-Annahme des</w:t>
      </w:r>
      <w:r>
        <w:t xml:space="preserve"> </w:t>
      </w:r>
      <w:r>
        <w:t xml:space="preserve">Adapters, nicht einen späteren fachlichen M/Text-Jobstatus.</w:t>
      </w:r>
    </w:p>
    <w:bookmarkEnd w:id="16"/>
    <w:bookmarkStart w:id="17" w:name="Xa12cbb55742e8c0700c3211008f335844c3c147"/>
    <w:p>
      <w:pPr>
        <w:pStyle w:val="Heading2"/>
      </w:pPr>
      <w:r>
        <w:t xml:space="preserve">5. Nach Abnahme promoten</w:t>
      </w:r>
    </w:p>
    <w:p>
      <w:pPr>
        <w:pStyle w:val="Compact"/>
        <w:numPr>
          <w:ilvl w:val="0"/>
          <w:numId w:val="1004"/>
        </w:numPr>
      </w:pPr>
      <w:r>
        <w:t xml:space="preserve">Den in Entwicklung erfolgreich geprüften Commit ermitteln.</w:t>
      </w:r>
    </w:p>
    <w:p>
      <w:pPr>
        <w:pStyle w:val="Compact"/>
        <w:numPr>
          <w:ilvl w:val="0"/>
          <w:numId w:val="1004"/>
        </w:numPr>
      </w:pPr>
      <w:r>
        <w:t xml:space="preserve">Genau diesen Commit direkt nach</w:t>
      </w:r>
      <w:r>
        <w:t xml:space="preserve"> </w:t>
      </w:r>
      <w:r>
        <w:rPr>
          <w:rStyle w:val="VerbatimChar"/>
        </w:rPr>
        <w:t xml:space="preserve">&lt;Releaselinie&gt;/Abnahme</w:t>
      </w:r>
      <w:r>
        <w:t xml:space="preserve"> </w:t>
      </w:r>
      <w:r>
        <w:t xml:space="preserve">pushen.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</w:t>
      </w:r>
      <w:r>
        <w:t xml:space="preserve"> </w:t>
      </w:r>
      <w:r>
        <w:t xml:space="preserve">den Abnahmelauf kontrollieren.</w:t>
      </w:r>
    </w:p>
    <w:p>
      <w:pPr>
        <w:pStyle w:val="Compact"/>
        <w:numPr>
          <w:ilvl w:val="0"/>
          <w:numId w:val="1004"/>
        </w:numPr>
      </w:pPr>
      <w:r>
        <w:t xml:space="preserve">Die fachliche Abnahme außerhalb des Workflows nach dem vereinbarten</w:t>
      </w:r>
      <w:r>
        <w:t xml:space="preserve"> </w:t>
      </w:r>
      <w:r>
        <w:t xml:space="preserve">Verfahren dokumentieren.</w:t>
      </w:r>
    </w:p>
    <w:p>
      <w:pPr>
        <w:pStyle w:val="FirstParagraph"/>
      </w:pPr>
      <w:r>
        <w:t xml:space="preserve">Der Push nach Abnahme verteilt den vollständigen konfigurierten Projektstand</w:t>
      </w:r>
      <w:r>
        <w:t xml:space="preserve"> </w:t>
      </w:r>
      <w:r>
        <w:t xml:space="preserve">des vom Anwender fachlich freigegebenen Commits. Er baut noch kein</w:t>
      </w:r>
      <w:r>
        <w:t xml:space="preserve"> </w:t>
      </w:r>
      <w:r>
        <w:t xml:space="preserve">Mainframe-Paket. Die Auswahl dieses Commits ist eine fachliche</w:t>
      </w:r>
      <w:r>
        <w:t xml:space="preserve"> </w:t>
      </w:r>
      <w:r>
        <w:t xml:space="preserve">Verantwortlichkeit; der Workflow erzwingt keine Gleichheit mit einem früheren</w:t>
      </w:r>
      <w:r>
        <w:t xml:space="preserve"> </w:t>
      </w:r>
      <w:r>
        <w:t xml:space="preserve">Entwicklungspush.</w:t>
      </w:r>
    </w:p>
    <w:bookmarkEnd w:id="17"/>
    <w:bookmarkStart w:id="18" w:name="X1d29f67292db16d3b934776c489b37252db8844"/>
    <w:p>
      <w:pPr>
        <w:pStyle w:val="Heading2"/>
      </w:pPr>
      <w:r>
        <w:t xml:space="preserve">6. Ausgewählte Änderungen bereitstellen</w:t>
      </w:r>
    </w:p>
    <w:p>
      <w:pPr>
        <w:pStyle w:val="Compact"/>
        <w:numPr>
          <w:ilvl w:val="0"/>
          <w:numId w:val="1005"/>
        </w:numPr>
      </w:pPr>
      <w:r>
        <w:t xml:space="preserve">Einen UTC-Zeitstempel bestimmen und den Auswahlbranch</w:t>
      </w:r>
      <w:r>
        <w:t xml:space="preserve"> </w:t>
      </w:r>
      <w:r>
        <w:rPr>
          <w:rStyle w:val="VerbatimChar"/>
        </w:rPr>
        <w:t xml:space="preserve">release/&lt;Releaselinie&gt;-&lt;YYYYMMDDTHHMMSSZ&gt;</w:t>
      </w:r>
      <w:r>
        <w:t xml:space="preserve"> </w:t>
      </w:r>
      <w:r>
        <w:t xml:space="preserve">vom aktuellen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erstellen.</w:t>
      </w:r>
    </w:p>
    <w:p>
      <w:pPr>
        <w:pStyle w:val="Compact"/>
        <w:numPr>
          <w:ilvl w:val="0"/>
          <w:numId w:val="1005"/>
        </w:numPr>
      </w:pPr>
      <w:r>
        <w:t xml:space="preserve">Ausschließlich die fachlich freigegebenen Commits aus Abnahme per</w:t>
      </w:r>
      <w:r>
        <w:t xml:space="preserve"> </w:t>
      </w:r>
      <w:r>
        <w:rPr>
          <w:rStyle w:val="VerbatimChar"/>
        </w:rPr>
        <w:t xml:space="preserve">git cherry-pick</w:t>
      </w:r>
      <w:r>
        <w:t xml:space="preserve"> </w:t>
      </w:r>
      <w:r>
        <w:t xml:space="preserve">in diesen Branch übernehmen. Konflikte fachlich prüfen;</w:t>
      </w:r>
      <w:r>
        <w:t xml:space="preserve"> </w:t>
      </w:r>
      <w:r>
        <w:t xml:space="preserve">keine ungeprüften Konfliktauflösungen übernehmen.</w:t>
      </w:r>
    </w:p>
    <w:p>
      <w:pPr>
        <w:pStyle w:val="Compact"/>
        <w:numPr>
          <w:ilvl w:val="0"/>
          <w:numId w:val="1005"/>
        </w:numPr>
      </w:pPr>
      <w:r>
        <w:t xml:space="preserve">Einen Pull Request vom Auswahlbranch nach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5"/>
        </w:numPr>
      </w:pPr>
      <w:r>
        <w:t xml:space="preserve">Inhalt, Zielbranch und den Check</w:t>
      </w:r>
      <w:r>
        <w:t xml:space="preserve"> </w:t>
      </w:r>
      <w:r>
        <w:rPr>
          <w:rStyle w:val="VerbatimChar"/>
        </w:rPr>
        <w:t xml:space="preserve">Validate change / Validate release promotion</w:t>
      </w:r>
      <w:r>
        <w:t xml:space="preserve"> </w:t>
      </w:r>
      <w:r>
        <w:t xml:space="preserve">prüfen und den Pull Request mergen.</w:t>
      </w:r>
    </w:p>
    <w:p>
      <w:pPr>
        <w:pStyle w:val="Compact"/>
        <w:numPr>
          <w:ilvl w:val="0"/>
          <w:numId w:val="1005"/>
        </w:numPr>
      </w:pPr>
      <w:r>
        <w:t xml:space="preserve">Den erzeugten Merge-Commit notieren. Der Merge allein startet weder</w:t>
      </w:r>
      <w:r>
        <w:t xml:space="preserve"> </w:t>
      </w:r>
      <w:r>
        <w:t xml:space="preserve">Paketbau noch Mainframe-Übergabe.</w:t>
      </w:r>
    </w:p>
    <w:p>
      <w:pPr>
        <w:pStyle w:val="FirstParagraph"/>
      </w:pPr>
      <w:r>
        <w:t xml:space="preserve">Der Auswahlbranch muss exakt dem Namensformat entsprechen. Ein direkter Pull</w:t>
      </w:r>
      <w:r>
        <w:t xml:space="preserve"> </w:t>
      </w:r>
      <w:r>
        <w:t xml:space="preserve">Request von Abnahme nach Bereitstellung wird von der Promotionsvalidierung</w:t>
      </w:r>
      <w:r>
        <w:t xml:space="preserve"> </w:t>
      </w:r>
      <w:r>
        <w:t xml:space="preserve">abgelehnt.</w:t>
      </w:r>
    </w:p>
    <w:bookmarkEnd w:id="18"/>
    <w:bookmarkStart w:id="19" w:name="X08ed1942a851ecf1b66055bac4c3dbac74b6050"/>
    <w:p>
      <w:pPr>
        <w:pStyle w:val="Heading2"/>
      </w:pPr>
      <w:r>
        <w:t xml:space="preserve">7. FULL oder DELTA auslösen</w:t>
      </w:r>
    </w:p>
    <w:p>
      <w:pPr>
        <w:pStyle w:val="FirstParagraph"/>
      </w:pPr>
      <w:r>
        <w:t xml:space="preserve">Vor dem Taggen müssen Releaselinie, Mandant, gewünschter Lieferungstyp und der</w:t>
      </w:r>
      <w:r>
        <w:t xml:space="preserve"> </w:t>
      </w:r>
      <w:r>
        <w:t xml:space="preserve">exakte Commit auf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 </w:t>
      </w:r>
      <w:r>
        <w:t xml:space="preserve">fachlich bestätigt sein.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Rnnn.100</w:t>
      </w:r>
      <w:r>
        <w:t xml:space="preserve"> </w:t>
      </w:r>
      <w:r>
        <w:t xml:space="preserve">erzeugt ein FULL mit dem vollständigen Stand jedes Projekts der</w:t>
      </w:r>
      <w:r>
        <w:t xml:space="preserve"> </w:t>
      </w:r>
      <w:r>
        <w:t xml:space="preserve">Delivery-Allowlist.</w:t>
      </w:r>
    </w:p>
    <w:p>
      <w:pPr>
        <w:pStyle w:val="Compact"/>
        <w:numPr>
          <w:ilvl w:val="0"/>
          <w:numId w:val="1006"/>
        </w:numPr>
      </w:pPr>
      <w:r>
        <w:t xml:space="preserve">Jede andere gültige dreistellige Endung, zum Beispiel</w:t>
      </w:r>
      <w:r>
        <w:t xml:space="preserve"> </w:t>
      </w:r>
      <w:r>
        <w:rPr>
          <w:rStyle w:val="VerbatimChar"/>
        </w:rPr>
        <w:t xml:space="preserve">R261.108</w:t>
      </w:r>
      <w:r>
        <w:t xml:space="preserve">, erzeugt</w:t>
      </w:r>
      <w:r>
        <w:t xml:space="preserve"> </w:t>
      </w:r>
      <w:r>
        <w:t xml:space="preserve">ein kumulatives DELTA von</w:t>
      </w:r>
      <w:r>
        <w:t xml:space="preserve"> </w:t>
      </w:r>
      <w:r>
        <w:rPr>
          <w:rStyle w:val="VerbatimChar"/>
        </w:rPr>
        <w:t xml:space="preserve">R261.100</w:t>
      </w:r>
      <w:r>
        <w:t xml:space="preserve"> </w:t>
      </w:r>
      <w:r>
        <w:t xml:space="preserve">bis zum Zieltag.</w:t>
      </w:r>
    </w:p>
    <w:p>
      <w:pPr>
        <w:pStyle w:val="Compact"/>
        <w:numPr>
          <w:ilvl w:val="0"/>
          <w:numId w:val="1006"/>
        </w:numPr>
      </w:pPr>
      <w:r>
        <w:t xml:space="preserve">Ein DELTA setzt voraus, dass der</w:t>
      </w:r>
      <w:r>
        <w:t xml:space="preserve"> </w:t>
      </w:r>
      <w:r>
        <w:rPr>
          <w:rStyle w:val="VerbatimChar"/>
        </w:rPr>
        <w:t xml:space="preserve">.100</w:t>
      </w:r>
      <w:r>
        <w:t xml:space="preserve">-Tag derselben Linie vorhanden und</w:t>
      </w:r>
      <w:r>
        <w:t xml:space="preserve"> </w:t>
      </w:r>
      <w:r>
        <w:t xml:space="preserve">erreichbar ist.</w:t>
      </w:r>
    </w:p>
    <w:p>
      <w:pPr>
        <w:pStyle w:val="FirstParagraph"/>
      </w:pPr>
      <w:r>
        <w:t xml:space="preserve">Zum Auslösen einen einfachen Git-Tag auf dem bestätigten Bereitstellungscommit</w:t>
      </w:r>
      <w:r>
        <w:t xml:space="preserve"> </w:t>
      </w:r>
      <w:r>
        <w:t xml:space="preserve">setzen und pushen, zum Beispiel: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R261/Bereitstellung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R261.108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vollständiger-commit-sha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refs/tags/R261.108</w:t>
      </w:r>
    </w:p>
    <w:p>
      <w:pPr>
        <w:pStyle w:val="FirstParagraph"/>
      </w:pPr>
      <w:r>
        <w:t xml:space="preserve">Danach unter</w:t>
      </w:r>
      <w:r>
        <w:t xml:space="preserve"> </w:t>
      </w:r>
      <w:r>
        <w:rPr>
          <w:b/>
          <w:bCs/>
        </w:rPr>
        <w:t xml:space="preserve">Actions → Build and publish release</w:t>
      </w:r>
      <w:r>
        <w:t xml:space="preserve"> </w:t>
      </w:r>
      <w:r>
        <w:t xml:space="preserve">prüfen: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Build FULL or DELTA artifact</w:t>
      </w:r>
      <w:r>
        <w:t xml:space="preserve"> </w:t>
      </w:r>
      <w:r>
        <w:t xml:space="preserve">validiert Tag und Branchzuordnung, baut die</w:t>
      </w:r>
      <w:r>
        <w:t xml:space="preserve"> </w:t>
      </w:r>
      <w:r>
        <w:t xml:space="preserve">Pakete und erzeugt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mit SHA-256-Prüfsummen.</w:t>
      </w:r>
    </w:p>
    <w:p>
      <w:pPr>
        <w:pStyle w:val="Compact"/>
        <w:numPr>
          <w:ilvl w:val="0"/>
          <w:numId w:val="1007"/>
        </w:numPr>
      </w:pPr>
      <w:r>
        <w:t xml:space="preserve">Das Artefakt heißt</w:t>
      </w:r>
      <w:r>
        <w:t xml:space="preserve"> </w:t>
      </w:r>
      <w:r>
        <w:rPr>
          <w:rStyle w:val="VerbatimChar"/>
        </w:rPr>
        <w:t xml:space="preserve">&lt;Repository&gt;-&lt;Release-Tag&gt;</w:t>
      </w:r>
      <w:r>
        <w:t xml:space="preserve"> </w:t>
      </w:r>
      <w:r>
        <w:t xml:space="preserve">und wird standardmäßig</w:t>
      </w:r>
      <w:r>
        <w:t xml:space="preserve"> </w:t>
      </w:r>
      <w:r>
        <w:t xml:space="preserve">30 Tage aufbewahrt.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Verify and hand over artifact to Mainframe</w:t>
      </w:r>
      <w:r>
        <w:t xml:space="preserve"> </w:t>
      </w:r>
      <w:r>
        <w:t xml:space="preserve">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die eingerichtete manuelle Freigabe.</w:t>
      </w:r>
    </w:p>
    <w:p>
      <w:pPr>
        <w:pStyle w:val="Compact"/>
        <w:numPr>
          <w:ilvl w:val="0"/>
          <w:numId w:val="1007"/>
        </w:numPr>
      </w:pPr>
      <w:r>
        <w:t xml:space="preserve">Nach der Freigabe werden Manifest und Prüfsummen erneut geprüft, JCL wird</w:t>
      </w:r>
      <w:r>
        <w:t xml:space="preserve"> </w:t>
      </w:r>
      <w:r>
        <w:t xml:space="preserve">aus dem versionierten Template gerendert und Paket plus JCL werden per</w:t>
      </w:r>
      <w:r>
        <w:t xml:space="preserve"> </w:t>
      </w:r>
      <w:r>
        <w:t xml:space="preserve">FTP/JES übergeben.</w:t>
      </w:r>
    </w:p>
    <w:p>
      <w:pPr>
        <w:pStyle w:val="FirstParagraph"/>
      </w:pPr>
      <w:r>
        <w:rPr>
          <w:rStyle w:val="VerbatimChar"/>
        </w:rPr>
        <w:t xml:space="preserve">MAINFRAME_SUBMITTED</w:t>
      </w:r>
      <w:r>
        <w:t xml:space="preserve"> </w:t>
      </w:r>
      <w:r>
        <w:t xml:space="preserve">bedeutet ausschließlich, dass die unmittelbare</w:t>
      </w:r>
      <w:r>
        <w:t xml:space="preserve"> </w:t>
      </w:r>
      <w:r>
        <w:t xml:space="preserve">FTP-/JES-Übergabe akzeptiert wurde. Der fachliche Abschluss des Mainframe-Jobs</w:t>
      </w:r>
      <w:r>
        <w:t xml:space="preserve"> </w:t>
      </w:r>
      <w:r>
        <w:t xml:space="preserve">wird in Ausbaustufe 1 nicht abgefragt.</w:t>
      </w:r>
    </w:p>
    <w:bookmarkEnd w:id="19"/>
    <w:bookmarkStart w:id="22" w:name="X3ab85b391d33e6582e4da306fb3dd48ec8db851"/>
    <w:p>
      <w:pPr>
        <w:pStyle w:val="Heading2"/>
      </w:pPr>
      <w:r>
        <w:t xml:space="preserve">8. Einen Lauf kontrolliert wiederholen</w:t>
      </w:r>
    </w:p>
    <w:bookmarkStart w:id="20" w:name="mtext-synchronisation-wiederholen"/>
    <w:p>
      <w:pPr>
        <w:pStyle w:val="Heading3"/>
      </w:pPr>
      <w:r>
        <w:t xml:space="preserve">M/Text-Synchronisation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Sync M/Text resources → Run workflow</w:t>
      </w:r>
      <w:r>
        <w:t xml:space="preserve"> </w:t>
      </w:r>
      <w:r>
        <w:t xml:space="preserve">angeben: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commit_sha</w:t>
      </w:r>
      <w:r>
        <w:t xml:space="preserve">: vollständiger 40-stelliger SHA des bereits geprüften Commits;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source_branch</w:t>
      </w:r>
      <w:r>
        <w:t xml:space="preserve">: der passende Branch</w:t>
      </w:r>
      <w:r>
        <w:t xml:space="preserve"> </w:t>
      </w:r>
      <w:r>
        <w:rPr>
          <w:rStyle w:val="VerbatimChar"/>
        </w:rPr>
        <w:t xml:space="preserve">Rxxx/Entwicklung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Rxxx/Abnahme</w:t>
      </w:r>
      <w:r>
        <w:t xml:space="preserve">.</w:t>
      </w:r>
    </w:p>
    <w:p>
      <w:pPr>
        <w:pStyle w:val="FirstParagraph"/>
      </w:pPr>
      <w:r>
        <w:t xml:space="preserve">Die Automation weist den Lauf zurück, wenn der Commit nicht aus dem gewählten</w:t>
      </w:r>
      <w:r>
        <w:t xml:space="preserve"> </w:t>
      </w:r>
      <w:r>
        <w:t xml:space="preserve">Branch erreichbar ist. Das Zielsystem kann nicht frei eingegeben werden; es</w:t>
      </w:r>
      <w:r>
        <w:t xml:space="preserve"> </w:t>
      </w:r>
      <w:r>
        <w:t xml:space="preserve">wird aus Branch und zentraler Konfiguration abgeleitet. Eine allgemeine</w:t>
      </w:r>
      <w:r>
        <w:t xml:space="preserve"> </w:t>
      </w:r>
      <w:r>
        <w:t xml:space="preserve">Erklärung zu Commits und SHAs steht unter „Begriffe und Namensregeln“.</w:t>
      </w:r>
    </w:p>
    <w:bookmarkEnd w:id="20"/>
    <w:bookmarkStart w:id="21" w:name="release-lauf-wiederholen"/>
    <w:p>
      <w:pPr>
        <w:pStyle w:val="Heading3"/>
      </w:pPr>
      <w:r>
        <w:t xml:space="preserve">Release-Lauf wiederholen</w:t>
      </w:r>
    </w:p>
    <w:p>
      <w:pPr>
        <w:pStyle w:val="FirstParagraph"/>
      </w:pPr>
      <w:r>
        <w:t xml:space="preserve">Unter</w:t>
      </w:r>
      <w:r>
        <w:t xml:space="preserve"> </w:t>
      </w:r>
      <w:r>
        <w:rPr>
          <w:b/>
          <w:bCs/>
        </w:rPr>
        <w:t xml:space="preserve">Actions → Build and publish release → Run workflow</w:t>
      </w:r>
      <w:r>
        <w:t xml:space="preserve"> </w:t>
      </w:r>
      <w:r>
        <w:t xml:space="preserve">den bereits</w:t>
      </w:r>
      <w:r>
        <w:t xml:space="preserve"> </w:t>
      </w:r>
      <w:r>
        <w:t xml:space="preserve">existierenden</w:t>
      </w:r>
      <w:r>
        <w:t xml:space="preserve"> </w:t>
      </w:r>
      <w:r>
        <w:rPr>
          <w:rStyle w:val="VerbatimChar"/>
        </w:rPr>
        <w:t xml:space="preserve">release_tag</w:t>
      </w:r>
      <w:r>
        <w:t xml:space="preserve"> </w:t>
      </w:r>
      <w:r>
        <w:t xml:space="preserve">angeben. Keinen neuen Tag nur für einen technischen</w:t>
      </w:r>
      <w:r>
        <w:t xml:space="preserve"> </w:t>
      </w:r>
      <w:r>
        <w:t xml:space="preserve">Wiederanlauf erzeugen. Die Automation löst den Tag erneut auf und prüft seine</w:t>
      </w:r>
      <w:r>
        <w:t xml:space="preserve"> </w:t>
      </w:r>
      <w:r>
        <w:t xml:space="preserve">Erreichbarkeit aus</w:t>
      </w:r>
      <w:r>
        <w:t xml:space="preserve"> </w:t>
      </w:r>
      <w:r>
        <w:rPr>
          <w:rStyle w:val="VerbatimChar"/>
        </w:rPr>
        <w:t xml:space="preserve">&lt;Releaselinie&gt;/Bereitstellung</w:t>
      </w:r>
      <w:r>
        <w:t xml:space="preserve">.</w:t>
      </w:r>
    </w:p>
    <w:p>
      <w:pPr>
        <w:pStyle w:val="BodyText"/>
      </w:pPr>
      <w:r>
        <w:t xml:space="preserve">Vor jedem Wiederanlauf klären, ob das Zielsystem die vorherige Übergabe bereits</w:t>
      </w:r>
      <w:r>
        <w:t xml:space="preserve"> </w:t>
      </w:r>
      <w:r>
        <w:t xml:space="preserve">angenommen hat. GitHub Actions kennt ohne Status-Polling keinen nachgelagerten</w:t>
      </w:r>
      <w:r>
        <w:t xml:space="preserve"> </w:t>
      </w:r>
      <w:r>
        <w:t xml:space="preserve">fachlichen Endstatus.</w:t>
      </w:r>
    </w:p>
    <w:bookmarkEnd w:id="21"/>
    <w:bookmarkEnd w:id="22"/>
    <w:bookmarkStart w:id="23" w:name="X6d01fabc662e962740fea5a84115f97afd0a07c"/>
    <w:p>
      <w:pPr>
        <w:pStyle w:val="Heading2"/>
      </w:pPr>
      <w:r>
        <w:t xml:space="preserve">9. Status und Fehlerbilder verstehen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 oder sichtbares Symptom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Nächste Prüfung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kann zentrale Datei am Null-SHA nicht laden</w:t>
            </w:r>
          </w:p>
        </w:tc>
        <w:tc>
          <w:tcPr/>
          <w:p>
            <w:pPr>
              <w:pStyle w:val="Compact"/>
            </w:pPr>
            <w:r>
              <w:t xml:space="preserve">Aktivierungssperre des Entwurfs</w:t>
            </w:r>
          </w:p>
        </w:tc>
        <w:tc>
          <w:tcPr/>
          <w:p>
            <w:pPr>
              <w:pStyle w:val="Compact"/>
            </w:pPr>
            <w:r>
              <w:t xml:space="preserve">Freigegebenen zentralen Commit erst nach den dokumentierten Abnahmen pinnen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</w:pPr>
            <w:r>
              <w:t xml:space="preserve">Input, Konfiguration, Schema, Branchrichtung, Vertrag oder JCL ungültig</w:t>
            </w:r>
          </w:p>
        </w:tc>
        <w:tc>
          <w:tcPr/>
          <w:p>
            <w:pPr>
              <w:pStyle w:val="Compact"/>
            </w:pPr>
            <w:r>
              <w:t xml:space="preserve">Erste Fehlermeldung lesen; Branch-/Tagformat und Freigabeschalter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SOURCE_FAILED</w:t>
            </w:r>
          </w:p>
        </w:tc>
        <w:tc>
          <w:tcPr/>
          <w:p>
            <w:pPr>
              <w:pStyle w:val="Compact"/>
            </w:pPr>
            <w:r>
              <w:t xml:space="preserve">Commit oder Tag/Basisreferenz nicht auflösbar</w:t>
            </w:r>
          </w:p>
        </w:tc>
        <w:tc>
          <w:tcPr/>
          <w:p>
            <w:pPr>
              <w:pStyle w:val="Compact"/>
            </w:pPr>
            <w:r>
              <w:t xml:space="preserve">SHA, Tag,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-Basis und Branch-Erreichbarkeit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PACKAGE_FAILED</w:t>
            </w:r>
          </w:p>
        </w:tc>
        <w:tc>
          <w:tcPr/>
          <w:p>
            <w:pPr>
              <w:pStyle w:val="Compact"/>
            </w:pPr>
            <w:r>
              <w:t xml:space="preserve">Paket, Informationsdatei oder Manifest konnte nicht sicher gebaut werden</w:t>
            </w:r>
          </w:p>
        </w:tc>
        <w:tc>
          <w:tcPr/>
          <w:p>
            <w:pPr>
              <w:pStyle w:val="Compact"/>
            </w:pPr>
            <w:r>
              <w:t xml:space="preserve">Fehlende Projektpfade, Symlinks, leeres/benutztes Ausgabeverzeichnis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RESOURCE_TRANSFER_FAILED</w:t>
            </w:r>
          </w:p>
        </w:tc>
        <w:tc>
          <w:tcPr/>
          <w:p>
            <w:pPr>
              <w:pStyle w:val="Compact"/>
            </w:pPr>
            <w:r>
              <w:t xml:space="preserve">Veröffentlichung nach serverSync/NFS fehlgeschlagen</w:t>
            </w:r>
          </w:p>
        </w:tc>
        <w:tc>
          <w:tcPr/>
          <w:p>
            <w:pPr>
              <w:pStyle w:val="Compact"/>
            </w:pPr>
            <w:r>
              <w:t xml:space="preserve">Mount, Rechte, Zielpfad und Runnerzugriff prüfen; Adapter wurde nicht aufgerufen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ADAPTER_FAILED</w:t>
            </w:r>
          </w:p>
        </w:tc>
        <w:tc>
          <w:tcPr/>
          <w:p>
            <w:pPr>
              <w:pStyle w:val="Compact"/>
            </w:pPr>
            <w:r>
              <w:t xml:space="preserve">Transportfehler oder Nicht-2xx vom Adapter</w:t>
            </w:r>
          </w:p>
        </w:tc>
        <w:tc>
          <w:tcPr/>
          <w:p>
            <w:pPr>
              <w:pStyle w:val="Compact"/>
            </w:pPr>
            <w:r>
              <w:t xml:space="preserve">HTTP-Status und bereinigten Response-Body im Log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ADAPTER_ACCEPTED</w:t>
            </w:r>
          </w:p>
        </w:tc>
        <w:tc>
          <w:tcPr/>
          <w:p>
            <w:pPr>
              <w:pStyle w:val="Compact"/>
            </w:pPr>
            <w:r>
              <w:t xml:space="preserve">Unmittelbare Adapterannahme erfolgreich</w:t>
            </w:r>
          </w:p>
        </w:tc>
        <w:tc>
          <w:tcPr/>
          <w:p>
            <w:pPr>
              <w:pStyle w:val="Compact"/>
            </w:pPr>
            <w:r>
              <w:t xml:space="preserve">Kein Beleg für einen nachgelagerten M/Text-Endstatus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ARTIFACT_READY</w:t>
            </w:r>
          </w:p>
        </w:tc>
        <w:tc>
          <w:tcPr/>
          <w:p>
            <w:pPr>
              <w:pStyle w:val="Compact"/>
            </w:pPr>
            <w:r>
              <w:t xml:space="preserve">Releaseartefakt lokal gebaut und geprüft</w:t>
            </w:r>
          </w:p>
        </w:tc>
        <w:tc>
          <w:tcPr/>
          <w:p>
            <w:pPr>
              <w:pStyle w:val="Compact"/>
            </w:pPr>
            <w:r>
              <w:t xml:space="preserve">Publish-Freigabe beziehungsweise nächsten Job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MAINFRAME_TRANSFER_FAILED</w:t>
            </w:r>
          </w:p>
        </w:tc>
        <w:tc>
          <w:tcPr/>
          <w:p>
            <w:pPr>
              <w:pStyle w:val="Compact"/>
            </w:pPr>
            <w:r>
              <w:t xml:space="preserve">FTP-Upload oder JES-Submit unmittelbar fehlgeschlagen</w:t>
            </w:r>
          </w:p>
        </w:tc>
        <w:tc>
          <w:tcPr/>
          <w:p>
            <w:pPr>
              <w:pStyle w:val="Compact"/>
            </w:pPr>
            <w:r>
              <w:t xml:space="preserve">Credentials, Dataset, JES-Ziel, Netzwerk und FTP-Antwort prüfen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MAINFRAME_SUBMITTED</w:t>
            </w:r>
          </w:p>
        </w:tc>
        <w:tc>
          <w:tcPr/>
          <w:p>
            <w:pPr>
              <w:pStyle w:val="Compact"/>
            </w:pPr>
            <w:r>
              <w:t xml:space="preserve">Unmittelbare FTP-/JES-Übergabe akzeptiert</w:t>
            </w:r>
          </w:p>
        </w:tc>
        <w:tc>
          <w:tcPr/>
          <w:p>
            <w:pPr>
              <w:pStyle w:val="Compact"/>
            </w:pPr>
            <w:r>
              <w:t xml:space="preserve">Mainframe-Endstatus separat nach bestehendem Betriebsverfahren prüfen</w:t>
            </w:r>
          </w:p>
        </w:tc>
      </w:tr>
    </w:tbl>
    <w:p>
      <w:pPr>
        <w:pStyle w:val="BodyText"/>
      </w:pPr>
      <w:r>
        <w:t xml:space="preserve">Logs dürfen keine Credentials enthalten. Zugangsdaten niemals in Pull</w:t>
      </w:r>
      <w:r>
        <w:t xml:space="preserve"> </w:t>
      </w:r>
      <w:r>
        <w:t xml:space="preserve">Requests, Konfigurationsdateien, Workflow-Inputs oder Support-Tickets kopieren.</w:t>
      </w:r>
    </w:p>
    <w:bookmarkEnd w:id="23"/>
    <w:bookmarkStart w:id="24" w:name="Xa1c36b3a63b1de69e8d4afdfa54a597b66236f6"/>
    <w:p>
      <w:pPr>
        <w:pStyle w:val="Heading2"/>
      </w:pPr>
      <w:r>
        <w:t xml:space="preserve">10. Was Benutzer nicht tun dürfen</w:t>
      </w:r>
    </w:p>
    <w:p>
      <w:pPr>
        <w:pStyle w:val="Compact"/>
        <w:numPr>
          <w:ilvl w:val="0"/>
          <w:numId w:val="1009"/>
        </w:numPr>
      </w:pPr>
      <w:r>
        <w:t xml:space="preserve">keine direkten Pushes auf Stufenbranches erzwingen oder Schutzregeln</w:t>
      </w:r>
      <w:r>
        <w:t xml:space="preserve"> </w:t>
      </w:r>
      <w:r>
        <w:t xml:space="preserve">umgehen;</w:t>
      </w:r>
    </w:p>
    <w:p>
      <w:pPr>
        <w:pStyle w:val="Compact"/>
        <w:numPr>
          <w:ilvl w:val="0"/>
          <w:numId w:val="1009"/>
        </w:numPr>
      </w:pPr>
      <w:r>
        <w:t xml:space="preserve">keinen Tag auf einen Commit außerhalb des zugehörigen</w:t>
      </w:r>
      <w:r>
        <w:t xml:space="preserve"> </w:t>
      </w:r>
      <w:r>
        <w:rPr>
          <w:rStyle w:val="VerbatimChar"/>
        </w:rPr>
        <w:t xml:space="preserve">Rnnn/Bereitstellung</w:t>
      </w:r>
      <w:r>
        <w:t xml:space="preserve">-Branches setzen;</w:t>
      </w:r>
    </w:p>
    <w:p>
      <w:pPr>
        <w:pStyle w:val="Compact"/>
        <w:numPr>
          <w:ilvl w:val="0"/>
          <w:numId w:val="1009"/>
        </w:numPr>
      </w:pPr>
      <w:r>
        <w:t xml:space="preserve">bestehende Release-Tags nicht verschieben oder ohne abgestimmtes</w:t>
      </w:r>
      <w:r>
        <w:t xml:space="preserve"> </w:t>
      </w:r>
      <w:r>
        <w:t xml:space="preserve">Korrekturverfahren löschen und neu anlegen;</w:t>
      </w:r>
    </w:p>
    <w:p>
      <w:pPr>
        <w:pStyle w:val="Compact"/>
        <w:numPr>
          <w:ilvl w:val="0"/>
          <w:numId w:val="1009"/>
        </w:numPr>
      </w:pPr>
      <w:r>
        <w:t xml:space="preserve">keine URLs, Mandanten oder Zielsysteme als freie Workflowwerte einschleusen;</w:t>
      </w:r>
    </w:p>
    <w:p>
      <w:pPr>
        <w:pStyle w:val="Compact"/>
        <w:numPr>
          <w:ilvl w:val="0"/>
          <w:numId w:val="1009"/>
        </w:numPr>
      </w:pPr>
      <w:r>
        <w:t xml:space="preserve">Null-SHA oder Vertragsschalter nicht zur Fehlerbehebung eigenmächtig</w:t>
      </w:r>
      <w:r>
        <w:t xml:space="preserve"> </w:t>
      </w:r>
      <w:r>
        <w:t xml:space="preserve">aktivieren;</w:t>
      </w:r>
    </w:p>
    <w:p>
      <w:pPr>
        <w:pStyle w:val="Compact"/>
        <w:numPr>
          <w:ilvl w:val="0"/>
          <w:numId w:val="1009"/>
        </w:numPr>
      </w:pPr>
      <w:r>
        <w:t xml:space="preserve">einen grünen Adapter- oder Mainframe-Übergabestatus nicht als fachlichen</w:t>
      </w:r>
      <w:r>
        <w:t xml:space="preserve"> </w:t>
      </w:r>
      <w:r>
        <w:t xml:space="preserve">Endstatus ausgeben;</w:t>
      </w:r>
    </w:p>
    <w:p>
      <w:pPr>
        <w:pStyle w:val="Compact"/>
        <w:numPr>
          <w:ilvl w:val="0"/>
          <w:numId w:val="1009"/>
        </w:numPr>
      </w:pPr>
      <w:r>
        <w:t xml:space="preserve">keine Änderungen mehr im alten Jenkins-/SVN-Prozess vornehmen, sobald der</w:t>
      </w:r>
      <w:r>
        <w:t xml:space="preserve"> </w:t>
      </w:r>
      <w:r>
        <w:t xml:space="preserve">produktive harte Cut erfolgt ist.</w:t>
      </w:r>
    </w:p>
    <w:bookmarkEnd w:id="24"/>
    <w:bookmarkStart w:id="25" w:name="Xdbe22807b2555cf0a6aeea1d1aac0f2d7b9397d"/>
    <w:p>
      <w:pPr>
        <w:pStyle w:val="Heading2"/>
      </w:pPr>
      <w:r>
        <w:t xml:space="preserve">11. Kurze Checkliste vor einem Release</w:t>
      </w:r>
    </w:p>
    <w:p>
      <w:pPr>
        <w:pStyle w:val="Compact"/>
        <w:numPr>
          <w:ilvl w:val="0"/>
          <w:numId w:val="1010"/>
        </w:numPr>
      </w:pPr>
      <w:r>
        <w:t xml:space="preserve">richtiger Mandant und richtige Releaselinie;</w:t>
      </w:r>
    </w:p>
    <w:p>
      <w:pPr>
        <w:pStyle w:val="Compact"/>
        <w:numPr>
          <w:ilvl w:val="0"/>
          <w:numId w:val="1010"/>
        </w:numPr>
      </w:pPr>
      <w:r>
        <w:t xml:space="preserve">gewünschte Commits fachlich in Abnahme bestätigt;</w:t>
      </w:r>
    </w:p>
    <w:p>
      <w:pPr>
        <w:pStyle w:val="Compact"/>
        <w:numPr>
          <w:ilvl w:val="0"/>
          <w:numId w:val="1010"/>
        </w:numPr>
      </w:pPr>
      <w:r>
        <w:t xml:space="preserve">Auswahlbranch vom aktuellen Bereitstellungsstand erstellt;</w:t>
      </w:r>
    </w:p>
    <w:p>
      <w:pPr>
        <w:pStyle w:val="Compact"/>
        <w:numPr>
          <w:ilvl w:val="0"/>
          <w:numId w:val="1010"/>
        </w:numPr>
      </w:pPr>
      <w:r>
        <w:t xml:space="preserve">Pull Request nach Bereitstellung erfolgreich validiert und gemergt;</w:t>
      </w:r>
    </w:p>
    <w:p>
      <w:pPr>
        <w:pStyle w:val="Compact"/>
        <w:numPr>
          <w:ilvl w:val="0"/>
          <w:numId w:val="1010"/>
        </w:numPr>
      </w:pPr>
      <w:r>
        <w:t xml:space="preserve">Ziel-Commit notiert und Tag noch nicht vorhanden;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.100</w:t>
      </w:r>
      <w:r>
        <w:t xml:space="preserve"> </w:t>
      </w:r>
      <w:r>
        <w:t xml:space="preserve">vorhanden, wenn ein DELTA erzeugt werden soll;</w:t>
      </w:r>
    </w:p>
    <w:p>
      <w:pPr>
        <w:pStyle w:val="Compact"/>
        <w:numPr>
          <w:ilvl w:val="0"/>
          <w:numId w:val="1010"/>
        </w:numPr>
      </w:pPr>
      <w:r>
        <w:t xml:space="preserve">Build-Artefakt und Manifest erfolgreich;</w:t>
      </w:r>
    </w:p>
    <w:p>
      <w:pPr>
        <w:pStyle w:val="Compact"/>
        <w:numPr>
          <w:ilvl w:val="0"/>
          <w:numId w:val="1010"/>
        </w:numPr>
      </w:pPr>
      <w:r>
        <w:t xml:space="preserve">manuelle Mainframe-Freigabe durch berechtigte Person;</w:t>
      </w:r>
    </w:p>
    <w:p>
      <w:pPr>
        <w:pStyle w:val="Compact"/>
        <w:numPr>
          <w:ilvl w:val="0"/>
          <w:numId w:val="1010"/>
        </w:numPr>
      </w:pPr>
      <w:r>
        <w:t xml:space="preserve">unmittelbare Übergabe und nachgelagerter fachlicher Status getrennt</w:t>
      </w:r>
      <w:r>
        <w:t xml:space="preserve"> </w:t>
      </w:r>
      <w:r>
        <w:t xml:space="preserve">dokumentiert.</w:t>
      </w:r>
    </w:p>
    <w:p>
      <w:pPr>
        <w:pStyle w:val="FirstParagraph"/>
      </w:pPr>
      <w:r>
        <w:t xml:space="preserve">Technische Einrichtung, Aktivierung und Cutover sind keine Benutzeraktionen.</w:t>
      </w:r>
      <w:r>
        <w:t xml:space="preserve"> </w:t>
      </w:r>
      <w:r>
        <w:t xml:space="preserve">Sie folgen der Seite</w:t>
      </w:r>
      <w:r>
        <w:t xml:space="preserve"> </w:t>
      </w:r>
      <w:hyperlink r:id="rId11">
        <w:r>
          <w:rPr>
            <w:rStyle w:val="Hyperlink"/>
          </w:rPr>
          <w:t xml:space="preserve">Nächste Schritte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1" Target="./Naechste_Schritte.md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Architektur_Soll_GitHub_Actions_Git.drawio" TargetMode="External" /><Relationship Type="http://schemas.openxmlformats.org/officeDocument/2006/relationships/hyperlink" Id="rId11" Target="./Naechste_Schritte.md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2026-07-16T14:08:07Z</dcterms:created>
  <dcterms:modified xsi:type="dcterms:W3CDTF">2026-07-16T14:08:07Z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