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ächste-schritte"/>
    <w:p>
      <w:pPr>
        <w:pStyle w:val="Heading1"/>
      </w:pPr>
      <w:r>
        <w:t xml:space="preserve">Nächste Schritte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16. Juli 2026</w:t>
      </w:r>
      <w:r>
        <w:t xml:space="preserve"> </w:t>
      </w:r>
      <w:r>
        <w:rPr>
          <w:b/>
          <w:bCs/>
        </w:rPr>
        <w:t xml:space="preserve">Zweck:</w:t>
      </w:r>
      <w:r>
        <w:t xml:space="preserve"> </w:t>
      </w:r>
      <w:r>
        <w:t xml:space="preserve">Operative Restarbeiten bis zur nichtproduktiven Abnahme und zum späteren Cutover</w:t>
      </w:r>
      <w:r>
        <w:t xml:space="preserve"> </w:t>
      </w: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</w:p>
    <w:p>
      <w:pPr>
        <w:pStyle w:val="BodyText"/>
      </w:pPr>
      <w:r>
        <w:rPr>
          <w:b/>
          <w:bCs/>
        </w:rPr>
        <w:t xml:space="preserve">Bedienung nach Aktivierung: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</w:p>
    <w:p>
      <w:pPr>
        <w:pStyle w:val="BodyText"/>
      </w:pPr>
      <w:r>
        <w:rPr>
          <w:b/>
          <w:bCs/>
        </w:rPr>
        <w:t xml:space="preserve">Ablauf:</w:t>
      </w:r>
      <w:r>
        <w:t xml:space="preserve"> </w:t>
      </w:r>
      <w:hyperlink r:id="rId11">
        <w:r>
          <w:rPr>
            <w:rStyle w:val="Hyperlink"/>
          </w:rPr>
          <w:t xml:space="preserve">Soll-Grafik</w:t>
        </w:r>
      </w:hyperlink>
    </w:p>
    <w:p>
      <w:pPr>
        <w:pStyle w:val="BodyText"/>
      </w:pPr>
      <w:r>
        <w:t xml:space="preserve">Diese Seite enthält nur noch Tätigkeiten, die nach dem lokalen</w:t>
      </w:r>
      <w:r>
        <w:t xml:space="preserve"> </w:t>
      </w:r>
      <w:r>
        <w:t xml:space="preserve">Implementierungsstand manuell oder durch konkrete Konfiguration auszuführen</w:t>
      </w:r>
      <w:r>
        <w:t xml:space="preserve"> </w:t>
      </w:r>
      <w:r>
        <w:t xml:space="preserve">sind. Architekturbegründungen stehen im Zielbild. Noch unbekannte Werte werden</w:t>
      </w:r>
      <w:r>
        <w:t xml:space="preserve"> </w:t>
      </w:r>
      <w:r>
        <w:t xml:space="preserve">offen ausgewiesen und vor dem jeweiligen Integrationslauf geklärt.</w:t>
      </w:r>
    </w:p>
    <w:bookmarkStart w:id="12" w:name="X9bd4537786c0ef9817f719f065faef24d33e3da"/>
    <w:p>
      <w:pPr>
        <w:pStyle w:val="Heading2"/>
      </w:pPr>
      <w:r>
        <w:t xml:space="preserve">1. GitHub-Repositories erstmals einrichten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Zentrales 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j520730/mtext-actions</w:t>
            </w:r>
          </w:p>
        </w:tc>
        <w:tc>
          <w:tcPr/>
          <w:p>
            <w:pPr>
              <w:pStyle w:val="Compact"/>
            </w:pPr>
            <w:r>
              <w:t xml:space="preserve">Standardbranch und Freigabeprozess für die zentrale Automatisierung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FI-Repository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Ressourcen,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  <w:r>
              <w:t xml:space="preserve"> </w:t>
            </w:r>
            <w:r>
              <w:t xml:space="preserve">und dünne Workflows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Aktive Stufenbranches anlegen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Je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Aktuellen Default Branch setzen</w:t>
            </w:r>
          </w:p>
        </w:tc>
        <w:tc>
          <w:tcPr/>
          <w:p>
            <w:pPr>
              <w:pStyle w:val="Compact"/>
            </w:pPr>
            <w:r>
              <w:t xml:space="preserve">Repository Settings → Default branch</w:t>
            </w:r>
          </w:p>
        </w:tc>
        <w:tc>
          <w:tcPr/>
          <w:p>
            <w:pPr>
              <w:pStyle w:val="Compact"/>
            </w:pPr>
            <w:r>
              <w:t xml:space="preserve">Zunächst</w:t>
            </w:r>
            <w:r>
              <w:t xml:space="preserve"> </w:t>
            </w:r>
            <w:r>
              <w:rPr>
                <w:rStyle w:val="VerbatimChar"/>
              </w:rPr>
              <w:t xml:space="preserve">R261/Entwicklung</w:t>
            </w:r>
            <w:r>
              <w:t xml:space="preserve">; beim rollierenden Linienwechsel manuell umstellen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Workflowversion pinnen</w:t>
            </w:r>
          </w:p>
        </w:tc>
        <w:tc>
          <w:tcPr/>
          <w:p>
            <w:pPr>
              <w:pStyle w:val="Compact"/>
            </w:pPr>
            <w:r>
              <w:t xml:space="preserve">Beide Dateien unter</w:t>
            </w:r>
            <w:r>
              <w:t xml:space="preserve"> </w:t>
            </w:r>
            <w:r>
              <w:rPr>
                <w:rStyle w:val="VerbatimChar"/>
              </w:rPr>
              <w:t xml:space="preserve">mtext-fi/.github/workflows/</w:t>
            </w:r>
            <w:r>
              <w:t xml:space="preserve"> </w:t>
            </w:r>
            <w:r>
              <w:t xml:space="preserve">in jeder aktiven Linie</w:t>
            </w:r>
          </w:p>
        </w:tc>
        <w:tc>
          <w:tcPr/>
          <w:p>
            <w:pPr>
              <w:pStyle w:val="Compact"/>
            </w:pPr>
            <w:r>
              <w:t xml:space="preserve">Null-SHA durch denselben freigegebenen 40-stelligen Commit-SHA aus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Repositoryübergreifenden Actions-Zugriff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j520730/mtext-actions</w:t>
            </w:r>
            <w:r>
              <w:t xml:space="preserve"> </w:t>
            </w:r>
            <w:r>
              <w:t xml:space="preserve">→ Settings → Actions → General → Access</w:t>
            </w:r>
          </w:p>
        </w:tc>
        <w:tc>
          <w:tcPr/>
          <w:p>
            <w:pPr>
              <w:pStyle w:val="Compact"/>
            </w:pPr>
            <w:r>
              <w:t xml:space="preserve">Nutzung durch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  <w:r>
              <w:t xml:space="preserve"> </w:t>
            </w:r>
            <w:r>
              <w:t xml:space="preserve">und spätere Mandanten-Repositories erlauben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Zentralen Code-Checkout praktisch prüfen</w:t>
            </w:r>
          </w:p>
        </w:tc>
        <w:tc>
          <w:tcPr/>
          <w:p>
            <w:pPr>
              <w:pStyle w:val="Compact"/>
            </w:pPr>
            <w:r>
              <w:t xml:space="preserve">Nichtproduktiver Sync- oder Release-Lauf</w:t>
            </w:r>
          </w:p>
        </w:tc>
        <w:tc>
          <w:tcPr/>
          <w:p>
            <w:pPr>
              <w:pStyle w:val="Compact"/>
            </w:pPr>
            <w:r>
              <w:t xml:space="preserve">Prüfen, ob die Enterprise-Freigabe den Checkout über beide Namespaces ermöglicht; andernfalls kurzlebigen GitHub-App-/Installation-Token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GitHub-Plattform festhalten</w:t>
            </w:r>
          </w:p>
        </w:tc>
        <w:tc>
          <w:tcPr/>
          <w:p>
            <w:pPr>
              <w:pStyle w:val="Compact"/>
            </w:pPr>
            <w:r>
              <w:t xml:space="preserve">Betriebsdokumentation</w:t>
            </w:r>
          </w:p>
        </w:tc>
        <w:tc>
          <w:tcPr/>
          <w:p>
            <w:pPr>
              <w:pStyle w:val="Compact"/>
            </w:pPr>
            <w:r>
              <w:t xml:space="preserve">GitHub Enterprise Server 3.20.4</w:t>
            </w:r>
          </w:p>
        </w:tc>
      </w:tr>
    </w:tbl>
    <w:bookmarkEnd w:id="12"/>
    <w:bookmarkStart w:id="13" w:name="Xea7ae2bf0e6a3795cf711749914df0f9d154fc8"/>
    <w:p>
      <w:pPr>
        <w:pStyle w:val="Heading2"/>
      </w:pPr>
      <w:r>
        <w:t xml:space="preserve">2. Branch- und Environment-Regeln konfigurieren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Direkte Pushes auf den Stufenbranches zulassen</w:t>
            </w:r>
          </w:p>
        </w:tc>
        <w:tc>
          <w:tcPr/>
          <w:p>
            <w:pPr>
              <w:pStyle w:val="Compact"/>
            </w:pPr>
            <w:r>
              <w:t xml:space="preserve">GitHub Rulesets für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</w:p>
        </w:tc>
        <w:tc>
          <w:tcPr/>
          <w:p>
            <w:pPr>
              <w:pStyle w:val="Compact"/>
            </w:pPr>
            <w:r>
              <w:t xml:space="preserve">Force-Pushes und Löschen weiterhin verbieten; ein Push nach Bereitstellung löst keine Lieferung aus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GitHub Environment anlegen</w:t>
            </w:r>
          </w:p>
        </w:tc>
        <w:tc>
          <w:tcPr/>
          <w:p>
            <w:pPr>
              <w:pStyle w:val="Compact"/>
            </w:pPr>
            <w:r>
              <w:t xml:space="preserve">Repository Settings → Environments</w:t>
            </w:r>
          </w:p>
        </w:tc>
        <w:tc>
          <w:tcPr/>
          <w:p>
            <w:pPr>
              <w:pStyle w:val="Compact"/>
            </w:pPr>
            <w:r>
              <w:t xml:space="preserve">Gemeinsame Environments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Environment-Regeln setzen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Keine zusätzliche Freigabe für Entwicklung und Abnahme; manuelle Freigabe vor Mainframe-Übergabe in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Zulässige Deploymentbranches eintragen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Je Environment nur die passenden Branches der drei aktiven Linien erlauben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entschieden</w:t>
            </w:r>
          </w:p>
        </w:tc>
        <w:tc>
          <w:tcPr/>
          <w:p>
            <w:pPr>
              <w:pStyle w:val="Compact"/>
            </w:pPr>
            <w:r>
              <w:t xml:space="preserve">Tagschutz</w:t>
            </w:r>
          </w:p>
        </w:tc>
        <w:tc>
          <w:tcPr/>
          <w:p>
            <w:pPr>
              <w:pStyle w:val="Compact"/>
            </w:pPr>
            <w:r>
              <w:t xml:space="preserve">Repository Rulesets</w:t>
            </w:r>
          </w:p>
        </w:tc>
        <w:tc>
          <w:tcPr/>
          <w:p>
            <w:pPr>
              <w:pStyle w:val="Compact"/>
            </w:pPr>
            <w:r>
              <w:t xml:space="preserve">Zunächst keine zusätzliche Einschränkung; ein Benutzer setzt</w:t>
            </w:r>
            <w:r>
              <w:t xml:space="preserve"> </w:t>
            </w:r>
            <w:r>
              <w:rPr>
                <w:rStyle w:val="VerbatimChar"/>
              </w:rPr>
              <w:t xml:space="preserve">Rnnn.nnn</w:t>
            </w:r>
            <w:r>
              <w:t xml:space="preserve"> </w:t>
            </w:r>
            <w:r>
              <w:t xml:space="preserve">manuell</w:t>
            </w:r>
          </w:p>
        </w:tc>
      </w:tr>
    </w:tbl>
    <w:bookmarkEnd w:id="13"/>
    <w:bookmarkStart w:id="14" w:name="Xcc8653b865780bfdc18c7b7c1c97ca57b78448b"/>
    <w:p>
      <w:pPr>
        <w:pStyle w:val="Heading2"/>
      </w:pPr>
      <w:r>
        <w:t xml:space="preserve">3. Runner und Abhängigkeiten bereitstellen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Self-hosted Runner bereitstellen</w:t>
            </w:r>
          </w:p>
        </w:tc>
        <w:tc>
          <w:tcPr/>
          <w:p>
            <w:pPr>
              <w:pStyle w:val="Compact"/>
            </w:pPr>
            <w:r>
              <w:t xml:space="preserve">GitHub-Enterprise-Runnerverwaltung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  <w:r>
              <w:t xml:space="preserve"> </w:t>
            </w:r>
            <w:r>
              <w:rPr>
                <w:rStyle w:val="VerbatimChar"/>
              </w:rPr>
              <w:t xml:space="preserve">self-hosted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mtext-delivery</w:t>
            </w:r>
            <w:r>
              <w:t xml:space="preserve"> </w:t>
            </w:r>
            <w:r>
              <w:t xml:space="preserve">bestätigen und zuweisen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Python und Git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Python 3.14 und Git müssen verfügbar sein;</w:t>
            </w:r>
            <w:r>
              <w:t xml:space="preserve"> </w:t>
            </w:r>
            <w:r>
              <w:rPr>
                <w:rStyle w:val="VerbatimChar"/>
              </w:rPr>
              <w:t xml:space="preserve">scripts/runner-preflight.sh</w:t>
            </w:r>
            <w:r>
              <w:t xml:space="preserve"> </w:t>
            </w:r>
            <w:r>
              <w:t xml:space="preserve">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GHES-Artefakt-Actions prüfen</w:t>
            </w:r>
          </w:p>
        </w:tc>
        <w:tc>
          <w:tcPr/>
          <w:p>
            <w:pPr>
              <w:pStyle w:val="Compact"/>
            </w:pPr>
            <w:r>
              <w:t xml:space="preserve">GHES-Organisation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 </w:t>
            </w:r>
            <w:r>
              <w:t xml:space="preserve">und nichtproduktiver Release-Lauf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upload-artifact</w:t>
            </w:r>
            <w:r>
              <w:t xml:space="preserve"> </w:t>
            </w:r>
            <w:r>
              <w:t xml:space="preserve">v3.2.2-node20 (</w:t>
            </w:r>
            <w:r>
              <w:rPr>
                <w:rStyle w:val="VerbatimChar"/>
              </w:rPr>
              <w:t xml:space="preserve">c6a3b2bd78b3985e4b2f15397fec357f0fd808de</w:t>
            </w:r>
            <w:r>
              <w:t xml:space="preserve">) und</w:t>
            </w:r>
            <w:r>
              <w:t xml:space="preserve"> </w:t>
            </w:r>
            <w:r>
              <w:rPr>
                <w:rStyle w:val="VerbatimChar"/>
              </w:rPr>
              <w:t xml:space="preserve">download-artifact</w:t>
            </w:r>
            <w:r>
              <w:t xml:space="preserve"> </w:t>
            </w:r>
            <w:r>
              <w:t xml:space="preserve">v3.1.0-node20 (</w:t>
            </w:r>
            <w:r>
              <w:rPr>
                <w:rStyle w:val="VerbatimChar"/>
              </w:rPr>
              <w:t xml:space="preserve">ad191675b41f6a5b46da9a048cb6893812da158b</w:t>
            </w:r>
            <w:r>
              <w:t xml:space="preserve">) müssen auf GHES 3.20.4 verfügbar sein; v4 ist nicht zu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Action-Runtime des Runners prüfen</w:t>
            </w:r>
          </w:p>
        </w:tc>
        <w:tc>
          <w:tcPr/>
          <w:p>
            <w:pPr>
              <w:pStyle w:val="Compact"/>
            </w:pPr>
            <w:r>
              <w:t xml:space="preserve">Vorgesehener 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von Node-20-Actions mit den fest gepinnten Artefakt-SHAs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Internes Wheelhouse bereitstellen</w:t>
            </w:r>
          </w:p>
        </w:tc>
        <w:tc>
          <w:tcPr/>
          <w:p>
            <w:pPr>
              <w:pStyle w:val="Compact"/>
            </w:pPr>
            <w:r>
              <w:t xml:space="preserve">Runner und Repository-/Organisationsvariable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LBS_WHEELHOUSE</w:t>
            </w:r>
            <w:r>
              <w:t xml:space="preserve"> </w:t>
            </w:r>
            <w:r>
              <w:t xml:space="preserve">auf freigegebenen lokalen Pfad setzen; Installation bleibt</w:t>
            </w:r>
            <w:r>
              <w:t xml:space="preserve"> </w:t>
            </w:r>
            <w:r>
              <w:rPr>
                <w:rStyle w:val="VerbatimChar"/>
              </w:rPr>
              <w:t xml:space="preserve">--no-index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 CA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TLS-Aufruf gegen</w:t>
            </w:r>
            <w:r>
              <w:t xml:space="preserve"> </w:t>
            </w:r>
            <w:r>
              <w:rPr>
                <w:rStyle w:val="VerbatimChar"/>
              </w:rPr>
              <w:t xml:space="preserve">https://en01e.ltoma.intern/vMtextAdapter/sync</w:t>
            </w:r>
            <w:r>
              <w:t xml:space="preserve"> </w:t>
            </w:r>
            <w:r>
              <w:t xml:space="preserve">testen; fehlende CA in den Truststore aufnehmen, TLS-Prüfung nicht deaktivieren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Netzwerkpfade freigeben</w:t>
            </w:r>
          </w:p>
        </w:tc>
        <w:tc>
          <w:tcPr/>
          <w:p>
            <w:pPr>
              <w:pStyle w:val="Compact"/>
            </w:pPr>
            <w:r>
              <w:t xml:space="preserve">Runner/Netzwerk</w:t>
            </w:r>
          </w:p>
        </w:tc>
        <w:tc>
          <w:tcPr/>
          <w:p>
            <w:pPr>
              <w:pStyle w:val="Compact"/>
            </w:pPr>
            <w:r>
              <w:t xml:space="preserve">Zugriff auf serverSync-Share,</w:t>
            </w:r>
            <w:r>
              <w:t xml:space="preserve"> </w:t>
            </w:r>
            <w:r>
              <w:rPr>
                <w:rStyle w:val="VerbatimChar"/>
              </w:rPr>
              <w:t xml:space="preserve">*.ltoma.intern</w:t>
            </w:r>
            <w:r>
              <w:t xml:space="preserve">, Mainframe-FTP und JES ermöglichen</w:t>
            </w:r>
          </w:p>
        </w:tc>
      </w:tr>
    </w:tbl>
    <w:bookmarkEnd w:id="14"/>
    <w:bookmarkStart w:id="15" w:name="X15f2a691930aadd3a76210346a9f8b005c4ecba"/>
    <w:p>
      <w:pPr>
        <w:pStyle w:val="Heading2"/>
      </w:pPr>
      <w:r>
        <w:t xml:space="preserve">4. M/Text-Konfiguration vervollständigen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Linien- und URL-Mapping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R261→en01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R270→en02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R260→en03</w:t>
            </w:r>
            <w:r>
              <w:t xml:space="preserve">; Hosts jeweils</w:t>
            </w:r>
            <w:r>
              <w:t xml:space="preserve"> </w:t>
            </w:r>
            <w:r>
              <w:rPr>
                <w:rStyle w:val="VerbatimChar"/>
              </w:rPr>
              <w:t xml:space="preserve">enXXe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enXXa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Adaptervertrag</w:t>
            </w:r>
          </w:p>
        </w:tc>
        <w:tc>
          <w:tcPr/>
          <w:p>
            <w:pPr>
              <w:pStyle w:val="Compact"/>
            </w:pPr>
            <w:r>
              <w:t xml:space="preserve">Dieselbe Datei</w:t>
            </w:r>
          </w:p>
        </w:tc>
        <w:tc>
          <w:tcPr/>
          <w:p>
            <w:pPr>
              <w:pStyle w:val="Compact"/>
            </w:pPr>
            <w:r>
              <w:t xml:space="preserve">POST auf</w:t>
            </w:r>
            <w:r>
              <w:t xml:space="preserve"> </w:t>
            </w:r>
            <w:r>
              <w:rPr>
                <w:rStyle w:val="VerbatimChar"/>
              </w:rPr>
              <w:t xml:space="preserve">/vMtextAdapter/sync</w:t>
            </w:r>
            <w:r>
              <w:t xml:space="preserve">, Payload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/</w:t>
            </w:r>
            <w:r>
              <w:rPr>
                <w:rStyle w:val="VerbatimChar"/>
              </w:rPr>
              <w:t xml:space="preserve">INR</w:t>
            </w:r>
            <w:r>
              <w:t xml:space="preserve">, kein Auth-Header, jeder 2xx-Status erfolgreich, kein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serverSync-Sharepfad bestätigen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adapter.server_sync_path_template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t xml:space="preserve">Vorläufiges Template durch den tatsächlich gemounteten Pfad bestätigen oder 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Nichtproduktiven Synchronisationslauf durchführen</w:t>
            </w:r>
          </w:p>
        </w:tc>
        <w:tc>
          <w:tcPr/>
          <w:p>
            <w:pPr>
              <w:pStyle w:val="Compact"/>
            </w:pPr>
            <w:r>
              <w:t xml:space="preserve">Freigegebener Runner und nichtproduktive Ziele</w:t>
            </w:r>
          </w:p>
        </w:tc>
        <w:tc>
          <w:tcPr/>
          <w:p>
            <w:pPr>
              <w:pStyle w:val="Compact"/>
            </w:pPr>
            <w:r>
              <w:t xml:space="preserve">Vollständigen Projektstand bereitstellen, Adapterantwort und Wiederanlauf prüfen</w:t>
            </w:r>
          </w:p>
        </w:tc>
      </w:tr>
    </w:tbl>
    <w:bookmarkEnd w:id="15"/>
    <w:bookmarkStart w:id="16" w:name="Xd75f1ce8aca86079cb74baf4d871d5abc28dfb2"/>
    <w:p>
      <w:pPr>
        <w:pStyle w:val="Heading2"/>
      </w:pPr>
      <w:r>
        <w:t xml:space="preserve">5. Mainframe-Übergabe einrichten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FTP-Secrets hinterlegen</w:t>
            </w:r>
          </w:p>
        </w:tc>
        <w:tc>
          <w:tcPr/>
          <w:p>
            <w:pPr>
              <w:pStyle w:val="Compact"/>
            </w:pPr>
            <w:r>
              <w:t xml:space="preserve">GitHub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MAINFRAME_FTP_HOST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Mainframe-Variablen hinterlegen</w:t>
            </w:r>
          </w:p>
        </w:tc>
        <w:tc>
          <w:tcPr/>
          <w:p>
            <w:pPr>
              <w:pStyle w:val="Compact"/>
            </w:pPr>
            <w:r>
              <w:t xml:space="preserve">Repository-/Environment-Variablen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MAINFRAME_DATASET=IEA.LOMS.TONICZ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MAINFRAME_JES_TARGET=LIT9028A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MAINFRAME_FTP_TIMEOUT=60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JCL und unmittelbare Übergabe nichtproduktiv prüfen</w:t>
            </w:r>
          </w:p>
        </w:tc>
        <w:tc>
          <w:tcPr/>
          <w:p>
            <w:pPr>
              <w:pStyle w:val="Compact"/>
            </w:pPr>
            <w:r>
              <w:t xml:space="preserve">Freigegebener Mainframe-Testweg</w:t>
            </w:r>
          </w:p>
        </w:tc>
        <w:tc>
          <w:tcPr/>
          <w:p>
            <w:pPr>
              <w:pStyle w:val="Compact"/>
            </w:pPr>
            <w:r>
              <w:t xml:space="preserve">FTP-Antworten,</w:t>
            </w:r>
            <w:r>
              <w:t xml:space="preserve"> </w:t>
            </w:r>
            <w:r>
              <w:rPr>
                <w:rStyle w:val="VerbatimChar"/>
              </w:rPr>
              <w:t xml:space="preserve">SITE FILETYPE=JES</w:t>
            </w:r>
            <w:r>
              <w:t xml:space="preserve">, Submit und gerendertes JCL abnehmen</w:t>
            </w:r>
          </w:p>
        </w:tc>
      </w:tr>
    </w:tbl>
    <w:p>
      <w:pPr>
        <w:pStyle w:val="BodyText"/>
      </w:pPr>
      <w:r>
        <w:t xml:space="preserve">Die Mainframe-Übergabe 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manuelle</w:t>
      </w:r>
      <w:r>
        <w:t xml:space="preserve"> </w:t>
      </w:r>
      <w:r>
        <w:t xml:space="preserve">Freigabe. Actions-Artefakte bleiben 30 Tage erhalten. Build und Publish sind</w:t>
      </w:r>
      <w:r>
        <w:t xml:space="preserve"> </w:t>
      </w:r>
      <w:r>
        <w:t xml:space="preserve">getrennte Jobs desselben Release-Workflows; vor der Übergabe werden Manifest</w:t>
      </w:r>
      <w:r>
        <w:t xml:space="preserve"> </w:t>
      </w:r>
      <w:r>
        <w:t xml:space="preserve">und Prüfsummen erneut geprüft. Übergaben werden je Mandanten-Repository</w:t>
      </w:r>
      <w:r>
        <w:t xml:space="preserve"> </w:t>
      </w:r>
      <w:r>
        <w:t xml:space="preserve">standardmäßig serialisiert; in</w:t>
      </w:r>
      <w:r>
        <w:t xml:space="preserve"> </w:t>
      </w:r>
      <w:r>
        <w:rPr>
          <w:rStyle w:val="VerbatimChar"/>
        </w:rPr>
        <w:t xml:space="preserve">mtext-fi/.github/workflows/release.yml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serialize_publication</w:t>
      </w:r>
      <w:r>
        <w:t xml:space="preserve"> </w:t>
      </w:r>
      <w:r>
        <w:t xml:space="preserve">bei nachgewiesener Verträglichkeit auf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gesetzt</w:t>
      </w:r>
      <w:r>
        <w:t xml:space="preserve"> </w:t>
      </w:r>
      <w:r>
        <w:t xml:space="preserve">werden. Unterschiedliche Mandanten dürfen parallel laufen.</w:t>
      </w:r>
    </w:p>
    <w:p>
      <w:pPr>
        <w:pStyle w:val="BodyText"/>
      </w:pPr>
      <w:r>
        <w:t xml:space="preserve">Mit der bestätigten Übergabe an IZE9 endet der in GitHub Actions abgebildete</w:t>
      </w:r>
      <w:r>
        <w:t xml:space="preserve"> </w:t>
      </w:r>
      <w:r>
        <w:t xml:space="preserve">Lieferprozess. Der weitere, deutlich umfangreichere Weg bis Produktion wird</w:t>
      </w:r>
      <w:r>
        <w:t xml:space="preserve"> </w:t>
      </w:r>
      <w:r>
        <w:t xml:space="preserve">außerhalb dieser Automation nach dem bestehenden Betriebsverfahren gesteuert.</w:t>
      </w:r>
    </w:p>
    <w:bookmarkEnd w:id="16"/>
    <w:bookmarkStart w:id="17" w:name="X3fee065df78d7ac21a03fceab17ad5d45e14717"/>
    <w:p>
      <w:pPr>
        <w:pStyle w:val="Heading2"/>
      </w:pPr>
      <w:r>
        <w:t xml:space="preserve">6. SVN-zu-Git-Migration vorbereiten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Import-Allowlist erstellen</w:t>
            </w:r>
          </w:p>
        </w:tc>
        <w:tc>
          <w:tcPr/>
          <w:p>
            <w:pPr>
              <w:pStyle w:val="Compact"/>
            </w:pPr>
            <w:r>
              <w:t xml:space="preserve">Migrationskonfiguration je SVN-Repository</w:t>
            </w:r>
          </w:p>
        </w:tc>
        <w:tc>
          <w:tcPr/>
          <w:p>
            <w:pPr>
              <w:pStyle w:val="Compact"/>
            </w:pPr>
            <w:r>
              <w:t xml:space="preserve">Aktive Linien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 </w:t>
            </w:r>
            <w:r>
              <w:t xml:space="preserve">und die drei fachlichen Stufen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erforderlich</w:t>
            </w:r>
          </w:p>
        </w:tc>
        <w:tc>
          <w:tcPr/>
          <w:p>
            <w:pPr>
              <w:pStyle w:val="Compact"/>
            </w:pPr>
            <w:r>
              <w:t xml:space="preserve">Releasebasis importieren</w:t>
            </w:r>
          </w:p>
        </w:tc>
        <w:tc>
          <w:tcPr/>
          <w:p>
            <w:pPr>
              <w:pStyle w:val="Compact"/>
            </w:pPr>
            <w:r>
              <w:t xml:space="preserve">Git-Tags je Mandanten-Repository</w:t>
            </w:r>
          </w:p>
        </w:tc>
        <w:tc>
          <w:tcPr/>
          <w:p>
            <w:pPr>
              <w:pStyle w:val="Compact"/>
            </w:pPr>
            <w:r>
              <w:t xml:space="preserve">Je aktiver Linie mindestens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 </w:t>
            </w:r>
            <w:r>
              <w:t xml:space="preserve">und alle danach entstandenen Tags importieren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SVN-Pfade auf Git abbilden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branches/Entwicklung/R260.100_MText/&lt;Projekt&gt;</w:t>
            </w:r>
            <w:r>
              <w:t xml:space="preserve"> </w:t>
            </w:r>
            <w:r>
              <w:t xml:space="preserve">→ Branch</w:t>
            </w:r>
            <w:r>
              <w:t xml:space="preserve"> </w:t>
            </w:r>
            <w:r>
              <w:rPr>
                <w:rStyle w:val="VerbatimChar"/>
              </w:rPr>
              <w:t xml:space="preserve">R260/Entwicklung</w:t>
            </w:r>
            <w:r>
              <w:t xml:space="preserve">, Pfad</w:t>
            </w:r>
            <w:r>
              <w:t xml:space="preserve"> </w:t>
            </w:r>
            <w:r>
              <w:rPr>
                <w:rStyle w:val="VerbatimChar"/>
              </w:rPr>
              <w:t xml:space="preserve">&lt;Projekt&gt;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Tagnamen normalisieren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R260.101_MText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R260.101</w:t>
            </w:r>
            <w:r>
              <w:t xml:space="preserve">; Entfernung von</w:t>
            </w:r>
            <w:r>
              <w:t xml:space="preserve"> </w:t>
            </w:r>
            <w:r>
              <w:rPr>
                <w:rStyle w:val="VerbatimChar"/>
              </w:rPr>
              <w:t xml:space="preserve">_MText</w:t>
            </w:r>
            <w:r>
              <w:t xml:space="preserve"> </w:t>
            </w:r>
            <w:r>
              <w:t xml:space="preserve">protokollieren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SVN-Artefakte ausschließen</w:t>
            </w:r>
          </w:p>
        </w:tc>
        <w:tc>
          <w:tcPr/>
          <w:p>
            <w:pPr>
              <w:pStyle w:val="Compact"/>
            </w:pPr>
            <w:r>
              <w:t xml:space="preserve">Migrationsfilter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Verbunden mit Bereitstellung*.txt</w:t>
            </w:r>
            <w:r>
              <w:t xml:space="preserve">, Backup-/Fusion-Sonderstände und andere nicht freigegebene Marker nicht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Repositoryinhalte und Delivery-Allowlist unterscheiden</w:t>
            </w:r>
          </w:p>
        </w:tc>
        <w:tc>
          <w:tcPr/>
          <w:p>
            <w:pPr>
              <w:pStyle w:val="Compact"/>
            </w:pPr>
            <w:r>
              <w:t xml:space="preserve">Importprüfung und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t xml:space="preserve">FI enthält 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mtext-autonom</w:t>
            </w:r>
            <w:r>
              <w:t xml:space="preserve"> </w:t>
            </w:r>
            <w:r>
              <w:t xml:space="preserve">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LOMS_Testdaten_Autonom</w:t>
            </w:r>
            <w:r>
              <w:t xml:space="preserve">; Testdatenprojekte bleiben außerhalb der Delivery-Allowlist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Aufgabe</w:t>
            </w:r>
          </w:p>
        </w:tc>
        <w:tc>
          <w:tcPr/>
          <w:p>
            <w:pPr>
              <w:pStyle w:val="Compact"/>
            </w:pPr>
            <w:r>
              <w:t xml:space="preserve">SVN-Autoren zuordnen</w:t>
            </w:r>
          </w:p>
        </w:tc>
        <w:tc>
          <w:tcPr/>
          <w:p>
            <w:pPr>
              <w:pStyle w:val="Compact"/>
            </w:pPr>
            <w:r>
              <w:t xml:space="preserve">Autoren-Mappingdatei des Migrationstools</w:t>
            </w:r>
          </w:p>
        </w:tc>
        <w:tc>
          <w:tcPr/>
          <w:p>
            <w:pPr>
              <w:pStyle w:val="Compact"/>
            </w:pPr>
            <w:r>
              <w:t xml:space="preserve">Bestehende SVN-Namen auf Git-Identitäten abbilden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SVN-Eigenschaften inventarisieren</w:t>
            </w:r>
          </w:p>
        </w:tc>
        <w:tc>
          <w:tcPr/>
          <w:p>
            <w:pPr>
              <w:pStyle w:val="Compact"/>
            </w:pPr>
            <w:r>
              <w:t xml:space="preserve">Read-only SVN-Analyse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svn:externals</w:t>
            </w:r>
            <w:r>
              <w:t xml:space="preserve">, EOL, Keywords, executable, leere Verzeichnisse, Mergeinfo und große Dateien behandeln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</w:pPr>
            <w:r>
              <w:t xml:space="preserve">Weitere Historie und ältere Tags importieren</w:t>
            </w:r>
          </w:p>
        </w:tc>
        <w:tc>
          <w:tcPr/>
          <w:p>
            <w:pPr>
              <w:pStyle w:val="Compact"/>
            </w:pPr>
            <w:r>
              <w:t xml:space="preserve">Migrationskonfiguration</w:t>
            </w:r>
          </w:p>
        </w:tc>
        <w:tc>
          <w:tcPr/>
          <w:p>
            <w:pPr>
              <w:pStyle w:val="Compact"/>
            </w:pPr>
            <w:r>
              <w:t xml:space="preserve">So viel Elementhistorie wie praktikabel erhalten; darf den Cutover nicht blockieren</w:t>
            </w:r>
          </w:p>
        </w:tc>
      </w:tr>
    </w:tbl>
    <w:p>
      <w:pPr>
        <w:pStyle w:val="BodyText"/>
      </w:pPr>
      <w:r>
        <w:t xml:space="preserve">Ziel-Repositories sind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Der finale Import, SVN-Freeze sowie die</w:t>
      </w:r>
      <w:r>
        <w:t xml:space="preserve"> </w:t>
      </w:r>
      <w:r>
        <w:t xml:space="preserve">Deaktivierung von Jenkins sind eigene freizugebende Cutover-Tätigkeiten und</w:t>
      </w:r>
      <w:r>
        <w:t xml:space="preserve"> </w:t>
      </w:r>
      <w:r>
        <w:t xml:space="preserve">werden nicht durch den lokalen Implementierungsstand ausgelöst.</w:t>
      </w:r>
    </w:p>
    <w:bookmarkEnd w:id="17"/>
    <w:bookmarkStart w:id="18" w:name="X2716b51df6e2f94cb5180ef1a8a66ffac419d7a"/>
    <w:p>
      <w:pPr>
        <w:pStyle w:val="Heading2"/>
      </w:pPr>
      <w:r>
        <w:t xml:space="preserve">7. Wiederkehrende Konfigurationsarbeiten</w:t>
      </w:r>
    </w:p>
    <w:p>
      <w:pPr>
        <w:pStyle w:val="FirstParagraph"/>
      </w:pPr>
      <w:r>
        <w:t xml:space="preserve">Bei einer rollierenden Releaselinie sind folgende Änderungen abgestimmt</w:t>
      </w:r>
      <w:r>
        <w:t xml:space="preserve"> </w:t>
      </w:r>
      <w:r>
        <w:t xml:space="preserve">auszuführen:</w:t>
      </w:r>
    </w:p>
    <w:p>
      <w:pPr>
        <w:pStyle w:val="Compact"/>
        <w:numPr>
          <w:ilvl w:val="0"/>
          <w:numId w:val="1001"/>
        </w:numPr>
      </w:pPr>
      <w:r>
        <w:t xml:space="preserve">Linienmapping und Adapterziele in</w:t>
      </w:r>
      <w:r>
        <w:t xml:space="preserve"> </w:t>
      </w:r>
      <w:r>
        <w:rPr>
          <w:rStyle w:val="VerbatimChar"/>
        </w:rPr>
        <w:t xml:space="preserve">mtext-actions/config/deployments.json</w:t>
      </w:r>
      <w:r>
        <w:t xml:space="preserve"> </w:t>
      </w:r>
      <w:r>
        <w:t xml:space="preserve">aktualisieren.</w:t>
      </w:r>
    </w:p>
    <w:p>
      <w:pPr>
        <w:pStyle w:val="Compact"/>
        <w:numPr>
          <w:ilvl w:val="0"/>
          <w:numId w:val="1001"/>
        </w:numPr>
      </w:pPr>
      <w:r>
        <w:t xml:space="preserve">Branch-Allowlist und manuelle Auswahlwerte in den beiden dünnen Workflows des</w:t>
      </w:r>
      <w:r>
        <w:t xml:space="preserve"> </w:t>
      </w:r>
      <w:r>
        <w:t xml:space="preserve">Mandanten-Repositories aktualisieren.</w:t>
      </w:r>
    </w:p>
    <w:p>
      <w:pPr>
        <w:pStyle w:val="Compact"/>
        <w:numPr>
          <w:ilvl w:val="0"/>
          <w:numId w:val="1001"/>
        </w:numPr>
      </w:pPr>
      <w:r>
        <w:t xml:space="preserve">Neue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/Bereitstellung</w:t>
      </w:r>
      <w:r>
        <w:t xml:space="preserve"> </w:t>
      </w:r>
      <w:r>
        <w:t xml:space="preserve">anlegen</w:t>
      </w:r>
      <w:r>
        <w:t xml:space="preserve"> </w:t>
      </w:r>
      <w:r>
        <w:t xml:space="preserve">und die ausgeschiedene Linie gemäß Aufbewahrungsregel stilllegen.</w:t>
      </w:r>
    </w:p>
    <w:p>
      <w:pPr>
        <w:pStyle w:val="Compact"/>
        <w:numPr>
          <w:ilvl w:val="0"/>
          <w:numId w:val="1001"/>
        </w:numPr>
      </w:pPr>
      <w:r>
        <w:t xml:space="preserve">Default Branch auf den Entwicklungsbranch der neuen führenden Linie setzen.</w:t>
      </w:r>
    </w:p>
    <w:p>
      <w:pPr>
        <w:pStyle w:val="Compact"/>
        <w:numPr>
          <w:ilvl w:val="0"/>
          <w:numId w:val="1001"/>
        </w:numPr>
      </w:pPr>
      <w:r>
        <w:t xml:space="preserve">Workflow- und Konfigurationsänderungen je aktiver Linie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einbringen und anschließend normal nach Abnahme und</w:t>
      </w:r>
      <w:r>
        <w:t xml:space="preserve"> </w:t>
      </w:r>
      <w:r>
        <w:t xml:space="preserve">Bereitstellung promoten. Es gibt keine automatisch schreibende</w:t>
      </w:r>
      <w:r>
        <w:t xml:space="preserve"> </w:t>
      </w:r>
      <w:r>
        <w:t xml:space="preserve">branchübergreifende Verwaltungsautomation.</w:t>
      </w:r>
    </w:p>
    <w:p>
      <w:pPr>
        <w:pStyle w:val="Compact"/>
        <w:numPr>
          <w:ilvl w:val="0"/>
          <w:numId w:val="1001"/>
        </w:numPr>
      </w:pPr>
      <w:r>
        <w:t xml:space="preserve">Assignment und Level bei betrieblichen Änderungen ausschließlich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des betroffenen Mandanten anpassen.</w:t>
      </w:r>
    </w:p>
    <w:bookmarkEnd w:id="18"/>
    <w:bookmarkStart w:id="19" w:name="Xef9361eb6a104c3412b1659b055db70cfafaf86"/>
    <w:p>
      <w:pPr>
        <w:pStyle w:val="Heading2"/>
      </w:pPr>
      <w:r>
        <w:t xml:space="preserve">8. Spätere Erweiterungen</w:t>
      </w:r>
    </w:p>
    <w:p>
      <w:pPr>
        <w:pStyle w:val="Compact"/>
        <w:numPr>
          <w:ilvl w:val="0"/>
          <w:numId w:val="1002"/>
        </w:numPr>
      </w:pPr>
      <w:r>
        <w:t xml:space="preserve">E-Mail-Benachrichtigungen zusätzlich zu GitHub-Benachrichtigungen;</w:t>
      </w:r>
    </w:p>
    <w:p>
      <w:pPr>
        <w:pStyle w:val="Compact"/>
        <w:numPr>
          <w:ilvl w:val="0"/>
          <w:numId w:val="1002"/>
        </w:numPr>
      </w:pPr>
      <w:r>
        <w:t xml:space="preserve">optional mehr historische SVN-Tags und Elementhistorie;</w:t>
      </w:r>
    </w:p>
    <w:p>
      <w:pPr>
        <w:pStyle w:val="Compact"/>
        <w:numPr>
          <w:ilvl w:val="0"/>
          <w:numId w:val="1002"/>
        </w:numPr>
      </w:pPr>
      <w:r>
        <w:t xml:space="preserve">optionales M/Text- oder Mainframe-Status-Polling als eigener Ausbau, nicht</w:t>
      </w:r>
      <w:r>
        <w:t xml:space="preserve"> </w:t>
      </w:r>
      <w:r>
        <w:t xml:space="preserve">als Voraussetzung für die erste Produktivsetzung.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2026-07-16T15:30:42Z</dcterms:created>
  <dcterms:modified xsi:type="dcterms:W3CDTF">2026-07-16T15:30:42Z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