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800"/>
        <w:jc w:val="center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Hermes Agent</w:t>
      </w:r>
    </w:p>
    <w:p>
      <w:pPr>
        <w:pStyle w:val="Title"/>
      </w:pPr>
      <w:r>
        <w:rPr>
          <w:rFonts w:ascii="Arial" w:cs="Arial" w:eastAsia="Arial" w:hAnsi="Arial"/>
        </w:rPr>
        <w:t xml:space="preserve">全天實作工作坊 — 獨立課表</w:t>
      </w:r>
    </w:p>
    <w:p>
      <w:pPr>
        <w:spacing w:after="220"/>
        <w:jc w:val="center"/>
      </w:pPr>
      <w:r>
        <w:rPr>
          <w:rFonts w:ascii="Arial" w:cs="Arial" w:eastAsia="Arial" w:hAnsi="Arial"/>
          <w:color w:val="2F7E7B"/>
          <w:sz w:val="22"/>
          <w:szCs w:val="22"/>
        </w:rPr>
        <w:t xml:space="preserve">6 小時教學時間｜Hands-on 實作｜分組操作與成果展示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EF3F6" w:val="clea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F7E7B"/>
                <w:sz w:val="24"/>
                <w:szCs w:val="24"/>
              </w:rPr>
              <w:t xml:space="preserve">工作坊特色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上午建立 Hermes 操作與工具能力，下午進入真實辦公室場景實戰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從安裝、工作流設計、原型迭代到成果展示，一天完成完整體驗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適合作為企業內訓、工作坊提案或學員版課表附件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EF3F6" w:val="clea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F7E7B"/>
                <w:sz w:val="24"/>
                <w:szCs w:val="24"/>
              </w:rPr>
              <w:t xml:space="preserve">基本資訊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適合對象：已具備基礎 AI Agent 概念的在職人士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建議人數：16–24 人，4 組進行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設備需求：筆電、終端機、網路與 API Key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</w:rPr>
        <w:t xml:space="preserve">工作坊概覽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這份文件是對外版課表，重點放在時段安排、單元重點與學員產出。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80"/>
        <w:gridCol w:w="900"/>
        <w:gridCol w:w="3450"/>
        <w:gridCol w:w="1250"/>
        <w:gridCol w:w="2580"/>
      </w:tblGrid>
      <w:tr>
        <w:trPr>
          <w:tblHeader/>
        </w:trP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時段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時長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單元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形式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產出／重點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09:00–09:25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歡迎、課程說明與環境確認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講授 + 實作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完成分組與設備檢查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09:25–10:10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1：Hermes 安裝與基礎操作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Hands-on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完成安裝、執行第一個任務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10:10–10:20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休息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10:20–11:10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2：工具系統深度探索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Hands-on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學會工具啟用與多工具串接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11:10–11:20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休息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11:20–12:10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3：自動化流程與自學習迴圈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Hands-on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建立可重複執行的工作流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12:10–13:10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60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午餐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D98E04"/>
          <w:sz w:val="22"/>
          <w:szCs w:val="22"/>
        </w:rPr>
        <w:t xml:space="preserve">上午場小計：教學 170 分鐘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80"/>
        <w:gridCol w:w="900"/>
        <w:gridCol w:w="3450"/>
        <w:gridCol w:w="1250"/>
        <w:gridCol w:w="2580"/>
      </w:tblGrid>
      <w:tr>
        <w:trPr>
          <w:tblHeader/>
        </w:trP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時段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時長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單元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形式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產出／重點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13:10–14:10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4：辦公室場景實作（一）— 從需求到原型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Hands-on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完成第一版可運作原型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14:10–14:20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休息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14:20–15:10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5：辦公室場景實作（二）— 迭代與優化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Hands-on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完成進階功能與邊界處理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15:10–15:20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休息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15:20–16:00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6：分組挑戰賽 — 跨場景整合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Hands-on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完成整合構想或原型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16:00–16:10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休息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16:10–16:50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成果展示、同儕互評與課程總結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+ 討論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每組完成展示與回饋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D98E04"/>
          <w:sz w:val="22"/>
          <w:szCs w:val="22"/>
        </w:rPr>
        <w:t xml:space="preserve">下午場小計：教學 190 分鐘</w:t>
      </w:r>
    </w:p>
    <w:p>
      <w:pPr>
        <w:pStyle w:val="Heading1"/>
        <w:spacing w:after="120"/>
      </w:pPr>
      <w:r>
        <w:rPr>
          <w:rFonts w:ascii="Arial" w:cs="Arial" w:eastAsia="Arial" w:hAnsi="Arial"/>
        </w:rPr>
        <w:t xml:space="preserve">學員將完成的成果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完成 Hermes Agent 安裝與基本設定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執行第一個實作任務，理解 Agent 的基本操作節奏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啟用搜尋、檔案與排程工具，建立一個可重複執行的工作流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在真實辦公室場景中完成一版 Agent 原型並進行優化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完成分組展示與跨場景整合挑戰</w:t>
      </w:r>
    </w:p>
    <w:p>
      <w:pPr>
        <w:pStyle w:val="Heading1"/>
        <w:spacing w:after="120"/>
      </w:pPr>
      <w:r>
        <w:rPr>
          <w:rFonts w:ascii="Arial" w:cs="Arial" w:eastAsia="Arial" w:hAnsi="Arial"/>
        </w:rPr>
        <w:t xml:space="preserve">下午場四個場景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2F7E7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場景</w:t>
            </w:r>
          </w:p>
        </w:tc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2F7E7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主題</w:t>
            </w:r>
          </w:p>
        </w:tc>
        <w:tc>
          <w:tcPr>
            <w:tcW w:type="dxa" w:w="58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2F7E7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核心練習</w:t>
            </w:r>
          </w:p>
        </w:tc>
      </w:tr>
      <w:tr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每日報表彙整</w:t>
            </w:r>
          </w:p>
        </w:tc>
        <w:tc>
          <w:tcPr>
            <w:tcW w:type="dxa" w:w="58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摘要、整併、異常標記</w:t>
            </w:r>
          </w:p>
        </w:tc>
      </w:tr>
      <w:tr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會議記錄整理與待辦追蹤</w:t>
            </w:r>
          </w:p>
        </w:tc>
        <w:tc>
          <w:tcPr>
            <w:tcW w:type="dxa" w:w="58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結構化整理、待辦萃取</w:t>
            </w:r>
          </w:p>
        </w:tc>
      </w:tr>
      <w:tr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客戶來信分類與回覆建議</w:t>
            </w:r>
          </w:p>
        </w:tc>
        <w:tc>
          <w:tcPr>
            <w:tcW w:type="dxa" w:w="58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分類、優先級、回覆重點</w:t>
            </w:r>
          </w:p>
        </w:tc>
      </w:tr>
      <w:tr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專案進度監控與異常提醒</w:t>
            </w:r>
          </w:p>
        </w:tc>
        <w:tc>
          <w:tcPr>
            <w:tcW w:type="dxa" w:w="58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比對分析、風險標記</w:t>
            </w:r>
          </w:p>
        </w:tc>
      </w:tr>
    </w:tbl>
    <w:p>
      <w:pPr>
        <w:pStyle w:val="Heading1"/>
        <w:spacing w:after="120"/>
      </w:pPr>
      <w:r>
        <w:rPr>
          <w:rFonts w:ascii="Arial" w:cs="Arial" w:eastAsia="Arial" w:hAnsi="Arial"/>
        </w:rPr>
        <w:t xml:space="preserve">執行條件與準備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EF3F6" w:val="clea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F7E7B"/>
                <w:sz w:val="24"/>
                <w:szCs w:val="24"/>
              </w:rPr>
              <w:t xml:space="preserve">學員課前準備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可正常使用終端機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預先申請可用的 API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自備筆電與充電設備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若公司網路有限制，建議自備手機熱點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EF3F6" w:val="clea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F7E7B"/>
                <w:sz w:val="24"/>
                <w:szCs w:val="24"/>
              </w:rPr>
              <w:t xml:space="preserve">講師與現場準備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準備備用 API Key 與場景資料包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確認網路、投影與電源配置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備妥安裝失敗時的備援操作方案</w:t>
            </w:r>
          </w:p>
        </w:tc>
      </w:tr>
    </w:tbl>
    <w:p>
      <w:pPr>
        <w:pStyle w:val="Heading1"/>
        <w:spacing w:after="120"/>
      </w:pPr>
      <w:r>
        <w:rPr>
          <w:rFonts w:ascii="Arial" w:cs="Arial" w:eastAsia="Arial" w:hAnsi="Arial"/>
        </w:rPr>
        <w:t xml:space="preserve">時間統計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類別</w:t>
            </w:r>
          </w:p>
        </w:tc>
        <w:tc>
          <w:tcPr>
            <w:tcW w:type="dxa" w:w="4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時長</w:t>
            </w:r>
          </w:p>
        </w:tc>
      </w:tr>
      <w:tr>
        <w:tc>
          <w:tcPr>
            <w:tcW w:type="dxa" w:w="4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教學時間</w:t>
            </w:r>
          </w:p>
        </w:tc>
        <w:tc>
          <w:tcPr>
            <w:tcW w:type="dxa" w:w="4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360 分鐘（6 小時）</w:t>
            </w:r>
          </w:p>
        </w:tc>
      </w:tr>
      <w:tr>
        <w:tc>
          <w:tcPr>
            <w:tcW w:type="dxa" w:w="4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休息時間</w:t>
            </w:r>
          </w:p>
        </w:tc>
        <w:tc>
          <w:tcPr>
            <w:tcW w:type="dxa" w:w="4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50 分鐘</w:t>
            </w:r>
          </w:p>
        </w:tc>
      </w:tr>
      <w:tr>
        <w:tc>
          <w:tcPr>
            <w:tcW w:type="dxa" w:w="4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午餐時間</w:t>
            </w:r>
          </w:p>
        </w:tc>
        <w:tc>
          <w:tcPr>
            <w:tcW w:type="dxa" w:w="4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60 分鐘</w:t>
            </w:r>
          </w:p>
        </w:tc>
      </w:tr>
      <w:tr>
        <w:tc>
          <w:tcPr>
            <w:tcW w:type="dxa" w:w="4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1"/>
                <w:szCs w:val="21"/>
              </w:rPr>
              <w:t xml:space="preserve">全天總計</w:t>
            </w:r>
          </w:p>
        </w:tc>
        <w:tc>
          <w:tcPr>
            <w:tcW w:type="dxa" w:w="4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1"/>
                <w:szCs w:val="21"/>
              </w:rPr>
              <w:t xml:space="preserve">約 7 小時 50 分鐘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Hermes Agent 全天實作工作坊　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00"/>
      <w:jc w:val="center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2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F7E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2026-05-21T04:38:25.364Z</dcterms:created>
  <dcterms:modified xsi:type="dcterms:W3CDTF">2026-05-21T04:38:25.365Z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