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4161A"/>
          <w:sz w:val="48"/>
          <w:szCs w:val="48"/>
        </w:rPr>
        <w:t xml:space="preserve">ShowPilot</w:t>
      </w:r>
    </w:p>
    <w:p>
      <w:pPr>
        <w:spacing w:after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Base44 → Supabase Migration  •  Status &amp; Launch Checklist  •  Updated July 17, 2026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7F8F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9C4A"/>
                <w:sz w:val="40"/>
                <w:szCs w:val="40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Core flows confirmed working</w:t>
            </w:r>
          </w:p>
        </w:tc>
        <w:tc>
          <w:tcPr>
            <w:tcW w:type="dxa" w:w="2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7F8F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Steps to public launch</w:t>
            </w:r>
          </w:p>
        </w:tc>
        <w:tc>
          <w:tcPr>
            <w:tcW w:type="dxa" w:w="2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7F8F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555B66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Known gap (non-blocking)</w:t>
            </w:r>
          </w:p>
        </w:tc>
        <w:tc>
          <w:tcPr>
            <w:tcW w:type="dxa" w:w="25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7F8FA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Phase 2 ideas captured</w:t>
            </w:r>
          </w:p>
        </w:tc>
      </w:tr>
    </w:tbl>
    <w:p>
      <w:pPr>
        <w:pBdr>
          <w:bottom w:val="single" w:color="4FAE2E" w:sz="16"/>
        </w:pBdr>
        <w:spacing w:after="260" w:before="20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shd w:fill="1A9C4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  CONFIRMED WORKING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Tested end-to-end on local build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Login &amp; signup — email/password and Google OAuth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Password reset flow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Show creation, editing, and deletion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File uploads — stage plots, input list files, profile photos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Calendar view (month &amp; agenda)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Starring / quick status updates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Tour Manager invite link generation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Tour Manager anonymous submission → creates show on engineer's account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Multi-genre tag input on intake form (type + Enter to add)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Stage plot upload directly from the Tour Manager intake form</w:t>
            </w:r>
          </w:p>
        </w:tc>
      </w:tr>
      <w:tr>
        <w:tc>
          <w:tcPr>
            <w:tcW w:type="dxa" w:w="700"/>
            <w:shd w:fill="E7F9EE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C4A"/>
                <w:sz w:val="19"/>
                <w:szCs w:val="19"/>
              </w:rPr>
              <w:t xml:space="preserve">✓</w:t>
            </w:r>
          </w:p>
        </w:tc>
        <w:tc>
          <w:tcPr>
            <w:tcW w:type="dxa" w:w="9380"/>
            <w:shd w:fill="E7F9EE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Public share link — view and edit a show without logging in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shd w:fill="B779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□  FINAL FIXES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Minor visual &amp; organizational polish before launch — details to be scoped together</w:t>
            </w:r>
          </w:p>
        </w:tc>
      </w:tr>
      <w:tr>
        <w:tc>
          <w:tcPr>
            <w:tcW w:type="dxa" w:w="700"/>
            <w:shd w:fill="FFF6E5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○</w:t>
            </w:r>
          </w:p>
        </w:tc>
        <w:tc>
          <w:tcPr>
            <w:tcW w:type="dxa" w:w="9380"/>
            <w:shd w:fill="FFF6E5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To be finalized before field testing begins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shd w:fill="2563E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▶  REMAINING BEFORE LAUNCH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The real path to a testable, public link</w:t>
            </w:r>
          </w:p>
        </w:tc>
      </w:tr>
      <w:tr>
        <w:tc>
          <w:tcPr>
            <w:tcW w:type="dxa" w:w="700"/>
            <w:shd w:fill="EAF1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○</w:t>
            </w:r>
          </w:p>
        </w:tc>
        <w:tc>
          <w:tcPr>
            <w:tcW w:type="dxa" w:w="9380"/>
            <w:shd w:fill="EAF1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Deploy the app to a public URL (Vercel or Netlify) — the main unlock for external testing</w:t>
            </w:r>
          </w:p>
        </w:tc>
      </w:tr>
      <w:tr>
        <w:tc>
          <w:tcPr>
            <w:tcW w:type="dxa" w:w="700"/>
            <w:shd w:fill="EAF1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○</w:t>
            </w:r>
          </w:p>
        </w:tc>
        <w:tc>
          <w:tcPr>
            <w:tcW w:type="dxa" w:w="9380"/>
            <w:shd w:fill="EAF1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Deploy the generate-experience Edge Function (AI Experience Profiles) via Supabase CLI, and set the GEMINI_API_KEY secret</w:t>
            </w:r>
          </w:p>
        </w:tc>
      </w:tr>
      <w:tr>
        <w:tc>
          <w:tcPr>
            <w:tcW w:type="dxa" w:w="700"/>
            <w:shd w:fill="EAF1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○</w:t>
            </w:r>
          </w:p>
        </w:tc>
        <w:tc>
          <w:tcPr>
            <w:tcW w:type="dxa" w:w="9380"/>
            <w:shd w:fill="EAF1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Full smoke test on the live deployed URL (not just localhost)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shd w:fill="555B6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  KNOWN GAPS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Non-blocking — safe to launch without these</w:t>
            </w:r>
          </w:p>
        </w:tc>
      </w:tr>
      <w:tr>
        <w:tc>
          <w:tcPr>
            <w:tcW w:type="dxa" w:w="700"/>
            <w:shd w:fill="F1F2F4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B66"/>
                <w:sz w:val="19"/>
                <w:szCs w:val="19"/>
              </w:rPr>
              <w:t xml:space="preserve">–</w:t>
            </w:r>
          </w:p>
        </w:tc>
        <w:tc>
          <w:tcPr>
            <w:tcW w:type="dxa" w:w="9380"/>
            <w:shd w:fill="F1F2F4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Email notifications to engineers on Tour Manager submission — not built. Needs a separate email service (e.g. Resend) connected via another Edge Function. Not blocking launch.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10080"/>
            <w:gridSpan w:val="2"/>
            <w:shd w:fill="7C3AED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★  PHASE 2 — AFTER FIELD TESTING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Bigger ideas, intentionally deferred until real user feedback comes in</w:t>
            </w:r>
          </w:p>
        </w:tc>
      </w:tr>
      <w:tr>
        <w:tc>
          <w:tcPr>
            <w:tcW w:type="dxa" w:w="700"/>
            <w:shd w:fill="F4ED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</w:t>
            </w:r>
          </w:p>
        </w:tc>
        <w:tc>
          <w:tcPr>
            <w:tcW w:type="dxa" w:w="9380"/>
            <w:shd w:fill="F4ED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Multi-band gigs — DCA/subgroup-style navigation between bands on one gig</w:t>
            </w:r>
          </w:p>
        </w:tc>
      </w:tr>
      <w:tr>
        <w:tc>
          <w:tcPr>
            <w:tcW w:type="dxa" w:w="700"/>
            <w:shd w:fill="F4ED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</w:t>
            </w:r>
          </w:p>
        </w:tc>
        <w:tc>
          <w:tcPr>
            <w:tcW w:type="dxa" w:w="9380"/>
            <w:shd w:fill="F4ED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Optional Tour Manager accounts + saveable band templates</w:t>
            </w:r>
          </w:p>
        </w:tc>
      </w:tr>
      <w:tr>
        <w:tc>
          <w:tcPr>
            <w:tcW w:type="dxa" w:w="700"/>
            <w:shd w:fill="F4ED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</w:t>
            </w:r>
          </w:p>
        </w:tc>
        <w:tc>
          <w:tcPr>
            <w:tcW w:type="dxa" w:w="9380"/>
            <w:shd w:fill="F4ED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Long-term vision: multi-profile community platform (engineers, venues, tour managers, promoters, booking agencies)</w:t>
            </w:r>
          </w:p>
        </w:tc>
      </w:tr>
      <w:tr>
        <w:tc>
          <w:tcPr>
            <w:tcW w:type="dxa" w:w="700"/>
            <w:shd w:fill="F4EDFF" w:color="auto" w:val="clear"/>
            <w:tcMar>
              <w:top w:type="dxa" w:w="80"/>
              <w:left w:type="dxa" w:w="2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</w:t>
            </w:r>
          </w:p>
        </w:tc>
        <w:tc>
          <w:tcPr>
            <w:tcW w:type="dxa" w:w="9380"/>
            <w:shd w:fill="F4EDFF" w:color="auto" w:val="clear"/>
            <w:tcMar>
              <w:top w:type="dxa" w:w="80"/>
              <w:left w:type="dxa" w:w="60"/>
              <w:bottom w:type="dxa" w:w="80"/>
              <w:right w:type="dxa" w:w="220"/>
            </w:tcMar>
          </w:tcPr>
          <w:p>
            <w:r>
              <w:rPr>
                <w:rFonts w:ascii="Arial" w:cs="Arial" w:eastAsia="Arial" w:hAnsi="Arial"/>
                <w:color w:val="14161A"/>
                <w:sz w:val="19"/>
                <w:szCs w:val="19"/>
              </w:rPr>
              <w:t xml:space="preserve">Various data/UX refinements — phone formatting, input list phantom power, calendar visual density, and more (full list in the separate Phase 2 Backlog document)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2026-07-17T18:44:01.352Z</dcterms:created>
  <dcterms:modified xsi:type="dcterms:W3CDTF">2026-07-17T18:44:01.370Z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