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28A41">
      <w:pPr>
        <w:spacing w:before="200" w:after="0"/>
      </w:pPr>
    </w:p>
    <w:p w14:paraId="0A68E366">
      <w:pPr>
        <w:spacing w:before="0" w:after="0"/>
        <w:jc w:val="center"/>
      </w:pPr>
      <w:r>
        <w:rPr>
          <w:rFonts w:ascii="Arial" w:hAnsi="Arial" w:eastAsia="Arial" w:cs="Arial"/>
          <w:b/>
          <w:bCs/>
          <w:color w:val="1A3C5E"/>
          <w:sz w:val="80"/>
          <w:szCs w:val="80"/>
        </w:rPr>
        <w:t>FEEDOO</w:t>
      </w:r>
    </w:p>
    <w:p w14:paraId="4AC2BC56">
      <w:pPr>
        <w:spacing w:before="60" w:after="80"/>
        <w:jc w:val="center"/>
      </w:pPr>
      <w:r>
        <w:rPr>
          <w:rFonts w:ascii="Arial" w:hAnsi="Arial" w:eastAsia="Arial" w:cs="Arial"/>
          <w:color w:val="D4A843"/>
          <w:sz w:val="26"/>
          <w:szCs w:val="26"/>
        </w:rPr>
        <w:t>Anna · Vita  |  Food is Life</w:t>
      </w:r>
    </w:p>
    <w:p w14:paraId="789091F9">
      <w:pPr>
        <w:pBdr>
          <w:bottom w:val="single" w:color="D4A843" w:sz="6" w:space="6"/>
        </w:pBdr>
        <w:spacing w:before="0" w:after="200"/>
        <w:jc w:val="center"/>
      </w:pPr>
    </w:p>
    <w:p w14:paraId="7B003056">
      <w:pPr>
        <w:spacing w:before="80" w:after="0"/>
      </w:pPr>
    </w:p>
    <w:p w14:paraId="38828DF4">
      <w:pPr>
        <w:spacing w:before="0" w:after="60"/>
        <w:jc w:val="center"/>
      </w:pPr>
      <w:r>
        <w:rPr>
          <w:rFonts w:ascii="Arial" w:hAnsi="Arial" w:eastAsia="Arial" w:cs="Arial"/>
          <w:b/>
          <w:bCs/>
          <w:color w:val="1C1C1C"/>
          <w:sz w:val="26"/>
          <w:szCs w:val="26"/>
        </w:rPr>
        <w:t>India’s First Dual-Track, AI-Powered, Micro-Hub Food Recovery Network</w:t>
      </w:r>
    </w:p>
    <w:p w14:paraId="1E7D05A4">
      <w:pPr>
        <w:spacing w:before="0" w:after="200"/>
        <w:jc w:val="center"/>
      </w:pPr>
      <w:r>
        <w:rPr>
          <w:rFonts w:ascii="Arial" w:hAnsi="Arial" w:eastAsia="Arial" w:cs="Arial"/>
          <w:color w:val="5A6A7A"/>
          <w:sz w:val="22"/>
          <w:szCs w:val="22"/>
        </w:rPr>
        <w:t>From Surplus to Sustenance — A Research-Driven Strategic Blueprint</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40"/>
        <w:gridCol w:w="2340"/>
        <w:gridCol w:w="2340"/>
        <w:gridCol w:w="2340"/>
      </w:tblGrid>
      <w:tr w14:paraId="5987D7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40" w:type="dxa"/>
            <w:tcBorders>
              <w:top w:val="single" w:color="CBD5E0" w:sz="4" w:space="0"/>
              <w:left w:val="single" w:color="CBD5E0" w:sz="4" w:space="0"/>
              <w:bottom w:val="single" w:color="CBD5E0" w:sz="4" w:space="0"/>
              <w:right w:val="single" w:color="CBD5E0" w:sz="4" w:space="0"/>
            </w:tcBorders>
            <w:shd w:val="clear" w:color="auto" w:fill="1A3C5E"/>
            <w:tcMar>
              <w:top w:w="120" w:type="dxa"/>
              <w:left w:w="100" w:type="dxa"/>
              <w:bottom w:w="120" w:type="dxa"/>
              <w:right w:w="100" w:type="dxa"/>
            </w:tcMar>
            <w:vAlign w:val="center"/>
          </w:tcPr>
          <w:p w14:paraId="161961B1">
            <w:pPr>
              <w:jc w:val="center"/>
            </w:pPr>
            <w:r>
              <w:rPr>
                <w:rFonts w:ascii="Arial" w:hAnsi="Arial" w:eastAsia="Arial" w:cs="Arial"/>
                <w:b/>
                <w:bCs/>
                <w:color w:val="D4A843"/>
                <w:sz w:val="28"/>
                <w:szCs w:val="28"/>
              </w:rPr>
              <w:t>78.2M</w:t>
            </w:r>
          </w:p>
          <w:p w14:paraId="05732E1E">
            <w:pPr>
              <w:jc w:val="center"/>
            </w:pPr>
            <w:r>
              <w:rPr>
                <w:rFonts w:ascii="Arial" w:hAnsi="Arial" w:eastAsia="Arial" w:cs="Arial"/>
                <w:color w:val="FFFFFF"/>
                <w:sz w:val="17"/>
                <w:szCs w:val="17"/>
              </w:rPr>
              <w:t>Tonnes food wasted/yr</w:t>
            </w:r>
          </w:p>
        </w:tc>
        <w:tc>
          <w:tcPr>
            <w:tcW w:w="2340" w:type="dxa"/>
            <w:tcBorders>
              <w:top w:val="single" w:color="CBD5E0" w:sz="4" w:space="0"/>
              <w:left w:val="single" w:color="CBD5E0" w:sz="4" w:space="0"/>
              <w:bottom w:val="single" w:color="CBD5E0" w:sz="4" w:space="0"/>
              <w:right w:val="single" w:color="CBD5E0" w:sz="4" w:space="0"/>
            </w:tcBorders>
            <w:shd w:val="clear" w:color="auto" w:fill="2E7D52"/>
            <w:tcMar>
              <w:top w:w="120" w:type="dxa"/>
              <w:left w:w="100" w:type="dxa"/>
              <w:bottom w:w="120" w:type="dxa"/>
              <w:right w:w="100" w:type="dxa"/>
            </w:tcMar>
            <w:vAlign w:val="center"/>
          </w:tcPr>
          <w:p w14:paraId="3298D980">
            <w:pPr>
              <w:jc w:val="center"/>
            </w:pPr>
            <w:r>
              <w:rPr>
                <w:rFonts w:ascii="Arial" w:hAnsi="Arial" w:eastAsia="Arial" w:cs="Arial"/>
                <w:b/>
                <w:bCs/>
                <w:color w:val="D4A843"/>
                <w:sz w:val="28"/>
                <w:szCs w:val="28"/>
              </w:rPr>
              <w:t>194M</w:t>
            </w:r>
          </w:p>
          <w:p w14:paraId="37877EB5">
            <w:pPr>
              <w:jc w:val="center"/>
            </w:pPr>
            <w:r>
              <w:rPr>
                <w:rFonts w:ascii="Arial" w:hAnsi="Arial" w:eastAsia="Arial" w:cs="Arial"/>
                <w:color w:val="FFFFFF"/>
                <w:sz w:val="17"/>
                <w:szCs w:val="17"/>
              </w:rPr>
              <w:t>Undernourished Indians</w:t>
            </w:r>
          </w:p>
        </w:tc>
        <w:tc>
          <w:tcPr>
            <w:tcW w:w="2340" w:type="dxa"/>
            <w:tcBorders>
              <w:top w:val="single" w:color="CBD5E0" w:sz="4" w:space="0"/>
              <w:left w:val="single" w:color="CBD5E0" w:sz="4" w:space="0"/>
              <w:bottom w:val="single" w:color="CBD5E0" w:sz="4" w:space="0"/>
              <w:right w:val="single" w:color="CBD5E0" w:sz="4" w:space="0"/>
            </w:tcBorders>
            <w:shd w:val="clear" w:color="auto" w:fill="1A3C5E"/>
            <w:tcMar>
              <w:top w:w="120" w:type="dxa"/>
              <w:left w:w="100" w:type="dxa"/>
              <w:bottom w:w="120" w:type="dxa"/>
              <w:right w:w="100" w:type="dxa"/>
            </w:tcMar>
            <w:vAlign w:val="center"/>
          </w:tcPr>
          <w:p w14:paraId="1E62D575">
            <w:pPr>
              <w:jc w:val="center"/>
            </w:pPr>
            <w:r>
              <w:rPr>
                <w:rFonts w:ascii="Arial" w:hAnsi="Arial" w:eastAsia="Arial" w:cs="Arial"/>
                <w:b/>
                <w:bCs/>
                <w:color w:val="D4A843"/>
                <w:sz w:val="28"/>
                <w:szCs w:val="28"/>
              </w:rPr>
              <w:t>₹92,651Cr</w:t>
            </w:r>
          </w:p>
          <w:p w14:paraId="4C09BB03">
            <w:pPr>
              <w:jc w:val="center"/>
            </w:pPr>
            <w:r>
              <w:rPr>
                <w:rFonts w:ascii="Arial" w:hAnsi="Arial" w:eastAsia="Arial" w:cs="Arial"/>
                <w:color w:val="FFFFFF"/>
                <w:sz w:val="17"/>
                <w:szCs w:val="17"/>
              </w:rPr>
              <w:t>Annual food loss cost</w:t>
            </w:r>
          </w:p>
        </w:tc>
        <w:tc>
          <w:tcPr>
            <w:tcW w:w="2340" w:type="dxa"/>
            <w:tcBorders>
              <w:top w:val="single" w:color="CBD5E0" w:sz="4" w:space="0"/>
              <w:left w:val="single" w:color="CBD5E0" w:sz="4" w:space="0"/>
              <w:bottom w:val="single" w:color="CBD5E0" w:sz="4" w:space="0"/>
              <w:right w:val="single" w:color="CBD5E0" w:sz="4" w:space="0"/>
            </w:tcBorders>
            <w:shd w:val="clear" w:color="auto" w:fill="2E7D52"/>
            <w:tcMar>
              <w:top w:w="120" w:type="dxa"/>
              <w:left w:w="100" w:type="dxa"/>
              <w:bottom w:w="120" w:type="dxa"/>
              <w:right w:w="100" w:type="dxa"/>
            </w:tcMar>
            <w:vAlign w:val="center"/>
          </w:tcPr>
          <w:p w14:paraId="4559773F">
            <w:pPr>
              <w:jc w:val="center"/>
            </w:pPr>
            <w:r>
              <w:rPr>
                <w:rFonts w:ascii="Arial" w:hAnsi="Arial" w:eastAsia="Arial" w:cs="Arial"/>
                <w:b/>
                <w:bCs/>
                <w:color w:val="D4A843"/>
                <w:sz w:val="28"/>
                <w:szCs w:val="28"/>
              </w:rPr>
              <w:t>$49.8B</w:t>
            </w:r>
          </w:p>
          <w:p w14:paraId="3349BED5">
            <w:pPr>
              <w:jc w:val="center"/>
            </w:pPr>
            <w:r>
              <w:rPr>
                <w:rFonts w:ascii="Arial" w:hAnsi="Arial" w:eastAsia="Arial" w:cs="Arial"/>
                <w:color w:val="FFFFFF"/>
                <w:sz w:val="17"/>
                <w:szCs w:val="17"/>
              </w:rPr>
              <w:t>India food service market</w:t>
            </w:r>
          </w:p>
        </w:tc>
      </w:tr>
    </w:tbl>
    <w:p w14:paraId="04B19259">
      <w:pPr>
        <w:spacing w:before="60" w:after="0"/>
      </w:pPr>
    </w:p>
    <w:p w14:paraId="1F5E059D">
      <w:pPr>
        <w:spacing w:before="40" w:after="0"/>
        <w:jc w:val="center"/>
      </w:pPr>
      <w:r>
        <w:rPr>
          <w:rFonts w:ascii="Arial" w:hAnsi="Arial" w:eastAsia="Arial" w:cs="Arial"/>
          <w:color w:val="5A6A7A"/>
          <w:sz w:val="16"/>
          <w:szCs w:val="16"/>
        </w:rPr>
        <w:t>Sources: UNEP Food Waste Index 2024 | FSSAI | WRI India | Custom Market Insights 2024 | SOFI Report 2024</w:t>
      </w:r>
    </w:p>
    <w:p w14:paraId="6FC1156A">
      <w:pPr>
        <w:spacing w:before="120" w:after="0"/>
      </w:pPr>
    </w:p>
    <w:p w14:paraId="40833CF9">
      <w:pPr>
        <w:pBdr>
          <w:bottom w:val="single" w:color="D4A843" w:sz="6" w:space="4"/>
        </w:pBdr>
        <w:spacing w:before="200" w:after="100"/>
      </w:pPr>
      <w:r>
        <w:rPr>
          <w:rFonts w:ascii="Arial" w:hAnsi="Arial" w:eastAsia="Arial" w:cs="Arial"/>
          <w:b/>
          <w:bCs/>
          <w:color w:val="1A3C5E"/>
          <w:sz w:val="26"/>
          <w:szCs w:val="26"/>
        </w:rPr>
        <w:t>TABLE OF CONTENTS</w:t>
      </w:r>
    </w:p>
    <w:p w14:paraId="3D61A012">
      <w:pPr>
        <w:spacing w:before="160" w:after="0"/>
      </w:pPr>
      <w:r>
        <w:rPr>
          <w:rFonts w:ascii="Arial" w:hAnsi="Arial" w:eastAsia="Arial" w:cs="Arial"/>
          <w:b/>
          <w:bCs/>
          <w:color w:val="1A3C5E"/>
          <w:sz w:val="21"/>
          <w:szCs w:val="21"/>
        </w:rPr>
        <w:t>01.  The India Food Paradox — A Data Reality Che</w:t>
      </w:r>
      <w:bookmarkStart w:id="0" w:name="_GoBack"/>
      <w:bookmarkEnd w:id="0"/>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11DE0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D4A843" w:sz="16" w:space="0"/>
              <w:left w:val="single" w:color="D4A843" w:sz="16" w:space="0"/>
              <w:bottom w:val="single" w:color="D4A843" w:sz="16" w:space="0"/>
              <w:right w:val="single" w:color="D4A843" w:sz="16" w:space="0"/>
            </w:tcBorders>
            <w:shd w:val="clear" w:color="auto" w:fill="1A3C5E"/>
            <w:tcMar>
              <w:top w:w="240" w:type="dxa"/>
              <w:left w:w="280" w:type="dxa"/>
              <w:bottom w:w="240" w:type="dxa"/>
              <w:right w:w="280" w:type="dxa"/>
            </w:tcMar>
          </w:tcPr>
          <w:p w14:paraId="5E5F2399">
            <w:pPr>
              <w:spacing w:before="0" w:after="100"/>
              <w:jc w:val="center"/>
            </w:pPr>
            <w:r>
              <w:rPr>
                <w:rFonts w:ascii="Arial" w:hAnsi="Arial" w:eastAsia="Arial" w:cs="Arial"/>
                <w:b/>
                <w:bCs/>
                <w:color w:val="D4A843"/>
                <w:sz w:val="22"/>
                <w:szCs w:val="22"/>
              </w:rPr>
              <w:t>CLOSING STATEMENT</w:t>
            </w:r>
          </w:p>
          <w:p w14:paraId="1E0A1431">
            <w:pPr>
              <w:spacing w:before="0" w:after="100"/>
              <w:jc w:val="center"/>
            </w:pPr>
            <w:r>
              <w:rPr>
                <w:rFonts w:ascii="Arial" w:hAnsi="Arial" w:eastAsia="Arial" w:cs="Arial"/>
                <w:color w:val="FFFFFF"/>
                <w:sz w:val="22"/>
                <w:szCs w:val="22"/>
              </w:rPr>
              <w:t>FEEDOO is not just an application. It is a regulated, technology-powered, financially self-sustaining food recovery infrastructure built on India’s own food culture, FSSAI’s legal framework, and the world’s most urgent humanitarian data.</w:t>
            </w:r>
          </w:p>
          <w:p w14:paraId="0484AC4E">
            <w:pPr>
              <w:spacing w:before="0" w:after="100"/>
              <w:jc w:val="center"/>
            </w:pPr>
            <w:r>
              <w:rPr>
                <w:rFonts w:ascii="Arial" w:hAnsi="Arial" w:eastAsia="Arial" w:cs="Arial"/>
                <w:color w:val="FFFFFF"/>
                <w:sz w:val="21"/>
                <w:szCs w:val="21"/>
              </w:rPr>
              <w:t>Its Dual-Track Model funds social impact through commercial revenue. Its Micro-Hub Network transforms surplus into dignity. Its Roti Points system turns obligation into participation. And its seven revenue streams ensure it never needs charity to survive.</w:t>
            </w:r>
          </w:p>
          <w:p w14:paraId="22CAD94C">
            <w:pPr>
              <w:jc w:val="center"/>
            </w:pPr>
            <w:r>
              <w:rPr>
                <w:rFonts w:ascii="Arial" w:hAnsi="Arial" w:eastAsia="Arial" w:cs="Arial"/>
                <w:b/>
                <w:bCs/>
                <w:color w:val="D4A843"/>
                <w:sz w:val="28"/>
                <w:szCs w:val="28"/>
              </w:rPr>
              <w:t>Feed More. Waste Less. FEEDOO.</w:t>
            </w:r>
          </w:p>
        </w:tc>
      </w:tr>
    </w:tbl>
    <w:p w14:paraId="18FEFCBE">
      <w:pPr>
        <w:spacing w:before="200" w:after="0"/>
      </w:pPr>
    </w:p>
    <w:p w14:paraId="450BEE8B">
      <w:r>
        <w:br w:type="page"/>
      </w:r>
    </w:p>
    <w:p w14:paraId="61136B45">
      <w:pPr>
        <w:pBdr>
          <w:bottom w:val="single" w:color="D4A843" w:sz="6" w:space="4"/>
        </w:pBdr>
        <w:spacing w:before="200" w:after="100"/>
      </w:pPr>
      <w:r>
        <w:rPr>
          <w:rFonts w:ascii="Arial" w:hAnsi="Arial" w:eastAsia="Arial" w:cs="Arial"/>
          <w:b/>
          <w:bCs/>
          <w:color w:val="1A3C5E"/>
          <w:sz w:val="36"/>
          <w:szCs w:val="36"/>
        </w:rPr>
        <w:t>REFERENCES &amp; BIBLIOGRAPHY</w:t>
      </w:r>
    </w:p>
    <w:p w14:paraId="7309F129">
      <w:pPr>
        <w:spacing w:before="80" w:after="120"/>
      </w:pPr>
      <w:r>
        <w:rPr>
          <w:rFonts w:ascii="Arial" w:hAnsi="Arial" w:eastAsia="Arial" w:cs="Arial"/>
          <w:color w:val="5A6A7A"/>
          <w:sz w:val="20"/>
          <w:szCs w:val="20"/>
        </w:rPr>
        <w:t>Every claim, statistic, and structural recommendation in this document is sourced from a published, publicly verifiable reference. The following bibliography is organized by section and topic. All URLs were verified and active as of April 2025.</w:t>
      </w:r>
    </w:p>
    <w:p w14:paraId="2E74A203">
      <w:pPr>
        <w:pBdr>
          <w:bottom w:val="single" w:color="2E7D52" w:sz="4" w:space="2"/>
        </w:pBdr>
        <w:spacing w:before="200" w:after="80"/>
      </w:pPr>
      <w:r>
        <w:rPr>
          <w:rFonts w:ascii="Arial" w:hAnsi="Arial" w:eastAsia="Arial" w:cs="Arial"/>
          <w:b/>
          <w:bCs/>
          <w:color w:val="2E7D52"/>
          <w:sz w:val="24"/>
          <w:szCs w:val="24"/>
        </w:rPr>
        <w:t>A.  FOOD WASTE — GLOBAL &amp; INDIA DATA</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1"/>
        <w:gridCol w:w="2343"/>
        <w:gridCol w:w="2969"/>
        <w:gridCol w:w="3537"/>
      </w:tblGrid>
      <w:tr w14:paraId="61C795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52D2C5CB">
            <w:pPr>
              <w:jc w:val="center"/>
            </w:pPr>
            <w:r>
              <w:rPr>
                <w:rFonts w:ascii="Arial" w:hAnsi="Arial" w:eastAsia="Arial" w:cs="Arial"/>
                <w:b/>
                <w:bCs/>
                <w:color w:val="FFFFFF"/>
                <w:sz w:val="20"/>
                <w:szCs w:val="20"/>
              </w:rPr>
              <w:t>#</w:t>
            </w:r>
          </w:p>
        </w:tc>
        <w:tc>
          <w:tcPr>
            <w:tcW w:w="28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69BA9B6F">
            <w:pPr>
              <w:jc w:val="center"/>
            </w:pPr>
            <w:r>
              <w:rPr>
                <w:rFonts w:ascii="Arial" w:hAnsi="Arial" w:eastAsia="Arial" w:cs="Arial"/>
                <w:b/>
                <w:bCs/>
                <w:color w:val="FFFFFF"/>
                <w:sz w:val="20"/>
                <w:szCs w:val="20"/>
              </w:rPr>
              <w:t>SOURCE / TITLE</w:t>
            </w:r>
          </w:p>
        </w:tc>
        <w:tc>
          <w:tcPr>
            <w:tcW w:w="376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05B2DE03">
            <w:pPr>
              <w:jc w:val="center"/>
            </w:pPr>
            <w:r>
              <w:rPr>
                <w:rFonts w:ascii="Arial" w:hAnsi="Arial" w:eastAsia="Arial" w:cs="Arial"/>
                <w:b/>
                <w:bCs/>
                <w:color w:val="FFFFFF"/>
                <w:sz w:val="20"/>
                <w:szCs w:val="20"/>
              </w:rPr>
              <w:t>KEY CLAIM SUPPORTED</w:t>
            </w:r>
          </w:p>
        </w:tc>
        <w:tc>
          <w:tcPr>
            <w:tcW w:w="24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75A8FAA8">
            <w:pPr>
              <w:jc w:val="center"/>
            </w:pPr>
            <w:r>
              <w:rPr>
                <w:rFonts w:ascii="Arial" w:hAnsi="Arial" w:eastAsia="Arial" w:cs="Arial"/>
                <w:b/>
                <w:bCs/>
                <w:color w:val="FFFFFF"/>
                <w:sz w:val="20"/>
                <w:szCs w:val="20"/>
              </w:rPr>
              <w:t>HOW TO ACCESS</w:t>
            </w:r>
          </w:p>
        </w:tc>
      </w:tr>
      <w:tr w14:paraId="2AD9A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59EA0C97">
            <w:pPr>
              <w:jc w:val="center"/>
            </w:pPr>
            <w:r>
              <w:rPr>
                <w:rFonts w:ascii="Arial" w:hAnsi="Arial" w:eastAsia="Arial" w:cs="Arial"/>
                <w:b/>
                <w:bCs/>
                <w:i w:val="0"/>
                <w:iCs w:val="0"/>
                <w:color w:val="1A3C5E"/>
                <w:sz w:val="18"/>
                <w:szCs w:val="18"/>
              </w:rPr>
              <w:t>A1</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1DB16866">
            <w:pPr>
              <w:jc w:val="left"/>
            </w:pPr>
            <w:r>
              <w:rPr>
                <w:rFonts w:ascii="Arial" w:hAnsi="Arial" w:eastAsia="Arial" w:cs="Arial"/>
                <w:b w:val="0"/>
                <w:bCs w:val="0"/>
                <w:i/>
                <w:iCs/>
                <w:color w:val="1C1C1C"/>
                <w:sz w:val="17"/>
                <w:szCs w:val="17"/>
              </w:rPr>
              <w:t>United Nations Environment Programme (UNEP). Food Waste Index Report 2024: Think Eat Save — Tracking Progress to Halve Global Food Waste. Nairobi: UNEP, 2024.</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630A81EC">
            <w:pPr>
              <w:jc w:val="left"/>
            </w:pPr>
            <w:r>
              <w:rPr>
                <w:rFonts w:ascii="Arial" w:hAnsi="Arial" w:eastAsia="Arial" w:cs="Arial"/>
                <w:b w:val="0"/>
                <w:bCs w:val="0"/>
                <w:i w:val="0"/>
                <w:iCs w:val="0"/>
                <w:color w:val="1C1C1C"/>
                <w:sz w:val="17"/>
                <w:szCs w:val="17"/>
              </w:rPr>
              <w:t>78.2 million tonnes wasted in India annually; 55 kg per capita household waste; food waste contributes 8–10% of global GHG emissions; 1.05 billion tonnes wasted globally in 2022</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60ABD7F5">
            <w:pPr>
              <w:jc w:val="left"/>
            </w:pPr>
            <w:r>
              <w:rPr>
                <w:rFonts w:ascii="Arial" w:hAnsi="Arial" w:eastAsia="Arial" w:cs="Arial"/>
                <w:b w:val="0"/>
                <w:bCs w:val="0"/>
                <w:i w:val="0"/>
                <w:iCs w:val="0"/>
                <w:color w:val="2E7D52"/>
                <w:sz w:val="16"/>
                <w:szCs w:val="16"/>
              </w:rPr>
              <w:t>unep.org/resources/publication/food-waste-index-report-2024 | Also: wedocs.unep.org/handle/20.500.11822/45230</w:t>
            </w:r>
          </w:p>
        </w:tc>
      </w:tr>
      <w:tr w14:paraId="638300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2E076E3E">
            <w:pPr>
              <w:jc w:val="center"/>
            </w:pPr>
            <w:r>
              <w:rPr>
                <w:rFonts w:ascii="Arial" w:hAnsi="Arial" w:eastAsia="Arial" w:cs="Arial"/>
                <w:b/>
                <w:bCs/>
                <w:i w:val="0"/>
                <w:iCs w:val="0"/>
                <w:color w:val="1A3C5E"/>
                <w:sz w:val="18"/>
                <w:szCs w:val="18"/>
              </w:rPr>
              <w:t>A2</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50D31C2F">
            <w:pPr>
              <w:jc w:val="left"/>
            </w:pPr>
            <w:r>
              <w:rPr>
                <w:rFonts w:ascii="Arial" w:hAnsi="Arial" w:eastAsia="Arial" w:cs="Arial"/>
                <w:b w:val="0"/>
                <w:bCs w:val="0"/>
                <w:i/>
                <w:iCs/>
                <w:color w:val="1C1C1C"/>
                <w:sz w:val="17"/>
                <w:szCs w:val="17"/>
              </w:rPr>
              <w:t>Food and Agriculture Organization of the United Nations (FAO). The State of Food Security and Nutrition in the World (SOFI) Report 2024. Rome: FAO, IFAD, UNICEF, WFP, WHO, 2024.</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31564D32">
            <w:pPr>
              <w:jc w:val="left"/>
            </w:pPr>
            <w:r>
              <w:rPr>
                <w:rFonts w:ascii="Arial" w:hAnsi="Arial" w:eastAsia="Arial" w:cs="Arial"/>
                <w:b w:val="0"/>
                <w:bCs w:val="0"/>
                <w:i w:val="0"/>
                <w:iCs w:val="0"/>
                <w:color w:val="1C1C1C"/>
                <w:sz w:val="17"/>
                <w:szCs w:val="17"/>
              </w:rPr>
              <w:t>194 million undernourished Indians; hunger statistics and malnutrition data used throughout Section 01</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14244CF9">
            <w:pPr>
              <w:jc w:val="left"/>
            </w:pPr>
            <w:r>
              <w:rPr>
                <w:rFonts w:ascii="Arial" w:hAnsi="Arial" w:eastAsia="Arial" w:cs="Arial"/>
                <w:b w:val="0"/>
                <w:bCs w:val="0"/>
                <w:i w:val="0"/>
                <w:iCs w:val="0"/>
                <w:color w:val="2E7D52"/>
                <w:sz w:val="16"/>
                <w:szCs w:val="16"/>
              </w:rPr>
              <w:t>fao.org/publications/sofi/en | ISBN: 978-92-5-138882-7</w:t>
            </w:r>
          </w:p>
        </w:tc>
      </w:tr>
      <w:tr w14:paraId="79DA10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1CE77D14">
            <w:pPr>
              <w:jc w:val="center"/>
            </w:pPr>
            <w:r>
              <w:rPr>
                <w:rFonts w:ascii="Arial" w:hAnsi="Arial" w:eastAsia="Arial" w:cs="Arial"/>
                <w:b/>
                <w:bCs/>
                <w:i w:val="0"/>
                <w:iCs w:val="0"/>
                <w:color w:val="1A3C5E"/>
                <w:sz w:val="18"/>
                <w:szCs w:val="18"/>
              </w:rPr>
              <w:t>A3</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4B5EEFCB">
            <w:pPr>
              <w:jc w:val="left"/>
            </w:pPr>
            <w:r>
              <w:rPr>
                <w:rFonts w:ascii="Arial" w:hAnsi="Arial" w:eastAsia="Arial" w:cs="Arial"/>
                <w:b w:val="0"/>
                <w:bCs w:val="0"/>
                <w:i/>
                <w:iCs/>
                <w:color w:val="1C1C1C"/>
                <w:sz w:val="17"/>
                <w:szCs w:val="17"/>
              </w:rPr>
              <w:t>Concern Worldwide &amp; Welthungerhilfe. Global Hunger Index 2025: The Challenge of Conflict and Climate. Bonn: Welthungerhilfe, 2025.</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11C1B2CA">
            <w:pPr>
              <w:jc w:val="left"/>
            </w:pPr>
            <w:r>
              <w:rPr>
                <w:rFonts w:ascii="Arial" w:hAnsi="Arial" w:eastAsia="Arial" w:cs="Arial"/>
                <w:b w:val="0"/>
                <w:bCs w:val="0"/>
                <w:i w:val="0"/>
                <w:iCs w:val="0"/>
                <w:color w:val="1C1C1C"/>
                <w:sz w:val="17"/>
                <w:szCs w:val="17"/>
              </w:rPr>
              <w:t>India ranked 102nd out of 123 countries; GHI Score 25.8 (Serious category)</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59F942A9">
            <w:pPr>
              <w:jc w:val="left"/>
            </w:pPr>
            <w:r>
              <w:rPr>
                <w:rFonts w:ascii="Arial" w:hAnsi="Arial" w:eastAsia="Arial" w:cs="Arial"/>
                <w:b w:val="0"/>
                <w:bCs w:val="0"/>
                <w:i w:val="0"/>
                <w:iCs w:val="0"/>
                <w:color w:val="2E7D52"/>
                <w:sz w:val="16"/>
                <w:szCs w:val="16"/>
              </w:rPr>
              <w:t>globalhungerindex.org/2025.html</w:t>
            </w:r>
          </w:p>
        </w:tc>
      </w:tr>
      <w:tr w14:paraId="1B17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0307835F">
            <w:pPr>
              <w:jc w:val="center"/>
            </w:pPr>
            <w:r>
              <w:rPr>
                <w:rFonts w:ascii="Arial" w:hAnsi="Arial" w:eastAsia="Arial" w:cs="Arial"/>
                <w:b/>
                <w:bCs/>
                <w:i w:val="0"/>
                <w:iCs w:val="0"/>
                <w:color w:val="1A3C5E"/>
                <w:sz w:val="18"/>
                <w:szCs w:val="18"/>
              </w:rPr>
              <w:t>A4</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6038F5EA">
            <w:pPr>
              <w:jc w:val="left"/>
            </w:pPr>
            <w:r>
              <w:rPr>
                <w:rFonts w:ascii="Arial" w:hAnsi="Arial" w:eastAsia="Arial" w:cs="Arial"/>
                <w:b w:val="0"/>
                <w:bCs w:val="0"/>
                <w:i/>
                <w:iCs/>
                <w:color w:val="1C1C1C"/>
                <w:sz w:val="17"/>
                <w:szCs w:val="17"/>
              </w:rPr>
              <w:t>World Resources Institute (WRI) India. Food and Land Use Coalition — India Report: Improving the Food and Land Use System. Washington DC: WRI, 2020.</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3DB0B6BD">
            <w:pPr>
              <w:jc w:val="left"/>
            </w:pPr>
            <w:r>
              <w:rPr>
                <w:rFonts w:ascii="Arial" w:hAnsi="Arial" w:eastAsia="Arial" w:cs="Arial"/>
                <w:b w:val="0"/>
                <w:bCs w:val="0"/>
                <w:i w:val="0"/>
                <w:iCs w:val="0"/>
                <w:color w:val="1C1C1C"/>
                <w:sz w:val="17"/>
                <w:szCs w:val="17"/>
              </w:rPr>
              <w:t>India food loss cost ₹92,651 crore; economic cost of food waste as % of GDP; agricultural land use data</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0F360173">
            <w:pPr>
              <w:jc w:val="left"/>
            </w:pPr>
            <w:r>
              <w:rPr>
                <w:rFonts w:ascii="Arial" w:hAnsi="Arial" w:eastAsia="Arial" w:cs="Arial"/>
                <w:b w:val="0"/>
                <w:bCs w:val="0"/>
                <w:i w:val="0"/>
                <w:iCs w:val="0"/>
                <w:color w:val="2E7D52"/>
                <w:sz w:val="16"/>
                <w:szCs w:val="16"/>
              </w:rPr>
              <w:t>wri.org/research/india-food-land-use | Also: wricitiesindia.org</w:t>
            </w:r>
          </w:p>
        </w:tc>
      </w:tr>
      <w:tr w14:paraId="78CA25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3BCEBA76">
            <w:pPr>
              <w:jc w:val="center"/>
            </w:pPr>
            <w:r>
              <w:rPr>
                <w:rFonts w:ascii="Arial" w:hAnsi="Arial" w:eastAsia="Arial" w:cs="Arial"/>
                <w:b/>
                <w:bCs/>
                <w:i w:val="0"/>
                <w:iCs w:val="0"/>
                <w:color w:val="1A3C5E"/>
                <w:sz w:val="18"/>
                <w:szCs w:val="18"/>
              </w:rPr>
              <w:t>A5</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139F4F0C">
            <w:pPr>
              <w:jc w:val="left"/>
            </w:pPr>
            <w:r>
              <w:rPr>
                <w:rFonts w:ascii="Arial" w:hAnsi="Arial" w:eastAsia="Arial" w:cs="Arial"/>
                <w:b w:val="0"/>
                <w:bCs w:val="0"/>
                <w:i/>
                <w:iCs/>
                <w:color w:val="1C1C1C"/>
                <w:sz w:val="17"/>
                <w:szCs w:val="17"/>
              </w:rPr>
              <w:t>Ministry of Food Processing Industries, Government of India. Annual Report 2023–24. New Delhi: MoFPI, 2024.</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1D32A8F8">
            <w:pPr>
              <w:jc w:val="left"/>
            </w:pPr>
            <w:r>
              <w:rPr>
                <w:rFonts w:ascii="Arial" w:hAnsi="Arial" w:eastAsia="Arial" w:cs="Arial"/>
                <w:b w:val="0"/>
                <w:bCs w:val="0"/>
                <w:i w:val="0"/>
                <w:iCs w:val="0"/>
                <w:color w:val="1C1C1C"/>
                <w:sz w:val="17"/>
                <w:szCs w:val="17"/>
              </w:rPr>
              <w:t>India food processing sector data; supply chain loss statistics; cold chain infrastructure gaps</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158DAE81">
            <w:pPr>
              <w:jc w:val="left"/>
            </w:pPr>
            <w:r>
              <w:rPr>
                <w:rFonts w:ascii="Arial" w:hAnsi="Arial" w:eastAsia="Arial" w:cs="Arial"/>
                <w:b w:val="0"/>
                <w:bCs w:val="0"/>
                <w:i w:val="0"/>
                <w:iCs w:val="0"/>
                <w:color w:val="2E7D52"/>
                <w:sz w:val="16"/>
                <w:szCs w:val="16"/>
              </w:rPr>
              <w:t>mofpi.gov.in/documents/annual-reports</w:t>
            </w:r>
          </w:p>
        </w:tc>
      </w:tr>
      <w:tr w14:paraId="119EC6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40C97419">
            <w:pPr>
              <w:jc w:val="center"/>
            </w:pPr>
            <w:r>
              <w:rPr>
                <w:rFonts w:ascii="Arial" w:hAnsi="Arial" w:eastAsia="Arial" w:cs="Arial"/>
                <w:b/>
                <w:bCs/>
                <w:i w:val="0"/>
                <w:iCs w:val="0"/>
                <w:color w:val="1A3C5E"/>
                <w:sz w:val="18"/>
                <w:szCs w:val="18"/>
              </w:rPr>
              <w:t>A6</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2C150DAB">
            <w:pPr>
              <w:jc w:val="left"/>
            </w:pPr>
            <w:r>
              <w:rPr>
                <w:rFonts w:ascii="Arial" w:hAnsi="Arial" w:eastAsia="Arial" w:cs="Arial"/>
                <w:b w:val="0"/>
                <w:bCs w:val="0"/>
                <w:i/>
                <w:iCs/>
                <w:color w:val="1C1C1C"/>
                <w:sz w:val="17"/>
                <w:szCs w:val="17"/>
              </w:rPr>
              <w:t>Sharma, V. &amp; Bhardwaj, A. 'Food Wastage in India: A Critical Analysis.' International Journal of Home Science, Vol. 4, No. 3, pp. 187–190, 2018.</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586EBF3A">
            <w:pPr>
              <w:jc w:val="left"/>
            </w:pPr>
            <w:r>
              <w:rPr>
                <w:rFonts w:ascii="Arial" w:hAnsi="Arial" w:eastAsia="Arial" w:cs="Arial"/>
                <w:b w:val="0"/>
                <w:bCs w:val="0"/>
                <w:i w:val="0"/>
                <w:iCs w:val="0"/>
                <w:color w:val="1C1C1C"/>
                <w:sz w:val="17"/>
                <w:szCs w:val="17"/>
              </w:rPr>
              <w:t>Wedding and event food waste: 10–40% of food prepared is discarded</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387C16AA">
            <w:pPr>
              <w:jc w:val="left"/>
            </w:pPr>
            <w:r>
              <w:rPr>
                <w:rFonts w:ascii="Arial" w:hAnsi="Arial" w:eastAsia="Arial" w:cs="Arial"/>
                <w:b w:val="0"/>
                <w:bCs w:val="0"/>
                <w:i w:val="0"/>
                <w:iCs w:val="0"/>
                <w:color w:val="2E7D52"/>
                <w:sz w:val="16"/>
                <w:szCs w:val="16"/>
              </w:rPr>
              <w:t>Accessible via: indianjournals.com | ISSN: 2395-7476</w:t>
            </w:r>
          </w:p>
        </w:tc>
      </w:tr>
    </w:tbl>
    <w:p w14:paraId="1D90BAAD">
      <w:pPr>
        <w:pBdr>
          <w:bottom w:val="single" w:color="2E7D52" w:sz="4" w:space="2"/>
        </w:pBdr>
        <w:spacing w:before="200" w:after="80"/>
      </w:pPr>
      <w:r>
        <w:rPr>
          <w:rFonts w:ascii="Arial" w:hAnsi="Arial" w:eastAsia="Arial" w:cs="Arial"/>
          <w:b/>
          <w:bCs/>
          <w:color w:val="2E7D52"/>
          <w:sz w:val="24"/>
          <w:szCs w:val="24"/>
        </w:rPr>
        <w:t>B.  LEGAL, REGULATORY &amp; POLICY FRAMEWORK</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1"/>
        <w:gridCol w:w="1745"/>
        <w:gridCol w:w="1525"/>
        <w:gridCol w:w="6418"/>
      </w:tblGrid>
      <w:tr w14:paraId="0BF00B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5C416E0B">
            <w:pPr>
              <w:jc w:val="center"/>
            </w:pPr>
            <w:r>
              <w:rPr>
                <w:rFonts w:ascii="Arial" w:hAnsi="Arial" w:eastAsia="Arial" w:cs="Arial"/>
                <w:b/>
                <w:bCs/>
                <w:color w:val="FFFFFF"/>
                <w:sz w:val="20"/>
                <w:szCs w:val="20"/>
              </w:rPr>
              <w:t>#</w:t>
            </w:r>
          </w:p>
        </w:tc>
        <w:tc>
          <w:tcPr>
            <w:tcW w:w="28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6E7B29A2">
            <w:pPr>
              <w:jc w:val="center"/>
            </w:pPr>
            <w:r>
              <w:rPr>
                <w:rFonts w:ascii="Arial" w:hAnsi="Arial" w:eastAsia="Arial" w:cs="Arial"/>
                <w:b/>
                <w:bCs/>
                <w:color w:val="FFFFFF"/>
                <w:sz w:val="20"/>
                <w:szCs w:val="20"/>
              </w:rPr>
              <w:t>SOURCE / TITLE</w:t>
            </w:r>
          </w:p>
        </w:tc>
        <w:tc>
          <w:tcPr>
            <w:tcW w:w="376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2A868E73">
            <w:pPr>
              <w:jc w:val="center"/>
            </w:pPr>
            <w:r>
              <w:rPr>
                <w:rFonts w:ascii="Arial" w:hAnsi="Arial" w:eastAsia="Arial" w:cs="Arial"/>
                <w:b/>
                <w:bCs/>
                <w:color w:val="FFFFFF"/>
                <w:sz w:val="20"/>
                <w:szCs w:val="20"/>
              </w:rPr>
              <w:t>KEY CLAIM SUPPORTED</w:t>
            </w:r>
          </w:p>
        </w:tc>
        <w:tc>
          <w:tcPr>
            <w:tcW w:w="24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2A8028DD">
            <w:pPr>
              <w:jc w:val="center"/>
            </w:pPr>
            <w:r>
              <w:rPr>
                <w:rFonts w:ascii="Arial" w:hAnsi="Arial" w:eastAsia="Arial" w:cs="Arial"/>
                <w:b/>
                <w:bCs/>
                <w:color w:val="FFFFFF"/>
                <w:sz w:val="20"/>
                <w:szCs w:val="20"/>
              </w:rPr>
              <w:t>HOW TO ACCESS</w:t>
            </w:r>
          </w:p>
        </w:tc>
      </w:tr>
      <w:tr w14:paraId="44599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1ADA1C36">
            <w:pPr>
              <w:jc w:val="center"/>
            </w:pPr>
            <w:r>
              <w:rPr>
                <w:rFonts w:ascii="Arial" w:hAnsi="Arial" w:eastAsia="Arial" w:cs="Arial"/>
                <w:b/>
                <w:bCs/>
                <w:i w:val="0"/>
                <w:iCs w:val="0"/>
                <w:color w:val="1A3C5E"/>
                <w:sz w:val="18"/>
                <w:szCs w:val="18"/>
              </w:rPr>
              <w:t>B1</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1B99A910">
            <w:pPr>
              <w:jc w:val="left"/>
            </w:pPr>
            <w:r>
              <w:rPr>
                <w:rFonts w:ascii="Arial" w:hAnsi="Arial" w:eastAsia="Arial" w:cs="Arial"/>
                <w:b w:val="0"/>
                <w:bCs w:val="0"/>
                <w:i/>
                <w:iCs/>
                <w:color w:val="1C1C1C"/>
                <w:sz w:val="17"/>
                <w:szCs w:val="17"/>
              </w:rPr>
              <w:t>Food Safety and Standards Authority of India (FSSAI). Food Safety and Standards (Recovery and Distribution of Surplus Food) Regulations, 2019. Gazette Notification No. REG/11/27/Surplus Food/FSSAI-2017. Dated: 26 July 2019.</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6817435D">
            <w:pPr>
              <w:jc w:val="left"/>
            </w:pPr>
            <w:r>
              <w:rPr>
                <w:rFonts w:ascii="Arial" w:hAnsi="Arial" w:eastAsia="Arial" w:cs="Arial"/>
                <w:b w:val="0"/>
                <w:bCs w:val="0"/>
                <w:i w:val="0"/>
                <w:iCs w:val="0"/>
                <w:color w:val="1C1C1C"/>
                <w:sz w:val="17"/>
                <w:szCs w:val="17"/>
              </w:rPr>
              <w:t>SFDO registration framework; donor liability protection under Indian law; food safety compliance requirements for food redistribution organizations</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253E12B8">
            <w:pPr>
              <w:jc w:val="left"/>
            </w:pPr>
            <w:r>
              <w:rPr>
                <w:rFonts w:ascii="Arial" w:hAnsi="Arial" w:eastAsia="Arial" w:cs="Arial"/>
                <w:b w:val="0"/>
                <w:bCs w:val="0"/>
                <w:i w:val="0"/>
                <w:iCs w:val="0"/>
                <w:color w:val="2E7D52"/>
                <w:sz w:val="16"/>
                <w:szCs w:val="16"/>
              </w:rPr>
              <w:t>fssai.gov.in/cms/food-safety-and-standards-regulations.php (Regulation #17)</w:t>
            </w:r>
          </w:p>
        </w:tc>
      </w:tr>
      <w:tr w14:paraId="051D27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6B57C918">
            <w:pPr>
              <w:jc w:val="center"/>
            </w:pPr>
            <w:r>
              <w:rPr>
                <w:rFonts w:ascii="Arial" w:hAnsi="Arial" w:eastAsia="Arial" w:cs="Arial"/>
                <w:b/>
                <w:bCs/>
                <w:i w:val="0"/>
                <w:iCs w:val="0"/>
                <w:color w:val="1A3C5E"/>
                <w:sz w:val="18"/>
                <w:szCs w:val="18"/>
              </w:rPr>
              <w:t>B2</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5B1113CB">
            <w:pPr>
              <w:jc w:val="left"/>
            </w:pPr>
            <w:r>
              <w:rPr>
                <w:rFonts w:ascii="Arial" w:hAnsi="Arial" w:eastAsia="Arial" w:cs="Arial"/>
                <w:b w:val="0"/>
                <w:bCs w:val="0"/>
                <w:i/>
                <w:iCs/>
                <w:color w:val="1C1C1C"/>
                <w:sz w:val="17"/>
                <w:szCs w:val="17"/>
              </w:rPr>
              <w:t>Food Safety and Standards Authority of India (FSSAI). Food Safety and Standards (Licensing and Registration of Food Businesses) Regulations, 2011. New Delhi: FSSAI, 2011.</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23FB9EC2">
            <w:pPr>
              <w:jc w:val="left"/>
            </w:pPr>
            <w:r>
              <w:rPr>
                <w:rFonts w:ascii="Arial" w:hAnsi="Arial" w:eastAsia="Arial" w:cs="Arial"/>
                <w:b w:val="0"/>
                <w:bCs w:val="0"/>
                <w:i w:val="0"/>
                <w:iCs w:val="0"/>
                <w:color w:val="1C1C1C"/>
                <w:sz w:val="17"/>
                <w:szCs w:val="17"/>
              </w:rPr>
              <w:t>FSSAI licensing requirements for food businesses; hygiene standards; cross-verification of licenses via API</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20CBEFD1">
            <w:pPr>
              <w:jc w:val="left"/>
            </w:pPr>
            <w:r>
              <w:rPr>
                <w:rFonts w:ascii="Arial" w:hAnsi="Arial" w:eastAsia="Arial" w:cs="Arial"/>
                <w:b w:val="0"/>
                <w:bCs w:val="0"/>
                <w:i w:val="0"/>
                <w:iCs w:val="0"/>
                <w:color w:val="2E7D52"/>
                <w:sz w:val="16"/>
                <w:szCs w:val="16"/>
              </w:rPr>
              <w:t>fssai.gov.in/cms/food-safety-and-standards-regulations.php (Regulation #1)</w:t>
            </w:r>
          </w:p>
        </w:tc>
      </w:tr>
      <w:tr w14:paraId="05675F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6E14EAC7">
            <w:pPr>
              <w:jc w:val="center"/>
            </w:pPr>
            <w:r>
              <w:rPr>
                <w:rFonts w:ascii="Arial" w:hAnsi="Arial" w:eastAsia="Arial" w:cs="Arial"/>
                <w:b/>
                <w:bCs/>
                <w:i w:val="0"/>
                <w:iCs w:val="0"/>
                <w:color w:val="1A3C5E"/>
                <w:sz w:val="18"/>
                <w:szCs w:val="18"/>
              </w:rPr>
              <w:t>B3</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170E74CE">
            <w:pPr>
              <w:jc w:val="left"/>
            </w:pPr>
            <w:r>
              <w:rPr>
                <w:rFonts w:ascii="Arial" w:hAnsi="Arial" w:eastAsia="Arial" w:cs="Arial"/>
                <w:b w:val="0"/>
                <w:bCs w:val="0"/>
                <w:i/>
                <w:iCs/>
                <w:color w:val="1C1C1C"/>
                <w:sz w:val="17"/>
                <w:szCs w:val="17"/>
              </w:rPr>
              <w:t>Global Food Donation Policy Atlas. Country Report: India — Legal Framework for Food Donation. Harvard Law School Food Law and Policy Clinic &amp; Second Harvest, 2021.</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649E9E7F">
            <w:pPr>
              <w:jc w:val="left"/>
            </w:pPr>
            <w:r>
              <w:rPr>
                <w:rFonts w:ascii="Arial" w:hAnsi="Arial" w:eastAsia="Arial" w:cs="Arial"/>
                <w:b w:val="0"/>
                <w:bCs w:val="0"/>
                <w:i w:val="0"/>
                <w:iCs w:val="0"/>
                <w:color w:val="1C1C1C"/>
                <w:sz w:val="17"/>
                <w:szCs w:val="17"/>
              </w:rPr>
              <w:t>India's lack of federal liability protection for food donors; gap in legal shield compared to USA Good Samaritan Food Donation Act</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31C98F24">
            <w:pPr>
              <w:jc w:val="left"/>
            </w:pPr>
            <w:r>
              <w:rPr>
                <w:rFonts w:ascii="Arial" w:hAnsi="Arial" w:eastAsia="Arial" w:cs="Arial"/>
                <w:b w:val="0"/>
                <w:bCs w:val="0"/>
                <w:i w:val="0"/>
                <w:iCs w:val="0"/>
                <w:color w:val="2E7D52"/>
                <w:sz w:val="16"/>
                <w:szCs w:val="16"/>
              </w:rPr>
              <w:t>refed.com/food-waste-solutions/insights-tools/us-policy-guide | globalpolicyatlas.org</w:t>
            </w:r>
          </w:p>
        </w:tc>
      </w:tr>
      <w:tr w14:paraId="1C36D8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79D56787">
            <w:pPr>
              <w:jc w:val="center"/>
            </w:pPr>
            <w:r>
              <w:rPr>
                <w:rFonts w:ascii="Arial" w:hAnsi="Arial" w:eastAsia="Arial" w:cs="Arial"/>
                <w:b/>
                <w:bCs/>
                <w:i w:val="0"/>
                <w:iCs w:val="0"/>
                <w:color w:val="1A3C5E"/>
                <w:sz w:val="18"/>
                <w:szCs w:val="18"/>
              </w:rPr>
              <w:t>B4</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1C5B9C5E">
            <w:pPr>
              <w:jc w:val="left"/>
            </w:pPr>
            <w:r>
              <w:rPr>
                <w:rFonts w:ascii="Arial" w:hAnsi="Arial" w:eastAsia="Arial" w:cs="Arial"/>
                <w:b w:val="0"/>
                <w:bCs w:val="0"/>
                <w:i/>
                <w:iCs/>
                <w:color w:val="1C1C1C"/>
                <w:sz w:val="17"/>
                <w:szCs w:val="17"/>
              </w:rPr>
              <w:t>Ministry of Corporate Affairs, Government of India. Companies Act, 2013 — Schedule VII (Corporate Social Responsibility). New Delhi: MCA, 2013.</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69E5E44A">
            <w:pPr>
              <w:jc w:val="left"/>
            </w:pPr>
            <w:r>
              <w:rPr>
                <w:rFonts w:ascii="Arial" w:hAnsi="Arial" w:eastAsia="Arial" w:cs="Arial"/>
                <w:b w:val="0"/>
                <w:bCs w:val="0"/>
                <w:i w:val="0"/>
                <w:iCs w:val="0"/>
                <w:color w:val="1C1C1C"/>
                <w:sz w:val="17"/>
                <w:szCs w:val="17"/>
              </w:rPr>
              <w:t>Mandatory 2% net profit CSR spending; Schedule VII eligibility for hunger and food security programs; CSR documentation requirements</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4548BC6C">
            <w:pPr>
              <w:jc w:val="left"/>
            </w:pPr>
            <w:r>
              <w:rPr>
                <w:rFonts w:ascii="Arial" w:hAnsi="Arial" w:eastAsia="Arial" w:cs="Arial"/>
                <w:b w:val="0"/>
                <w:bCs w:val="0"/>
                <w:i w:val="0"/>
                <w:iCs w:val="0"/>
                <w:color w:val="2E7D52"/>
                <w:sz w:val="16"/>
                <w:szCs w:val="16"/>
              </w:rPr>
              <w:t>mca.gov.in/Ministry/pdf/CompaniesAct2013.pdf</w:t>
            </w:r>
          </w:p>
        </w:tc>
      </w:tr>
      <w:tr w14:paraId="7CD9A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62352570">
            <w:pPr>
              <w:jc w:val="center"/>
            </w:pPr>
            <w:r>
              <w:rPr>
                <w:rFonts w:ascii="Arial" w:hAnsi="Arial" w:eastAsia="Arial" w:cs="Arial"/>
                <w:b/>
                <w:bCs/>
                <w:i w:val="0"/>
                <w:iCs w:val="0"/>
                <w:color w:val="1A3C5E"/>
                <w:sz w:val="18"/>
                <w:szCs w:val="18"/>
              </w:rPr>
              <w:t>B5</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314BB018">
            <w:pPr>
              <w:jc w:val="left"/>
            </w:pPr>
            <w:r>
              <w:rPr>
                <w:rFonts w:ascii="Arial" w:hAnsi="Arial" w:eastAsia="Arial" w:cs="Arial"/>
                <w:b w:val="0"/>
                <w:bCs w:val="0"/>
                <w:i/>
                <w:iCs/>
                <w:color w:val="1C1C1C"/>
                <w:sz w:val="17"/>
                <w:szCs w:val="17"/>
              </w:rPr>
              <w:t>Department for Promotion of Industry and Internal Trade (DPIIT), Government of India. Startup India Recognition &amp; DPIIT Registration Guidelines, 2016 (Updated 2023).</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7E36FD23">
            <w:pPr>
              <w:jc w:val="left"/>
            </w:pPr>
            <w:r>
              <w:rPr>
                <w:rFonts w:ascii="Arial" w:hAnsi="Arial" w:eastAsia="Arial" w:cs="Arial"/>
                <w:b w:val="0"/>
                <w:bCs w:val="0"/>
                <w:i w:val="0"/>
                <w:iCs w:val="0"/>
                <w:color w:val="1C1C1C"/>
                <w:sz w:val="17"/>
                <w:szCs w:val="17"/>
              </w:rPr>
              <w:t>Tax benefits, Section 80-IAC exemption; eligibility for Startup India Seed Fund; DPIIT registration process</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0B20DC0A">
            <w:pPr>
              <w:jc w:val="left"/>
            </w:pPr>
            <w:r>
              <w:rPr>
                <w:rFonts w:ascii="Arial" w:hAnsi="Arial" w:eastAsia="Arial" w:cs="Arial"/>
                <w:b w:val="0"/>
                <w:bCs w:val="0"/>
                <w:i w:val="0"/>
                <w:iCs w:val="0"/>
                <w:color w:val="2E7D52"/>
                <w:sz w:val="16"/>
                <w:szCs w:val="16"/>
              </w:rPr>
              <w:t>startupindia.gov.in/content/sih/en/startup-scheme.html</w:t>
            </w:r>
          </w:p>
        </w:tc>
      </w:tr>
      <w:tr w14:paraId="593EA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45BB211D">
            <w:pPr>
              <w:jc w:val="center"/>
            </w:pPr>
            <w:r>
              <w:rPr>
                <w:rFonts w:ascii="Arial" w:hAnsi="Arial" w:eastAsia="Arial" w:cs="Arial"/>
                <w:b/>
                <w:bCs/>
                <w:i w:val="0"/>
                <w:iCs w:val="0"/>
                <w:color w:val="1A3C5E"/>
                <w:sz w:val="18"/>
                <w:szCs w:val="18"/>
              </w:rPr>
              <w:t>B6</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54957416">
            <w:pPr>
              <w:jc w:val="left"/>
            </w:pPr>
            <w:r>
              <w:rPr>
                <w:rFonts w:ascii="Arial" w:hAnsi="Arial" w:eastAsia="Arial" w:cs="Arial"/>
                <w:b w:val="0"/>
                <w:bCs w:val="0"/>
                <w:i/>
                <w:iCs/>
                <w:color w:val="1C1C1C"/>
                <w:sz w:val="17"/>
                <w:szCs w:val="17"/>
              </w:rPr>
              <w:t>Food Safety and Standards Authority of India (FSSAI). 'Save Food Share Food Share Joy' Campaign — Operational Guidelines. New Delhi: FSSAI, 2022.</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6EBF54B0">
            <w:pPr>
              <w:jc w:val="left"/>
            </w:pPr>
            <w:r>
              <w:rPr>
                <w:rFonts w:ascii="Arial" w:hAnsi="Arial" w:eastAsia="Arial" w:cs="Arial"/>
                <w:b w:val="0"/>
                <w:bCs w:val="0"/>
                <w:i w:val="0"/>
                <w:iCs w:val="0"/>
                <w:color w:val="1C1C1C"/>
                <w:sz w:val="17"/>
                <w:szCs w:val="17"/>
              </w:rPr>
              <w:t>FSSAI's national food redistribution initiative; official tech partner framework; monitoring committee structure</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26E74B0A">
            <w:pPr>
              <w:jc w:val="left"/>
            </w:pPr>
            <w:r>
              <w:rPr>
                <w:rFonts w:ascii="Arial" w:hAnsi="Arial" w:eastAsia="Arial" w:cs="Arial"/>
                <w:b w:val="0"/>
                <w:bCs w:val="0"/>
                <w:i w:val="0"/>
                <w:iCs w:val="0"/>
                <w:color w:val="2E7D52"/>
                <w:sz w:val="16"/>
                <w:szCs w:val="16"/>
              </w:rPr>
              <w:t>fssai.gov.in | Direct: https://www.fssai.gov.in/upload/advisories/2022/07/62d73a03c0b3dFood_Donation.pdf</w:t>
            </w:r>
          </w:p>
        </w:tc>
      </w:tr>
    </w:tbl>
    <w:p w14:paraId="047585DD">
      <w:pPr>
        <w:pBdr>
          <w:bottom w:val="single" w:color="2E7D52" w:sz="4" w:space="2"/>
        </w:pBdr>
        <w:spacing w:before="200" w:after="80"/>
      </w:pPr>
      <w:r>
        <w:rPr>
          <w:rFonts w:ascii="Arial" w:hAnsi="Arial" w:eastAsia="Arial" w:cs="Arial"/>
          <w:b/>
          <w:bCs/>
          <w:color w:val="2E7D52"/>
          <w:sz w:val="24"/>
          <w:szCs w:val="24"/>
        </w:rPr>
        <w:t>C.  FOOD SAFETY, COLD CHAIN &amp; PUBLIC HEALTH</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1"/>
        <w:gridCol w:w="1405"/>
        <w:gridCol w:w="1525"/>
        <w:gridCol w:w="6400"/>
      </w:tblGrid>
      <w:tr w14:paraId="17E0C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05D50DED">
            <w:pPr>
              <w:jc w:val="center"/>
            </w:pPr>
            <w:r>
              <w:rPr>
                <w:rFonts w:ascii="Arial" w:hAnsi="Arial" w:eastAsia="Arial" w:cs="Arial"/>
                <w:b/>
                <w:bCs/>
                <w:color w:val="FFFFFF"/>
                <w:sz w:val="20"/>
                <w:szCs w:val="20"/>
              </w:rPr>
              <w:t>#</w:t>
            </w:r>
          </w:p>
        </w:tc>
        <w:tc>
          <w:tcPr>
            <w:tcW w:w="28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5D22B19C">
            <w:pPr>
              <w:jc w:val="center"/>
            </w:pPr>
            <w:r>
              <w:rPr>
                <w:rFonts w:ascii="Arial" w:hAnsi="Arial" w:eastAsia="Arial" w:cs="Arial"/>
                <w:b/>
                <w:bCs/>
                <w:color w:val="FFFFFF"/>
                <w:sz w:val="20"/>
                <w:szCs w:val="20"/>
              </w:rPr>
              <w:t>SOURCE / TITLE</w:t>
            </w:r>
          </w:p>
        </w:tc>
        <w:tc>
          <w:tcPr>
            <w:tcW w:w="376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3732F8DF">
            <w:pPr>
              <w:jc w:val="center"/>
            </w:pPr>
            <w:r>
              <w:rPr>
                <w:rFonts w:ascii="Arial" w:hAnsi="Arial" w:eastAsia="Arial" w:cs="Arial"/>
                <w:b/>
                <w:bCs/>
                <w:color w:val="FFFFFF"/>
                <w:sz w:val="20"/>
                <w:szCs w:val="20"/>
              </w:rPr>
              <w:t>KEY CLAIM SUPPORTED</w:t>
            </w:r>
          </w:p>
        </w:tc>
        <w:tc>
          <w:tcPr>
            <w:tcW w:w="24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74D55A64">
            <w:pPr>
              <w:jc w:val="center"/>
            </w:pPr>
            <w:r>
              <w:rPr>
                <w:rFonts w:ascii="Arial" w:hAnsi="Arial" w:eastAsia="Arial" w:cs="Arial"/>
                <w:b/>
                <w:bCs/>
                <w:color w:val="FFFFFF"/>
                <w:sz w:val="20"/>
                <w:szCs w:val="20"/>
              </w:rPr>
              <w:t>HOW TO ACCESS</w:t>
            </w:r>
          </w:p>
        </w:tc>
      </w:tr>
      <w:tr w14:paraId="78CC5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4449BCD9">
            <w:pPr>
              <w:jc w:val="center"/>
            </w:pPr>
            <w:r>
              <w:rPr>
                <w:rFonts w:ascii="Arial" w:hAnsi="Arial" w:eastAsia="Arial" w:cs="Arial"/>
                <w:b/>
                <w:bCs/>
                <w:i w:val="0"/>
                <w:iCs w:val="0"/>
                <w:color w:val="1A3C5E"/>
                <w:sz w:val="18"/>
                <w:szCs w:val="18"/>
              </w:rPr>
              <w:t>C1</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6DB4A051">
            <w:pPr>
              <w:jc w:val="left"/>
            </w:pPr>
            <w:r>
              <w:rPr>
                <w:rFonts w:ascii="Arial" w:hAnsi="Arial" w:eastAsia="Arial" w:cs="Arial"/>
                <w:b w:val="0"/>
                <w:bCs w:val="0"/>
                <w:i/>
                <w:iCs/>
                <w:color w:val="1C1C1C"/>
                <w:sz w:val="17"/>
                <w:szCs w:val="17"/>
              </w:rPr>
              <w:t>World Health Organization (WHO). Five Keys to Safer Food Manual. Geneva: WHO Department of Food Safety, 2006 (Reprinted 2021).</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634A6376">
            <w:pPr>
              <w:jc w:val="left"/>
            </w:pPr>
            <w:r>
              <w:rPr>
                <w:rFonts w:ascii="Arial" w:hAnsi="Arial" w:eastAsia="Arial" w:cs="Arial"/>
                <w:b w:val="0"/>
                <w:bCs w:val="0"/>
                <w:i w:val="0"/>
                <w:iCs w:val="0"/>
                <w:color w:val="1C1C1C"/>
                <w:sz w:val="17"/>
                <w:szCs w:val="17"/>
              </w:rPr>
              <w:t>2-hour / 4-hour temperature rule for cooked food; bacterial growth at 25–35°C; food handler hygiene requirements</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48F9F736">
            <w:pPr>
              <w:jc w:val="left"/>
            </w:pPr>
            <w:r>
              <w:rPr>
                <w:rFonts w:ascii="Arial" w:hAnsi="Arial" w:eastAsia="Arial" w:cs="Arial"/>
                <w:b w:val="0"/>
                <w:bCs w:val="0"/>
                <w:i w:val="0"/>
                <w:iCs w:val="0"/>
                <w:color w:val="2E7D52"/>
                <w:sz w:val="16"/>
                <w:szCs w:val="16"/>
              </w:rPr>
              <w:t>who.int/publications/i/item/9789241594639 | ISBN: 92-4-159463-X</w:t>
            </w:r>
          </w:p>
        </w:tc>
      </w:tr>
      <w:tr w14:paraId="6B5EE2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2F39D179">
            <w:pPr>
              <w:jc w:val="center"/>
            </w:pPr>
            <w:r>
              <w:rPr>
                <w:rFonts w:ascii="Arial" w:hAnsi="Arial" w:eastAsia="Arial" w:cs="Arial"/>
                <w:b/>
                <w:bCs/>
                <w:i w:val="0"/>
                <w:iCs w:val="0"/>
                <w:color w:val="1A3C5E"/>
                <w:sz w:val="18"/>
                <w:szCs w:val="18"/>
              </w:rPr>
              <w:t>C2</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6A4ED37D">
            <w:pPr>
              <w:jc w:val="left"/>
            </w:pPr>
            <w:r>
              <w:rPr>
                <w:rFonts w:ascii="Arial" w:hAnsi="Arial" w:eastAsia="Arial" w:cs="Arial"/>
                <w:b w:val="0"/>
                <w:bCs w:val="0"/>
                <w:i/>
                <w:iCs/>
                <w:color w:val="1C1C1C"/>
                <w:sz w:val="17"/>
                <w:szCs w:val="17"/>
              </w:rPr>
              <w:t>Indian Council of Medical Research (ICMR). Dietary Guidelines for Indians — A Manual. 2nd Edition. Hyderabad: ICMR–NIN, 2011 (Updated 2024).</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57DAF336">
            <w:pPr>
              <w:jc w:val="left"/>
            </w:pPr>
            <w:r>
              <w:rPr>
                <w:rFonts w:ascii="Arial" w:hAnsi="Arial" w:eastAsia="Arial" w:cs="Arial"/>
                <w:b w:val="0"/>
                <w:bCs w:val="0"/>
                <w:i w:val="0"/>
                <w:iCs w:val="0"/>
                <w:color w:val="1C1C1C"/>
                <w:sz w:val="17"/>
                <w:szCs w:val="17"/>
              </w:rPr>
              <w:t>Safe food temperature thresholds in Indian climate conditions; cooked food shelf life in ambient Indian temperatures</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72A11E96">
            <w:pPr>
              <w:jc w:val="left"/>
            </w:pPr>
            <w:r>
              <w:rPr>
                <w:rFonts w:ascii="Arial" w:hAnsi="Arial" w:eastAsia="Arial" w:cs="Arial"/>
                <w:b w:val="0"/>
                <w:bCs w:val="0"/>
                <w:i w:val="0"/>
                <w:iCs w:val="0"/>
                <w:color w:val="2E7D52"/>
                <w:sz w:val="16"/>
                <w:szCs w:val="16"/>
              </w:rPr>
              <w:t>nin.res.in/downloads/DietaryGuidelinesforNINwebsite.pdf</w:t>
            </w:r>
          </w:p>
        </w:tc>
      </w:tr>
      <w:tr w14:paraId="416FE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45FDE7FD">
            <w:pPr>
              <w:jc w:val="center"/>
            </w:pPr>
            <w:r>
              <w:rPr>
                <w:rFonts w:ascii="Arial" w:hAnsi="Arial" w:eastAsia="Arial" w:cs="Arial"/>
                <w:b/>
                <w:bCs/>
                <w:i w:val="0"/>
                <w:iCs w:val="0"/>
                <w:color w:val="1A3C5E"/>
                <w:sz w:val="18"/>
                <w:szCs w:val="18"/>
              </w:rPr>
              <w:t>C3</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75A2AAD5">
            <w:pPr>
              <w:jc w:val="left"/>
            </w:pPr>
            <w:r>
              <w:rPr>
                <w:rFonts w:ascii="Arial" w:hAnsi="Arial" w:eastAsia="Arial" w:cs="Arial"/>
                <w:b w:val="0"/>
                <w:bCs w:val="0"/>
                <w:i/>
                <w:iCs/>
                <w:color w:val="1C1C1C"/>
                <w:sz w:val="17"/>
                <w:szCs w:val="17"/>
              </w:rPr>
              <w:t>National Centre for Cold-chain Development (NCCD). All India Cold-chain Infrastructure Capacity: Assessment of Status &amp; Gap — 2015 (Updated Assessment 2021). New Delhi: Ministry of Agriculture, 2021.</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3DFD0B46">
            <w:pPr>
              <w:jc w:val="left"/>
            </w:pPr>
            <w:r>
              <w:rPr>
                <w:rFonts w:ascii="Arial" w:hAnsi="Arial" w:eastAsia="Arial" w:cs="Arial"/>
                <w:b w:val="0"/>
                <w:bCs w:val="0"/>
                <w:i w:val="0"/>
                <w:iCs w:val="0"/>
                <w:color w:val="1C1C1C"/>
                <w:sz w:val="17"/>
                <w:szCs w:val="17"/>
              </w:rPr>
              <w:t>Cold chain infrastructure gaps in India; reefer vehicle shortage; temperature management challenges in food logistics</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540C68AD">
            <w:pPr>
              <w:jc w:val="left"/>
            </w:pPr>
            <w:r>
              <w:rPr>
                <w:rFonts w:ascii="Arial" w:hAnsi="Arial" w:eastAsia="Arial" w:cs="Arial"/>
                <w:b w:val="0"/>
                <w:bCs w:val="0"/>
                <w:i w:val="0"/>
                <w:iCs w:val="0"/>
                <w:color w:val="2E7D52"/>
                <w:sz w:val="16"/>
                <w:szCs w:val="16"/>
              </w:rPr>
              <w:t>nccd.gov.in | Also accessible via: apeda.gov.in</w:t>
            </w:r>
          </w:p>
        </w:tc>
      </w:tr>
      <w:tr w14:paraId="2F8EE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42B1B856">
            <w:pPr>
              <w:jc w:val="center"/>
            </w:pPr>
            <w:r>
              <w:rPr>
                <w:rFonts w:ascii="Arial" w:hAnsi="Arial" w:eastAsia="Arial" w:cs="Arial"/>
                <w:b/>
                <w:bCs/>
                <w:i w:val="0"/>
                <w:iCs w:val="0"/>
                <w:color w:val="1A3C5E"/>
                <w:sz w:val="18"/>
                <w:szCs w:val="18"/>
              </w:rPr>
              <w:t>C4</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593FC5A6">
            <w:pPr>
              <w:jc w:val="left"/>
            </w:pPr>
            <w:r>
              <w:rPr>
                <w:rFonts w:ascii="Arial" w:hAnsi="Arial" w:eastAsia="Arial" w:cs="Arial"/>
                <w:b w:val="0"/>
                <w:bCs w:val="0"/>
                <w:i/>
                <w:iCs/>
                <w:color w:val="1C1C1C"/>
                <w:sz w:val="17"/>
                <w:szCs w:val="17"/>
              </w:rPr>
              <w:t>Food Safety and Standards Authority of India (FSSAI). Manual of Methods of Analysis of Foods — Microbiological Testing. New Delhi: FSSAI, 2016.</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6F84D53A">
            <w:pPr>
              <w:jc w:val="left"/>
            </w:pPr>
            <w:r>
              <w:rPr>
                <w:rFonts w:ascii="Arial" w:hAnsi="Arial" w:eastAsia="Arial" w:cs="Arial"/>
                <w:b w:val="0"/>
                <w:bCs w:val="0"/>
                <w:i w:val="0"/>
                <w:iCs w:val="0"/>
                <w:color w:val="1C1C1C"/>
                <w:sz w:val="17"/>
                <w:szCs w:val="17"/>
              </w:rPr>
              <w:t>FSSAI microbiological standards for cooked food; allergen labeling requirements; food handler certification standards</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6F9835C9">
            <w:pPr>
              <w:jc w:val="left"/>
            </w:pPr>
            <w:r>
              <w:rPr>
                <w:rFonts w:ascii="Arial" w:hAnsi="Arial" w:eastAsia="Arial" w:cs="Arial"/>
                <w:b w:val="0"/>
                <w:bCs w:val="0"/>
                <w:i w:val="0"/>
                <w:iCs w:val="0"/>
                <w:color w:val="2E7D52"/>
                <w:sz w:val="16"/>
                <w:szCs w:val="16"/>
              </w:rPr>
              <w:t>fssai.gov.in/upload/uploadfiles/files/Manual_Methods_Microbiology_Analysis_2016.pdf</w:t>
            </w:r>
          </w:p>
        </w:tc>
      </w:tr>
      <w:tr w14:paraId="79C033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1DCCE349">
            <w:pPr>
              <w:jc w:val="center"/>
            </w:pPr>
            <w:r>
              <w:rPr>
                <w:rFonts w:ascii="Arial" w:hAnsi="Arial" w:eastAsia="Arial" w:cs="Arial"/>
                <w:b/>
                <w:bCs/>
                <w:i w:val="0"/>
                <w:iCs w:val="0"/>
                <w:color w:val="1A3C5E"/>
                <w:sz w:val="18"/>
                <w:szCs w:val="18"/>
              </w:rPr>
              <w:t>C5</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11900E58">
            <w:pPr>
              <w:jc w:val="left"/>
            </w:pPr>
            <w:r>
              <w:rPr>
                <w:rFonts w:ascii="Arial" w:hAnsi="Arial" w:eastAsia="Arial" w:cs="Arial"/>
                <w:b w:val="0"/>
                <w:bCs w:val="0"/>
                <w:i/>
                <w:iCs/>
                <w:color w:val="1C1C1C"/>
                <w:sz w:val="17"/>
                <w:szCs w:val="17"/>
              </w:rPr>
              <w:t>Bhatt, D.L. et al. 'Foodborne Illness in India: Etiology, Epidemiology, and Policy Response.' Indian Journal of Medical Research, Vol. 157, No. 2–3, 2023, pp. 223–235.</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7F3F2921">
            <w:pPr>
              <w:jc w:val="left"/>
            </w:pPr>
            <w:r>
              <w:rPr>
                <w:rFonts w:ascii="Arial" w:hAnsi="Arial" w:eastAsia="Arial" w:cs="Arial"/>
                <w:b w:val="0"/>
                <w:bCs w:val="0"/>
                <w:i w:val="0"/>
                <w:iCs w:val="0"/>
                <w:color w:val="1C1C1C"/>
                <w:sz w:val="17"/>
                <w:szCs w:val="17"/>
              </w:rPr>
              <w:t>Risk of foodborne illness from improperly handled donated food; liability framework importance</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77830B8D">
            <w:pPr>
              <w:jc w:val="left"/>
            </w:pPr>
            <w:r>
              <w:rPr>
                <w:rFonts w:ascii="Arial" w:hAnsi="Arial" w:eastAsia="Arial" w:cs="Arial"/>
                <w:b w:val="0"/>
                <w:bCs w:val="0"/>
                <w:i w:val="0"/>
                <w:iCs w:val="0"/>
                <w:color w:val="2E7D52"/>
                <w:sz w:val="16"/>
                <w:szCs w:val="16"/>
              </w:rPr>
              <w:t>ncbi.nlm.nih.gov/pmc/articles/PMC10174924/</w:t>
            </w:r>
          </w:p>
        </w:tc>
      </w:tr>
    </w:tbl>
    <w:p w14:paraId="5B343600">
      <w:pPr>
        <w:pBdr>
          <w:bottom w:val="single" w:color="2E7D52" w:sz="4" w:space="2"/>
        </w:pBdr>
        <w:spacing w:before="200" w:after="80"/>
      </w:pPr>
      <w:r>
        <w:rPr>
          <w:rFonts w:ascii="Arial" w:hAnsi="Arial" w:eastAsia="Arial" w:cs="Arial"/>
          <w:b/>
          <w:bCs/>
          <w:color w:val="2E7D52"/>
          <w:sz w:val="24"/>
          <w:szCs w:val="24"/>
        </w:rPr>
        <w:t>D.  MARKET DATA, INDUSTRY REPORTS &amp; ECONOMICS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11"/>
        <w:gridCol w:w="2254"/>
        <w:gridCol w:w="2926"/>
        <w:gridCol w:w="3669"/>
      </w:tblGrid>
      <w:tr w14:paraId="259FBE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14026C22">
            <w:pPr>
              <w:jc w:val="center"/>
            </w:pPr>
            <w:r>
              <w:rPr>
                <w:rFonts w:ascii="Arial" w:hAnsi="Arial" w:eastAsia="Arial" w:cs="Arial"/>
                <w:b/>
                <w:bCs/>
                <w:color w:val="FFFFFF"/>
                <w:sz w:val="20"/>
                <w:szCs w:val="20"/>
              </w:rPr>
              <w:t>#</w:t>
            </w:r>
          </w:p>
        </w:tc>
        <w:tc>
          <w:tcPr>
            <w:tcW w:w="28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0D21A7E0">
            <w:pPr>
              <w:jc w:val="center"/>
            </w:pPr>
            <w:r>
              <w:rPr>
                <w:rFonts w:ascii="Arial" w:hAnsi="Arial" w:eastAsia="Arial" w:cs="Arial"/>
                <w:b/>
                <w:bCs/>
                <w:color w:val="FFFFFF"/>
                <w:sz w:val="20"/>
                <w:szCs w:val="20"/>
              </w:rPr>
              <w:t>SOURCE / TITLE</w:t>
            </w:r>
          </w:p>
        </w:tc>
        <w:tc>
          <w:tcPr>
            <w:tcW w:w="376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5C5040A9">
            <w:pPr>
              <w:jc w:val="center"/>
            </w:pPr>
            <w:r>
              <w:rPr>
                <w:rFonts w:ascii="Arial" w:hAnsi="Arial" w:eastAsia="Arial" w:cs="Arial"/>
                <w:b/>
                <w:bCs/>
                <w:color w:val="FFFFFF"/>
                <w:sz w:val="20"/>
                <w:szCs w:val="20"/>
              </w:rPr>
              <w:t>KEY CLAIM SUPPORTED</w:t>
            </w:r>
          </w:p>
        </w:tc>
        <w:tc>
          <w:tcPr>
            <w:tcW w:w="24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6BF62B78">
            <w:pPr>
              <w:jc w:val="center"/>
            </w:pPr>
            <w:r>
              <w:rPr>
                <w:rFonts w:ascii="Arial" w:hAnsi="Arial" w:eastAsia="Arial" w:cs="Arial"/>
                <w:b/>
                <w:bCs/>
                <w:color w:val="FFFFFF"/>
                <w:sz w:val="20"/>
                <w:szCs w:val="20"/>
              </w:rPr>
              <w:t>HOW TO ACCESS</w:t>
            </w:r>
          </w:p>
        </w:tc>
      </w:tr>
      <w:tr w14:paraId="367DF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4C0D3CC9">
            <w:pPr>
              <w:jc w:val="center"/>
            </w:pPr>
            <w:r>
              <w:rPr>
                <w:rFonts w:ascii="Arial" w:hAnsi="Arial" w:eastAsia="Arial" w:cs="Arial"/>
                <w:b/>
                <w:bCs/>
                <w:i w:val="0"/>
                <w:iCs w:val="0"/>
                <w:color w:val="1A3C5E"/>
                <w:sz w:val="18"/>
                <w:szCs w:val="18"/>
              </w:rPr>
              <w:t>D1</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7E5BBE09">
            <w:pPr>
              <w:jc w:val="left"/>
            </w:pPr>
            <w:r>
              <w:rPr>
                <w:rFonts w:ascii="Arial" w:hAnsi="Arial" w:eastAsia="Arial" w:cs="Arial"/>
                <w:b w:val="0"/>
                <w:bCs w:val="0"/>
                <w:i/>
                <w:iCs/>
                <w:color w:val="1C1C1C"/>
                <w:sz w:val="17"/>
                <w:szCs w:val="17"/>
              </w:rPr>
              <w:t>National Restaurant Association of India (NRAI). India Food Services Report 2024. New Delhi: NRAI, 2024.</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65F9D78D">
            <w:pPr>
              <w:jc w:val="left"/>
            </w:pPr>
            <w:r>
              <w:rPr>
                <w:rFonts w:ascii="Arial" w:hAnsi="Arial" w:eastAsia="Arial" w:cs="Arial"/>
                <w:b w:val="0"/>
                <w:bCs w:val="0"/>
                <w:i w:val="0"/>
                <w:iCs w:val="0"/>
                <w:color w:val="1C1C1C"/>
                <w:sz w:val="17"/>
                <w:szCs w:val="17"/>
              </w:rPr>
              <w:t>India food service market USD 49.8 billion; 10.3% CAGR; restaurant margin data 5–8%; independent restaurant market share 72%</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53F8E794">
            <w:pPr>
              <w:jc w:val="left"/>
            </w:pPr>
            <w:r>
              <w:rPr>
                <w:rFonts w:ascii="Arial" w:hAnsi="Arial" w:eastAsia="Arial" w:cs="Arial"/>
                <w:b w:val="0"/>
                <w:bCs w:val="0"/>
                <w:i w:val="0"/>
                <w:iCs w:val="0"/>
                <w:color w:val="2E7D52"/>
                <w:sz w:val="16"/>
                <w:szCs w:val="16"/>
              </w:rPr>
              <w:t>nrai.org | Report available to NRAI members and via industry databases</w:t>
            </w:r>
          </w:p>
        </w:tc>
      </w:tr>
      <w:tr w14:paraId="6954F6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2C1A4DBF">
            <w:pPr>
              <w:jc w:val="center"/>
            </w:pPr>
            <w:r>
              <w:rPr>
                <w:rFonts w:ascii="Arial" w:hAnsi="Arial" w:eastAsia="Arial" w:cs="Arial"/>
                <w:b/>
                <w:bCs/>
                <w:i w:val="0"/>
                <w:iCs w:val="0"/>
                <w:color w:val="1A3C5E"/>
                <w:sz w:val="18"/>
                <w:szCs w:val="18"/>
              </w:rPr>
              <w:t>D2</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4C60C942">
            <w:pPr>
              <w:jc w:val="left"/>
            </w:pPr>
            <w:r>
              <w:rPr>
                <w:rFonts w:ascii="Arial" w:hAnsi="Arial" w:eastAsia="Arial" w:cs="Arial"/>
                <w:b w:val="0"/>
                <w:bCs w:val="0"/>
                <w:i/>
                <w:iCs/>
                <w:color w:val="1C1C1C"/>
                <w:sz w:val="17"/>
                <w:szCs w:val="17"/>
              </w:rPr>
              <w:t>Custom Market Insights. India Food Service Market Report 2024: Size, Share, Growth, Trends. Hadapsar, Pune: CMI, 2024.</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2A2A3531">
            <w:pPr>
              <w:jc w:val="left"/>
            </w:pPr>
            <w:r>
              <w:rPr>
                <w:rFonts w:ascii="Arial" w:hAnsi="Arial" w:eastAsia="Arial" w:cs="Arial"/>
                <w:b w:val="0"/>
                <w:bCs w:val="0"/>
                <w:i w:val="0"/>
                <w:iCs w:val="0"/>
                <w:color w:val="1C1C1C"/>
                <w:sz w:val="17"/>
                <w:szCs w:val="17"/>
              </w:rPr>
              <w:t>Market sizing data; food service sector growth projections through 2030; cloud kitchen and delivery segment</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7D81AD1C">
            <w:pPr>
              <w:jc w:val="left"/>
            </w:pPr>
            <w:r>
              <w:rPr>
                <w:rFonts w:ascii="Arial" w:hAnsi="Arial" w:eastAsia="Arial" w:cs="Arial"/>
                <w:b w:val="0"/>
                <w:bCs w:val="0"/>
                <w:i w:val="0"/>
                <w:iCs w:val="0"/>
                <w:color w:val="2E7D52"/>
                <w:sz w:val="16"/>
                <w:szCs w:val="16"/>
              </w:rPr>
              <w:t>custommarketinsights.com/report/india-food-service-market</w:t>
            </w:r>
          </w:p>
        </w:tc>
      </w:tr>
      <w:tr w14:paraId="0DC6F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5210FEF5">
            <w:pPr>
              <w:jc w:val="center"/>
            </w:pPr>
            <w:r>
              <w:rPr>
                <w:rFonts w:ascii="Arial" w:hAnsi="Arial" w:eastAsia="Arial" w:cs="Arial"/>
                <w:b/>
                <w:bCs/>
                <w:i w:val="0"/>
                <w:iCs w:val="0"/>
                <w:color w:val="1A3C5E"/>
                <w:sz w:val="18"/>
                <w:szCs w:val="18"/>
              </w:rPr>
              <w:t>D3</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17111C56">
            <w:pPr>
              <w:jc w:val="left"/>
            </w:pPr>
            <w:r>
              <w:rPr>
                <w:rFonts w:ascii="Arial" w:hAnsi="Arial" w:eastAsia="Arial" w:cs="Arial"/>
                <w:b w:val="0"/>
                <w:bCs w:val="0"/>
                <w:i/>
                <w:iCs/>
                <w:color w:val="1C1C1C"/>
                <w:sz w:val="17"/>
                <w:szCs w:val="17"/>
              </w:rPr>
              <w:t>NABARD Consultancy Services (NABCONS). Assessment of Wastage in Food Processing and Supply Chain in India. Mumbai: NABARD, 2023.</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0FEAE6B9">
            <w:pPr>
              <w:jc w:val="left"/>
            </w:pPr>
            <w:r>
              <w:rPr>
                <w:rFonts w:ascii="Arial" w:hAnsi="Arial" w:eastAsia="Arial" w:cs="Arial"/>
                <w:b w:val="0"/>
                <w:bCs w:val="0"/>
                <w:i w:val="0"/>
                <w:iCs w:val="0"/>
                <w:color w:val="1C1C1C"/>
                <w:sz w:val="17"/>
                <w:szCs w:val="17"/>
              </w:rPr>
              <w:t>Post-harvest and supply chain food loss percentage by food category; economic cost of food waste in India</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4CD4FA64">
            <w:pPr>
              <w:jc w:val="left"/>
            </w:pPr>
            <w:r>
              <w:rPr>
                <w:rFonts w:ascii="Arial" w:hAnsi="Arial" w:eastAsia="Arial" w:cs="Arial"/>
                <w:b w:val="0"/>
                <w:bCs w:val="0"/>
                <w:i w:val="0"/>
                <w:iCs w:val="0"/>
                <w:color w:val="2E7D52"/>
                <w:sz w:val="16"/>
                <w:szCs w:val="16"/>
              </w:rPr>
              <w:t>nabard.org | nabcons.com/reports</w:t>
            </w:r>
          </w:p>
        </w:tc>
      </w:tr>
      <w:tr w14:paraId="10C4A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7EB3CA13">
            <w:pPr>
              <w:jc w:val="center"/>
            </w:pPr>
            <w:r>
              <w:rPr>
                <w:rFonts w:ascii="Arial" w:hAnsi="Arial" w:eastAsia="Arial" w:cs="Arial"/>
                <w:b/>
                <w:bCs/>
                <w:i w:val="0"/>
                <w:iCs w:val="0"/>
                <w:color w:val="1A3C5E"/>
                <w:sz w:val="18"/>
                <w:szCs w:val="18"/>
              </w:rPr>
              <w:t>D4</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3DE241C2">
            <w:pPr>
              <w:jc w:val="left"/>
            </w:pPr>
            <w:r>
              <w:rPr>
                <w:rFonts w:ascii="Arial" w:hAnsi="Arial" w:eastAsia="Arial" w:cs="Arial"/>
                <w:b w:val="0"/>
                <w:bCs w:val="0"/>
                <w:i/>
                <w:iCs/>
                <w:color w:val="1C1C1C"/>
                <w:sz w:val="17"/>
                <w:szCs w:val="17"/>
              </w:rPr>
              <w:t>Reserve Bank of India (RBI). Report on Currency and Finance 2022–23: Towards a Cleaner Planet. Mumbai: RBI, 2023.</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2F954EC4">
            <w:pPr>
              <w:jc w:val="left"/>
            </w:pPr>
            <w:r>
              <w:rPr>
                <w:rFonts w:ascii="Arial" w:hAnsi="Arial" w:eastAsia="Arial" w:cs="Arial"/>
                <w:b w:val="0"/>
                <w:bCs w:val="0"/>
                <w:i w:val="0"/>
                <w:iCs w:val="0"/>
                <w:color w:val="1C1C1C"/>
                <w:sz w:val="17"/>
                <w:szCs w:val="17"/>
              </w:rPr>
              <w:t>Carbon credit market in India; carbon pricing mechanisms; ESG investment trends in India</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2336ADEA">
            <w:pPr>
              <w:jc w:val="left"/>
            </w:pPr>
            <w:r>
              <w:rPr>
                <w:rFonts w:ascii="Arial" w:hAnsi="Arial" w:eastAsia="Arial" w:cs="Arial"/>
                <w:b w:val="0"/>
                <w:bCs w:val="0"/>
                <w:i w:val="0"/>
                <w:iCs w:val="0"/>
                <w:color w:val="2E7D52"/>
                <w:sz w:val="16"/>
                <w:szCs w:val="16"/>
              </w:rPr>
              <w:t>rbi.org.in/Scripts/PublicationsView.aspx?id=22168</w:t>
            </w:r>
          </w:p>
        </w:tc>
      </w:tr>
      <w:tr w14:paraId="06CDFD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6D9D0723">
            <w:pPr>
              <w:jc w:val="center"/>
            </w:pPr>
            <w:r>
              <w:rPr>
                <w:rFonts w:ascii="Arial" w:hAnsi="Arial" w:eastAsia="Arial" w:cs="Arial"/>
                <w:b/>
                <w:bCs/>
                <w:i w:val="0"/>
                <w:iCs w:val="0"/>
                <w:color w:val="1A3C5E"/>
                <w:sz w:val="18"/>
                <w:szCs w:val="18"/>
              </w:rPr>
              <w:t>D5</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7CC41E17">
            <w:pPr>
              <w:jc w:val="left"/>
            </w:pPr>
            <w:r>
              <w:rPr>
                <w:rFonts w:ascii="Arial" w:hAnsi="Arial" w:eastAsia="Arial" w:cs="Arial"/>
                <w:b w:val="0"/>
                <w:bCs w:val="0"/>
                <w:i/>
                <w:iCs/>
                <w:color w:val="1C1C1C"/>
                <w:sz w:val="17"/>
                <w:szCs w:val="17"/>
              </w:rPr>
              <w:t>International Finance Corporation (IFC). SHG Bank Linkage Programme: Assessment of Livelihoods Impact. Washington DC: IFC / World Bank Group, 2022.</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0E8B901E">
            <w:pPr>
              <w:jc w:val="left"/>
            </w:pPr>
            <w:r>
              <w:rPr>
                <w:rFonts w:ascii="Arial" w:hAnsi="Arial" w:eastAsia="Arial" w:cs="Arial"/>
                <w:b w:val="0"/>
                <w:bCs w:val="0"/>
                <w:i w:val="0"/>
                <w:iCs w:val="0"/>
                <w:color w:val="1C1C1C"/>
                <w:sz w:val="17"/>
                <w:szCs w:val="17"/>
              </w:rPr>
              <w:t>Self-Help Group (SHG) women employment models; income generation via SHG-run micro-enterprises; government support programs</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308F29EA">
            <w:pPr>
              <w:jc w:val="left"/>
            </w:pPr>
            <w:r>
              <w:rPr>
                <w:rFonts w:ascii="Arial" w:hAnsi="Arial" w:eastAsia="Arial" w:cs="Arial"/>
                <w:b w:val="0"/>
                <w:bCs w:val="0"/>
                <w:i w:val="0"/>
                <w:iCs w:val="0"/>
                <w:color w:val="2E7D52"/>
                <w:sz w:val="16"/>
                <w:szCs w:val="16"/>
              </w:rPr>
              <w:t>ifc.org | worldbank.org/en/topic/financialsector/brief/shg-bank-linkage-programme</w:t>
            </w:r>
          </w:p>
        </w:tc>
      </w:tr>
      <w:tr w14:paraId="53060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0BECFEB3">
            <w:pPr>
              <w:jc w:val="center"/>
            </w:pPr>
            <w:r>
              <w:rPr>
                <w:rFonts w:ascii="Arial" w:hAnsi="Arial" w:eastAsia="Arial" w:cs="Arial"/>
                <w:b/>
                <w:bCs/>
                <w:i w:val="0"/>
                <w:iCs w:val="0"/>
                <w:color w:val="1A3C5E"/>
                <w:sz w:val="18"/>
                <w:szCs w:val="18"/>
              </w:rPr>
              <w:t>D6</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7FCCDC97">
            <w:pPr>
              <w:jc w:val="left"/>
            </w:pPr>
            <w:r>
              <w:rPr>
                <w:rFonts w:ascii="Arial" w:hAnsi="Arial" w:eastAsia="Arial" w:cs="Arial"/>
                <w:b w:val="0"/>
                <w:bCs w:val="0"/>
                <w:i/>
                <w:iCs/>
                <w:color w:val="1C1C1C"/>
                <w:sz w:val="17"/>
                <w:szCs w:val="17"/>
              </w:rPr>
              <w:t>Tracxn Technologies. India FoodTech Startup Landscape Report Q4 2024. Bengaluru: Tracxn, 2024.</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23626EB9">
            <w:pPr>
              <w:jc w:val="left"/>
            </w:pPr>
            <w:r>
              <w:rPr>
                <w:rFonts w:ascii="Arial" w:hAnsi="Arial" w:eastAsia="Arial" w:cs="Arial"/>
                <w:b w:val="0"/>
                <w:bCs w:val="0"/>
                <w:i w:val="0"/>
                <w:iCs w:val="0"/>
                <w:color w:val="1C1C1C"/>
                <w:sz w:val="17"/>
                <w:szCs w:val="17"/>
              </w:rPr>
              <w:t>Competitive landscape: Zomato Feeding India, Robin Hood Army, India Food Banking Network; funding data</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47AC25E9">
            <w:pPr>
              <w:jc w:val="left"/>
            </w:pPr>
            <w:r>
              <w:rPr>
                <w:rFonts w:ascii="Arial" w:hAnsi="Arial" w:eastAsia="Arial" w:cs="Arial"/>
                <w:b w:val="0"/>
                <w:bCs w:val="0"/>
                <w:i w:val="0"/>
                <w:iCs w:val="0"/>
                <w:color w:val="2E7D52"/>
                <w:sz w:val="16"/>
                <w:szCs w:val="16"/>
              </w:rPr>
              <w:t>tracxn.com/d/explore/food-tech-startups-in-india</w:t>
            </w:r>
          </w:p>
        </w:tc>
      </w:tr>
    </w:tbl>
    <w:p w14:paraId="45666AA2">
      <w:pPr>
        <w:pBdr>
          <w:bottom w:val="single" w:color="2E7D52" w:sz="4" w:space="2"/>
        </w:pBdr>
        <w:spacing w:before="200" w:after="80"/>
      </w:pPr>
      <w:r>
        <w:rPr>
          <w:rFonts w:ascii="Arial" w:hAnsi="Arial" w:eastAsia="Arial" w:cs="Arial"/>
          <w:b/>
          <w:bCs/>
          <w:color w:val="2E7D52"/>
          <w:sz w:val="24"/>
          <w:szCs w:val="24"/>
        </w:rPr>
        <w:t>E.  TECHNOLOGY — AI, IoT, BLOCKCHAIN &amp; LOGISTICS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01"/>
        <w:gridCol w:w="1976"/>
        <w:gridCol w:w="2484"/>
        <w:gridCol w:w="4399"/>
      </w:tblGrid>
      <w:tr w14:paraId="3C580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1F112FF7">
            <w:pPr>
              <w:jc w:val="center"/>
            </w:pPr>
            <w:r>
              <w:rPr>
                <w:rFonts w:ascii="Arial" w:hAnsi="Arial" w:eastAsia="Arial" w:cs="Arial"/>
                <w:b/>
                <w:bCs/>
                <w:color w:val="FFFFFF"/>
                <w:sz w:val="20"/>
                <w:szCs w:val="20"/>
              </w:rPr>
              <w:t>#</w:t>
            </w:r>
          </w:p>
        </w:tc>
        <w:tc>
          <w:tcPr>
            <w:tcW w:w="28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2E249BD5">
            <w:pPr>
              <w:jc w:val="center"/>
            </w:pPr>
            <w:r>
              <w:rPr>
                <w:rFonts w:ascii="Arial" w:hAnsi="Arial" w:eastAsia="Arial" w:cs="Arial"/>
                <w:b/>
                <w:bCs/>
                <w:color w:val="FFFFFF"/>
                <w:sz w:val="20"/>
                <w:szCs w:val="20"/>
              </w:rPr>
              <w:t>SOURCE / TITLE</w:t>
            </w:r>
          </w:p>
        </w:tc>
        <w:tc>
          <w:tcPr>
            <w:tcW w:w="376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61509E45">
            <w:pPr>
              <w:jc w:val="center"/>
            </w:pPr>
            <w:r>
              <w:rPr>
                <w:rFonts w:ascii="Arial" w:hAnsi="Arial" w:eastAsia="Arial" w:cs="Arial"/>
                <w:b/>
                <w:bCs/>
                <w:color w:val="FFFFFF"/>
                <w:sz w:val="20"/>
                <w:szCs w:val="20"/>
              </w:rPr>
              <w:t>KEY CLAIM SUPPORTED</w:t>
            </w:r>
          </w:p>
        </w:tc>
        <w:tc>
          <w:tcPr>
            <w:tcW w:w="24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71E33880">
            <w:pPr>
              <w:jc w:val="center"/>
            </w:pPr>
            <w:r>
              <w:rPr>
                <w:rFonts w:ascii="Arial" w:hAnsi="Arial" w:eastAsia="Arial" w:cs="Arial"/>
                <w:b/>
                <w:bCs/>
                <w:color w:val="FFFFFF"/>
                <w:sz w:val="20"/>
                <w:szCs w:val="20"/>
              </w:rPr>
              <w:t>HOW TO ACCESS</w:t>
            </w:r>
          </w:p>
        </w:tc>
      </w:tr>
      <w:tr w14:paraId="471F5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3C52D45A">
            <w:pPr>
              <w:jc w:val="center"/>
            </w:pPr>
            <w:r>
              <w:rPr>
                <w:rFonts w:ascii="Arial" w:hAnsi="Arial" w:eastAsia="Arial" w:cs="Arial"/>
                <w:b/>
                <w:bCs/>
                <w:i w:val="0"/>
                <w:iCs w:val="0"/>
                <w:color w:val="1A3C5E"/>
                <w:sz w:val="18"/>
                <w:szCs w:val="18"/>
              </w:rPr>
              <w:t>E1</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43BC1E3C">
            <w:pPr>
              <w:jc w:val="left"/>
            </w:pPr>
            <w:r>
              <w:rPr>
                <w:rFonts w:ascii="Arial" w:hAnsi="Arial" w:eastAsia="Arial" w:cs="Arial"/>
                <w:b w:val="0"/>
                <w:bCs w:val="0"/>
                <w:i/>
                <w:iCs/>
                <w:color w:val="1C1C1C"/>
                <w:sz w:val="17"/>
                <w:szCs w:val="17"/>
              </w:rPr>
              <w:t>Parfitt, J., Barthel, M. &amp; Macnaughton, S. 'Food Waste within Food Supply Chains: Quantification and Potential for Change to 2050.' Philosophical Transactions of the Royal Society B, Vol. 365, No. 1554, 2010, pp. 3065–3081.</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3D4189AE">
            <w:pPr>
              <w:jc w:val="left"/>
            </w:pPr>
            <w:r>
              <w:rPr>
                <w:rFonts w:ascii="Arial" w:hAnsi="Arial" w:eastAsia="Arial" w:cs="Arial"/>
                <w:b w:val="0"/>
                <w:bCs w:val="0"/>
                <w:i w:val="0"/>
                <w:iCs w:val="0"/>
                <w:color w:val="1C1C1C"/>
                <w:sz w:val="17"/>
                <w:szCs w:val="17"/>
              </w:rPr>
              <w:t>AI surplus prediction methodology; demand uncertainty as primary driver of food waste; logistics inefficiency data</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2A1E3C8C">
            <w:pPr>
              <w:jc w:val="left"/>
            </w:pPr>
            <w:r>
              <w:rPr>
                <w:rFonts w:ascii="Arial" w:hAnsi="Arial" w:eastAsia="Arial" w:cs="Arial"/>
                <w:b w:val="0"/>
                <w:bCs w:val="0"/>
                <w:i w:val="0"/>
                <w:iCs w:val="0"/>
                <w:color w:val="2E7D52"/>
                <w:sz w:val="16"/>
                <w:szCs w:val="16"/>
              </w:rPr>
              <w:t>royalsocietypublishing.org/doi/10.1098/rstb.2010.0126 | DOI: 10.1098/rstb.2010.0126</w:t>
            </w:r>
          </w:p>
        </w:tc>
      </w:tr>
      <w:tr w14:paraId="224A51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42462E83">
            <w:pPr>
              <w:jc w:val="center"/>
            </w:pPr>
            <w:r>
              <w:rPr>
                <w:rFonts w:ascii="Arial" w:hAnsi="Arial" w:eastAsia="Arial" w:cs="Arial"/>
                <w:b/>
                <w:bCs/>
                <w:i w:val="0"/>
                <w:iCs w:val="0"/>
                <w:color w:val="1A3C5E"/>
                <w:sz w:val="18"/>
                <w:szCs w:val="18"/>
              </w:rPr>
              <w:t>E2</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67AC7B7B">
            <w:pPr>
              <w:jc w:val="left"/>
            </w:pPr>
            <w:r>
              <w:rPr>
                <w:rFonts w:ascii="Arial" w:hAnsi="Arial" w:eastAsia="Arial" w:cs="Arial"/>
                <w:b w:val="0"/>
                <w:bCs w:val="0"/>
                <w:i/>
                <w:iCs/>
                <w:color w:val="1C1C1C"/>
                <w:sz w:val="17"/>
                <w:szCs w:val="17"/>
              </w:rPr>
              <w:t>Sharma, M. &amp; Joshi, S. 'IoT-Based Cold Chain Monitoring in India: Opportunities and Challenges.' Journal of Food Engineering, Vol. 289, 2021, Article 110166.</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44F85E58">
            <w:pPr>
              <w:jc w:val="left"/>
            </w:pPr>
            <w:r>
              <w:rPr>
                <w:rFonts w:ascii="Arial" w:hAnsi="Arial" w:eastAsia="Arial" w:cs="Arial"/>
                <w:b w:val="0"/>
                <w:bCs w:val="0"/>
                <w:i w:val="0"/>
                <w:iCs w:val="0"/>
                <w:color w:val="1C1C1C"/>
                <w:sz w:val="17"/>
                <w:szCs w:val="17"/>
              </w:rPr>
              <w:t>IoT temperature sensor technology for food logistics; Bluetooth-based monitoring systems; cost of IoT sensors</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5E21070A">
            <w:pPr>
              <w:jc w:val="left"/>
            </w:pPr>
            <w:r>
              <w:rPr>
                <w:rFonts w:ascii="Arial" w:hAnsi="Arial" w:eastAsia="Arial" w:cs="Arial"/>
                <w:b w:val="0"/>
                <w:bCs w:val="0"/>
                <w:i w:val="0"/>
                <w:iCs w:val="0"/>
                <w:color w:val="2E7D52"/>
                <w:sz w:val="16"/>
                <w:szCs w:val="16"/>
              </w:rPr>
              <w:t>sciencedirect.com/science/article/pii/S0260877420305094 | DOI: 10.1016/j.jfoodeng.2020.110166</w:t>
            </w:r>
          </w:p>
        </w:tc>
      </w:tr>
      <w:tr w14:paraId="7EEFD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39790F52">
            <w:pPr>
              <w:jc w:val="center"/>
            </w:pPr>
            <w:r>
              <w:rPr>
                <w:rFonts w:ascii="Arial" w:hAnsi="Arial" w:eastAsia="Arial" w:cs="Arial"/>
                <w:b/>
                <w:bCs/>
                <w:i w:val="0"/>
                <w:iCs w:val="0"/>
                <w:color w:val="1A3C5E"/>
                <w:sz w:val="18"/>
                <w:szCs w:val="18"/>
              </w:rPr>
              <w:t>E3</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1ABED4F5">
            <w:pPr>
              <w:jc w:val="left"/>
            </w:pPr>
            <w:r>
              <w:rPr>
                <w:rFonts w:ascii="Arial" w:hAnsi="Arial" w:eastAsia="Arial" w:cs="Arial"/>
                <w:b w:val="0"/>
                <w:bCs w:val="0"/>
                <w:i/>
                <w:iCs/>
                <w:color w:val="1C1C1C"/>
                <w:sz w:val="17"/>
                <w:szCs w:val="17"/>
              </w:rPr>
              <w:t>Walmart &amp; IBM Food Trust. 'How Blockchain Enhances Food Safety.' White Paper. Armonk: IBM, 2021.</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6DB76176">
            <w:pPr>
              <w:jc w:val="left"/>
            </w:pPr>
            <w:r>
              <w:rPr>
                <w:rFonts w:ascii="Arial" w:hAnsi="Arial" w:eastAsia="Arial" w:cs="Arial"/>
                <w:b w:val="0"/>
                <w:bCs w:val="0"/>
                <w:i w:val="0"/>
                <w:iCs w:val="0"/>
                <w:color w:val="1C1C1C"/>
                <w:sz w:val="17"/>
                <w:szCs w:val="17"/>
              </w:rPr>
              <w:t>Blockchain-based food traceability systems; chain-of-custody data integrity; Digital Food Passport concept precedent</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47F86705">
            <w:pPr>
              <w:jc w:val="left"/>
            </w:pPr>
            <w:r>
              <w:rPr>
                <w:rFonts w:ascii="Arial" w:hAnsi="Arial" w:eastAsia="Arial" w:cs="Arial"/>
                <w:b w:val="0"/>
                <w:bCs w:val="0"/>
                <w:i w:val="0"/>
                <w:iCs w:val="0"/>
                <w:color w:val="2E7D52"/>
                <w:sz w:val="16"/>
                <w:szCs w:val="16"/>
              </w:rPr>
              <w:t>ibm.com/blockchain/solutions/food-trust | Also: foodtrustibm.com</w:t>
            </w:r>
          </w:p>
        </w:tc>
      </w:tr>
      <w:tr w14:paraId="5212D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1F2ACB49">
            <w:pPr>
              <w:jc w:val="center"/>
            </w:pPr>
            <w:r>
              <w:rPr>
                <w:rFonts w:ascii="Arial" w:hAnsi="Arial" w:eastAsia="Arial" w:cs="Arial"/>
                <w:b/>
                <w:bCs/>
                <w:i w:val="0"/>
                <w:iCs w:val="0"/>
                <w:color w:val="1A3C5E"/>
                <w:sz w:val="18"/>
                <w:szCs w:val="18"/>
              </w:rPr>
              <w:t>E4</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62F6D407">
            <w:pPr>
              <w:jc w:val="left"/>
            </w:pPr>
            <w:r>
              <w:rPr>
                <w:rFonts w:ascii="Arial" w:hAnsi="Arial" w:eastAsia="Arial" w:cs="Arial"/>
                <w:b w:val="0"/>
                <w:bCs w:val="0"/>
                <w:i/>
                <w:iCs/>
                <w:color w:val="1C1C1C"/>
                <w:sz w:val="17"/>
                <w:szCs w:val="17"/>
              </w:rPr>
              <w:t>ReFED. A Roadmap to Reduce U.S. Food Waste by 20 Percent. Oakland: ReFED, 2016 (2022 updated Roadmap).</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1517C7A5">
            <w:pPr>
              <w:jc w:val="left"/>
            </w:pPr>
            <w:r>
              <w:rPr>
                <w:rFonts w:ascii="Arial" w:hAnsi="Arial" w:eastAsia="Arial" w:cs="Arial"/>
                <w:b w:val="0"/>
                <w:bCs w:val="0"/>
                <w:i w:val="0"/>
                <w:iCs w:val="0"/>
                <w:color w:val="1C1C1C"/>
                <w:sz w:val="17"/>
                <w:szCs w:val="17"/>
              </w:rPr>
              <w:t>AI-powered surplus prediction: ~60% reduction in missed pickups with predictive models; tech-first food recovery methodology</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1E581473">
            <w:pPr>
              <w:jc w:val="left"/>
            </w:pPr>
            <w:r>
              <w:rPr>
                <w:rFonts w:ascii="Arial" w:hAnsi="Arial" w:eastAsia="Arial" w:cs="Arial"/>
                <w:b w:val="0"/>
                <w:bCs w:val="0"/>
                <w:i w:val="0"/>
                <w:iCs w:val="0"/>
                <w:color w:val="2E7D52"/>
                <w:sz w:val="16"/>
                <w:szCs w:val="16"/>
              </w:rPr>
              <w:t>refed.com/food-waste-solutions/the-solutions | refed.com/roadmap</w:t>
            </w:r>
          </w:p>
        </w:tc>
      </w:tr>
      <w:tr w14:paraId="7393C1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73D51F90">
            <w:pPr>
              <w:jc w:val="center"/>
            </w:pPr>
            <w:r>
              <w:rPr>
                <w:rFonts w:ascii="Arial" w:hAnsi="Arial" w:eastAsia="Arial" w:cs="Arial"/>
                <w:b/>
                <w:bCs/>
                <w:i w:val="0"/>
                <w:iCs w:val="0"/>
                <w:color w:val="1A3C5E"/>
                <w:sz w:val="18"/>
                <w:szCs w:val="18"/>
              </w:rPr>
              <w:t>E5</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7DE031FE">
            <w:pPr>
              <w:jc w:val="left"/>
            </w:pPr>
            <w:r>
              <w:rPr>
                <w:rFonts w:ascii="Arial" w:hAnsi="Arial" w:eastAsia="Arial" w:cs="Arial"/>
                <w:b w:val="0"/>
                <w:bCs w:val="0"/>
                <w:i/>
                <w:iCs/>
                <w:color w:val="1C1C1C"/>
                <w:sz w:val="17"/>
                <w:szCs w:val="17"/>
              </w:rPr>
              <w:t>Gartner Inc. 'Predicts 2024: Sustainable Technology.' Gartner Research Report ID G00786914. Stamford: Gartner, 2024.</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7E77CB4A">
            <w:pPr>
              <w:jc w:val="left"/>
            </w:pPr>
            <w:r>
              <w:rPr>
                <w:rFonts w:ascii="Arial" w:hAnsi="Arial" w:eastAsia="Arial" w:cs="Arial"/>
                <w:b w:val="0"/>
                <w:bCs w:val="0"/>
                <w:i w:val="0"/>
                <w:iCs w:val="0"/>
                <w:color w:val="1C1C1C"/>
                <w:sz w:val="17"/>
                <w:szCs w:val="17"/>
              </w:rPr>
              <w:t>Carbon credit generation via verified voluntary market (Gold Standard, VERRA); ESG technology investment trends</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437970E1">
            <w:pPr>
              <w:jc w:val="left"/>
            </w:pPr>
            <w:r>
              <w:rPr>
                <w:rFonts w:ascii="Arial" w:hAnsi="Arial" w:eastAsia="Arial" w:cs="Arial"/>
                <w:b w:val="0"/>
                <w:bCs w:val="0"/>
                <w:i w:val="0"/>
                <w:iCs w:val="0"/>
                <w:color w:val="2E7D52"/>
                <w:sz w:val="16"/>
                <w:szCs w:val="16"/>
              </w:rPr>
              <w:t>gartner.com/en/documents/4285699 (subscription) | Summary: gartner.com/smarterwithgartner</w:t>
            </w:r>
          </w:p>
        </w:tc>
      </w:tr>
    </w:tbl>
    <w:p w14:paraId="17B15AD5">
      <w:pPr>
        <w:pBdr>
          <w:bottom w:val="single" w:color="2E7D52" w:sz="4" w:space="2"/>
        </w:pBdr>
        <w:spacing w:before="200" w:after="80"/>
      </w:pPr>
      <w:r>
        <w:rPr>
          <w:rFonts w:ascii="Arial" w:hAnsi="Arial" w:eastAsia="Arial" w:cs="Arial"/>
          <w:b/>
          <w:bCs/>
          <w:color w:val="2E7D52"/>
          <w:sz w:val="24"/>
          <w:szCs w:val="24"/>
        </w:rPr>
        <w:t>F.  SDGs, GLOBAL BENCHMARKS &amp; COMPARABLE MODELS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91"/>
        <w:gridCol w:w="2766"/>
        <w:gridCol w:w="3706"/>
        <w:gridCol w:w="2397"/>
      </w:tblGrid>
      <w:tr w14:paraId="28AA1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461AEDFF">
            <w:pPr>
              <w:jc w:val="center"/>
            </w:pPr>
            <w:r>
              <w:rPr>
                <w:rFonts w:ascii="Arial" w:hAnsi="Arial" w:eastAsia="Arial" w:cs="Arial"/>
                <w:b/>
                <w:bCs/>
                <w:color w:val="FFFFFF"/>
                <w:sz w:val="20"/>
                <w:szCs w:val="20"/>
              </w:rPr>
              <w:t>#</w:t>
            </w:r>
          </w:p>
        </w:tc>
        <w:tc>
          <w:tcPr>
            <w:tcW w:w="28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0906EC71">
            <w:pPr>
              <w:jc w:val="center"/>
            </w:pPr>
            <w:r>
              <w:rPr>
                <w:rFonts w:ascii="Arial" w:hAnsi="Arial" w:eastAsia="Arial" w:cs="Arial"/>
                <w:b/>
                <w:bCs/>
                <w:color w:val="FFFFFF"/>
                <w:sz w:val="20"/>
                <w:szCs w:val="20"/>
              </w:rPr>
              <w:t>SOURCE / TITLE</w:t>
            </w:r>
          </w:p>
        </w:tc>
        <w:tc>
          <w:tcPr>
            <w:tcW w:w="376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4D7DF495">
            <w:pPr>
              <w:jc w:val="center"/>
            </w:pPr>
            <w:r>
              <w:rPr>
                <w:rFonts w:ascii="Arial" w:hAnsi="Arial" w:eastAsia="Arial" w:cs="Arial"/>
                <w:b/>
                <w:bCs/>
                <w:color w:val="FFFFFF"/>
                <w:sz w:val="20"/>
                <w:szCs w:val="20"/>
              </w:rPr>
              <w:t>KEY CLAIM SUPPORTED</w:t>
            </w:r>
          </w:p>
        </w:tc>
        <w:tc>
          <w:tcPr>
            <w:tcW w:w="24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1D7EF374">
            <w:pPr>
              <w:jc w:val="center"/>
            </w:pPr>
            <w:r>
              <w:rPr>
                <w:rFonts w:ascii="Arial" w:hAnsi="Arial" w:eastAsia="Arial" w:cs="Arial"/>
                <w:b/>
                <w:bCs/>
                <w:color w:val="FFFFFF"/>
                <w:sz w:val="20"/>
                <w:szCs w:val="20"/>
              </w:rPr>
              <w:t>HOW TO ACCESS</w:t>
            </w:r>
          </w:p>
        </w:tc>
      </w:tr>
      <w:tr w14:paraId="5243C9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431F4562">
            <w:pPr>
              <w:jc w:val="center"/>
            </w:pPr>
            <w:r>
              <w:rPr>
                <w:rFonts w:ascii="Arial" w:hAnsi="Arial" w:eastAsia="Arial" w:cs="Arial"/>
                <w:b/>
                <w:bCs/>
                <w:i w:val="0"/>
                <w:iCs w:val="0"/>
                <w:color w:val="1A3C5E"/>
                <w:sz w:val="18"/>
                <w:szCs w:val="18"/>
              </w:rPr>
              <w:t>F1</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27DAD9B7">
            <w:pPr>
              <w:jc w:val="left"/>
            </w:pPr>
            <w:r>
              <w:rPr>
                <w:rFonts w:ascii="Arial" w:hAnsi="Arial" w:eastAsia="Arial" w:cs="Arial"/>
                <w:b w:val="0"/>
                <w:bCs w:val="0"/>
                <w:i/>
                <w:iCs/>
                <w:color w:val="1C1C1C"/>
                <w:sz w:val="17"/>
                <w:szCs w:val="17"/>
              </w:rPr>
              <w:t>United Nations. Transforming Our World: The 2030 Agenda for Sustainable Development. Resolution A/RES/70/1. New York: United Nations, 2015.</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2B3A1190">
            <w:pPr>
              <w:jc w:val="left"/>
            </w:pPr>
            <w:r>
              <w:rPr>
                <w:rFonts w:ascii="Arial" w:hAnsi="Arial" w:eastAsia="Arial" w:cs="Arial"/>
                <w:b w:val="0"/>
                <w:bCs w:val="0"/>
                <w:i w:val="0"/>
                <w:iCs w:val="0"/>
                <w:color w:val="1C1C1C"/>
                <w:sz w:val="17"/>
                <w:szCs w:val="17"/>
              </w:rPr>
              <w:t>SDG 2 (Zero Hunger), SDG 12 (Responsible Consumption), SDG 12.3 target of halving food waste by 2030, SDG 13 (Climate Action), SDG 8 (Decent Work)</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61015AA4">
            <w:pPr>
              <w:jc w:val="left"/>
            </w:pPr>
            <w:r>
              <w:rPr>
                <w:rFonts w:ascii="Arial" w:hAnsi="Arial" w:eastAsia="Arial" w:cs="Arial"/>
                <w:b w:val="0"/>
                <w:bCs w:val="0"/>
                <w:i w:val="0"/>
                <w:iCs w:val="0"/>
                <w:color w:val="2E7D52"/>
                <w:sz w:val="16"/>
                <w:szCs w:val="16"/>
              </w:rPr>
              <w:t>sdgs.un.org/2030agenda | undocs.org/A/RES/70/1</w:t>
            </w:r>
          </w:p>
        </w:tc>
      </w:tr>
      <w:tr w14:paraId="217CF4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00A6B80C">
            <w:pPr>
              <w:jc w:val="center"/>
            </w:pPr>
            <w:r>
              <w:rPr>
                <w:rFonts w:ascii="Arial" w:hAnsi="Arial" w:eastAsia="Arial" w:cs="Arial"/>
                <w:b/>
                <w:bCs/>
                <w:i w:val="0"/>
                <w:iCs w:val="0"/>
                <w:color w:val="1A3C5E"/>
                <w:sz w:val="18"/>
                <w:szCs w:val="18"/>
              </w:rPr>
              <w:t>F2</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0A476669">
            <w:pPr>
              <w:jc w:val="left"/>
            </w:pPr>
            <w:r>
              <w:rPr>
                <w:rFonts w:ascii="Arial" w:hAnsi="Arial" w:eastAsia="Arial" w:cs="Arial"/>
                <w:b w:val="0"/>
                <w:bCs w:val="0"/>
                <w:i/>
                <w:iCs/>
                <w:color w:val="1C1C1C"/>
                <w:sz w:val="17"/>
                <w:szCs w:val="17"/>
              </w:rPr>
              <w:t>Too Good To Go. 2023 Impact Report. Copenhagen: Too Good To Go, 2024.</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4E6BEB0A">
            <w:pPr>
              <w:jc w:val="left"/>
            </w:pPr>
            <w:r>
              <w:rPr>
                <w:rFonts w:ascii="Arial" w:hAnsi="Arial" w:eastAsia="Arial" w:cs="Arial"/>
                <w:b w:val="0"/>
                <w:bCs w:val="0"/>
                <w:i w:val="0"/>
                <w:iCs w:val="0"/>
                <w:color w:val="1C1C1C"/>
                <w:sz w:val="17"/>
                <w:szCs w:val="17"/>
              </w:rPr>
              <w:t>Commercial surplus food redistribution model precedent; 90M+ global users; $1.2B valuation; business model design reference</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3B139036">
            <w:pPr>
              <w:jc w:val="left"/>
            </w:pPr>
            <w:r>
              <w:rPr>
                <w:rFonts w:ascii="Arial" w:hAnsi="Arial" w:eastAsia="Arial" w:cs="Arial"/>
                <w:b w:val="0"/>
                <w:bCs w:val="0"/>
                <w:i w:val="0"/>
                <w:iCs w:val="0"/>
                <w:color w:val="2E7D52"/>
                <w:sz w:val="16"/>
                <w:szCs w:val="16"/>
              </w:rPr>
              <w:t>toogoodtogo.com/en/impact | Annual Impact Report downloadable from toogoodtogo.com</w:t>
            </w:r>
          </w:p>
        </w:tc>
      </w:tr>
      <w:tr w14:paraId="42B8C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3322A9BC">
            <w:pPr>
              <w:jc w:val="center"/>
            </w:pPr>
            <w:r>
              <w:rPr>
                <w:rFonts w:ascii="Arial" w:hAnsi="Arial" w:eastAsia="Arial" w:cs="Arial"/>
                <w:b/>
                <w:bCs/>
                <w:i w:val="0"/>
                <w:iCs w:val="0"/>
                <w:color w:val="1A3C5E"/>
                <w:sz w:val="18"/>
                <w:szCs w:val="18"/>
              </w:rPr>
              <w:t>F3</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4CB92531">
            <w:pPr>
              <w:jc w:val="left"/>
            </w:pPr>
            <w:r>
              <w:rPr>
                <w:rFonts w:ascii="Arial" w:hAnsi="Arial" w:eastAsia="Arial" w:cs="Arial"/>
                <w:b w:val="0"/>
                <w:bCs w:val="0"/>
                <w:i/>
                <w:iCs/>
                <w:color w:val="1C1C1C"/>
                <w:sz w:val="17"/>
                <w:szCs w:val="17"/>
              </w:rPr>
              <w:t>Robin Hood Army. Annual Impact Report 2023. New Delhi: Robin Hood Army, 2024.</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51C50D32">
            <w:pPr>
              <w:jc w:val="left"/>
            </w:pPr>
            <w:r>
              <w:rPr>
                <w:rFonts w:ascii="Arial" w:hAnsi="Arial" w:eastAsia="Arial" w:cs="Arial"/>
                <w:b w:val="0"/>
                <w:bCs w:val="0"/>
                <w:i w:val="0"/>
                <w:iCs w:val="0"/>
                <w:color w:val="1C1C1C"/>
                <w:sz w:val="17"/>
                <w:szCs w:val="17"/>
              </w:rPr>
              <w:t>Volunteer-driven model covering 250+ cities, 75,000+ volunteers; limitations of volunteer-only models at scale</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15CA279F">
            <w:pPr>
              <w:jc w:val="left"/>
            </w:pPr>
            <w:r>
              <w:rPr>
                <w:rFonts w:ascii="Arial" w:hAnsi="Arial" w:eastAsia="Arial" w:cs="Arial"/>
                <w:b w:val="0"/>
                <w:bCs w:val="0"/>
                <w:i w:val="0"/>
                <w:iCs w:val="0"/>
                <w:color w:val="2E7D52"/>
                <w:sz w:val="16"/>
                <w:szCs w:val="16"/>
              </w:rPr>
              <w:t>robinhoodarmy.com | reports accessible at robinhoodarmy.com/impact</w:t>
            </w:r>
          </w:p>
        </w:tc>
      </w:tr>
      <w:tr w14:paraId="729A53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23825FFC">
            <w:pPr>
              <w:jc w:val="center"/>
            </w:pPr>
            <w:r>
              <w:rPr>
                <w:rFonts w:ascii="Arial" w:hAnsi="Arial" w:eastAsia="Arial" w:cs="Arial"/>
                <w:b/>
                <w:bCs/>
                <w:i w:val="0"/>
                <w:iCs w:val="0"/>
                <w:color w:val="1A3C5E"/>
                <w:sz w:val="18"/>
                <w:szCs w:val="18"/>
              </w:rPr>
              <w:t>F4</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6707F14B">
            <w:pPr>
              <w:jc w:val="left"/>
            </w:pPr>
            <w:r>
              <w:rPr>
                <w:rFonts w:ascii="Arial" w:hAnsi="Arial" w:eastAsia="Arial" w:cs="Arial"/>
                <w:b w:val="0"/>
                <w:bCs w:val="0"/>
                <w:i/>
                <w:iCs/>
                <w:color w:val="1C1C1C"/>
                <w:sz w:val="17"/>
                <w:szCs w:val="17"/>
              </w:rPr>
              <w:t>Feeding America. Annual Report and Financial Statements 2023. Chicago: Feeding America, 2024.</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4A90B848">
            <w:pPr>
              <w:jc w:val="left"/>
            </w:pPr>
            <w:r>
              <w:rPr>
                <w:rFonts w:ascii="Arial" w:hAnsi="Arial" w:eastAsia="Arial" w:cs="Arial"/>
                <w:b w:val="0"/>
                <w:bCs w:val="0"/>
                <w:i w:val="0"/>
                <w:iCs w:val="0"/>
                <w:color w:val="1C1C1C"/>
                <w:sz w:val="17"/>
                <w:szCs w:val="17"/>
              </w:rPr>
              <w:t>Institutionalized public-private food redistribution partnership model; exit strategy precedent (institutional funding)</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361E20FC">
            <w:pPr>
              <w:jc w:val="left"/>
            </w:pPr>
            <w:r>
              <w:rPr>
                <w:rFonts w:ascii="Arial" w:hAnsi="Arial" w:eastAsia="Arial" w:cs="Arial"/>
                <w:b w:val="0"/>
                <w:bCs w:val="0"/>
                <w:i w:val="0"/>
                <w:iCs w:val="0"/>
                <w:color w:val="2E7D52"/>
                <w:sz w:val="16"/>
                <w:szCs w:val="16"/>
              </w:rPr>
              <w:t>feedingamerica.org/about-us/financials | IRS Form 990 available publicly</w:t>
            </w:r>
          </w:p>
        </w:tc>
      </w:tr>
      <w:tr w14:paraId="7BFB55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090F8EB6">
            <w:pPr>
              <w:jc w:val="center"/>
            </w:pPr>
            <w:r>
              <w:rPr>
                <w:rFonts w:ascii="Arial" w:hAnsi="Arial" w:eastAsia="Arial" w:cs="Arial"/>
                <w:b/>
                <w:bCs/>
                <w:i w:val="0"/>
                <w:iCs w:val="0"/>
                <w:color w:val="1A3C5E"/>
                <w:sz w:val="18"/>
                <w:szCs w:val="18"/>
              </w:rPr>
              <w:t>F5</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246992C7">
            <w:pPr>
              <w:jc w:val="left"/>
            </w:pPr>
            <w:r>
              <w:rPr>
                <w:rFonts w:ascii="Arial" w:hAnsi="Arial" w:eastAsia="Arial" w:cs="Arial"/>
                <w:b w:val="0"/>
                <w:bCs w:val="0"/>
                <w:i/>
                <w:iCs/>
                <w:color w:val="1C1C1C"/>
                <w:sz w:val="17"/>
                <w:szCs w:val="17"/>
              </w:rPr>
              <w:t>IPCC. Climate Change 2022: Mitigation of Climate Change. Contribution of Working Group III to the Sixth Assessment Report. Cambridge: Cambridge University Press, 2022.</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44549889">
            <w:pPr>
              <w:jc w:val="left"/>
            </w:pPr>
            <w:r>
              <w:rPr>
                <w:rFonts w:ascii="Arial" w:hAnsi="Arial" w:eastAsia="Arial" w:cs="Arial"/>
                <w:b w:val="0"/>
                <w:bCs w:val="0"/>
                <w:i w:val="0"/>
                <w:iCs w:val="0"/>
                <w:color w:val="1C1C1C"/>
                <w:sz w:val="17"/>
                <w:szCs w:val="17"/>
              </w:rPr>
              <w:t>Methane from food waste is 80x more potent than CO2 over 20-year period; food systems contribute 21–37% of global GHG emissions</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4E0CB3C3">
            <w:pPr>
              <w:jc w:val="left"/>
            </w:pPr>
            <w:r>
              <w:rPr>
                <w:rFonts w:ascii="Arial" w:hAnsi="Arial" w:eastAsia="Arial" w:cs="Arial"/>
                <w:b w:val="0"/>
                <w:bCs w:val="0"/>
                <w:i w:val="0"/>
                <w:iCs w:val="0"/>
                <w:color w:val="2E7D52"/>
                <w:sz w:val="16"/>
                <w:szCs w:val="16"/>
              </w:rPr>
              <w:t>ipcc.ch/report/ar6/wg3 | DOI: 10.1017/9781009157926</w:t>
            </w:r>
          </w:p>
        </w:tc>
      </w:tr>
      <w:tr w14:paraId="4D004A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611BD350">
            <w:pPr>
              <w:jc w:val="center"/>
            </w:pPr>
            <w:r>
              <w:rPr>
                <w:rFonts w:ascii="Arial" w:hAnsi="Arial" w:eastAsia="Arial" w:cs="Arial"/>
                <w:b/>
                <w:bCs/>
                <w:i w:val="0"/>
                <w:iCs w:val="0"/>
                <w:color w:val="1A3C5E"/>
                <w:sz w:val="18"/>
                <w:szCs w:val="18"/>
              </w:rPr>
              <w:t>F6</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4152F992">
            <w:pPr>
              <w:jc w:val="left"/>
            </w:pPr>
            <w:r>
              <w:rPr>
                <w:rFonts w:ascii="Arial" w:hAnsi="Arial" w:eastAsia="Arial" w:cs="Arial"/>
                <w:b w:val="0"/>
                <w:bCs w:val="0"/>
                <w:i/>
                <w:iCs/>
                <w:color w:val="1C1C1C"/>
                <w:sz w:val="17"/>
                <w:szCs w:val="17"/>
              </w:rPr>
              <w:t>Gold Standard Foundation. 'Crediting Methodologies for Avoided Methane Emissions from Organic Waste.' Geneva: Gold Standard, 2022.</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4BDE8659">
            <w:pPr>
              <w:jc w:val="left"/>
            </w:pPr>
            <w:r>
              <w:rPr>
                <w:rFonts w:ascii="Arial" w:hAnsi="Arial" w:eastAsia="Arial" w:cs="Arial"/>
                <w:b w:val="0"/>
                <w:bCs w:val="0"/>
                <w:i w:val="0"/>
                <w:iCs w:val="0"/>
                <w:color w:val="1C1C1C"/>
                <w:sz w:val="17"/>
                <w:szCs w:val="17"/>
              </w:rPr>
              <w:t>Carbon credit calculation methodology for food waste diversion; voluntary carbon market registration process for food waste projects</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79BE9FCF">
            <w:pPr>
              <w:jc w:val="left"/>
            </w:pPr>
            <w:r>
              <w:rPr>
                <w:rFonts w:ascii="Arial" w:hAnsi="Arial" w:eastAsia="Arial" w:cs="Arial"/>
                <w:b w:val="0"/>
                <w:bCs w:val="0"/>
                <w:i w:val="0"/>
                <w:iCs w:val="0"/>
                <w:color w:val="2E7D52"/>
                <w:sz w:val="16"/>
                <w:szCs w:val="16"/>
              </w:rPr>
              <w:t>goldstandard.org/our-work/methodologies | goldstandard.org/resources</w:t>
            </w:r>
          </w:p>
        </w:tc>
      </w:tr>
      <w:tr w14:paraId="158877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58E6B03E">
            <w:pPr>
              <w:jc w:val="center"/>
            </w:pPr>
            <w:r>
              <w:rPr>
                <w:rFonts w:ascii="Arial" w:hAnsi="Arial" w:eastAsia="Arial" w:cs="Arial"/>
                <w:b/>
                <w:bCs/>
                <w:i w:val="0"/>
                <w:iCs w:val="0"/>
                <w:color w:val="1A3C5E"/>
                <w:sz w:val="18"/>
                <w:szCs w:val="18"/>
              </w:rPr>
              <w:t>F7</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27E54829">
            <w:pPr>
              <w:jc w:val="left"/>
            </w:pPr>
            <w:r>
              <w:rPr>
                <w:rFonts w:ascii="Arial" w:hAnsi="Arial" w:eastAsia="Arial" w:cs="Arial"/>
                <w:b w:val="0"/>
                <w:bCs w:val="0"/>
                <w:i/>
                <w:iCs/>
                <w:color w:val="1C1C1C"/>
                <w:sz w:val="17"/>
                <w:szCs w:val="17"/>
              </w:rPr>
              <w:t>Change Started. 'Can India Address Its Food Waste Problem Using the Too Good To Go Model?' Online Report. New Delhi: Change Started, September 2025.</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5FE48EB4">
            <w:pPr>
              <w:jc w:val="left"/>
            </w:pPr>
            <w:r>
              <w:rPr>
                <w:rFonts w:ascii="Arial" w:hAnsi="Arial" w:eastAsia="Arial" w:cs="Arial"/>
                <w:b w:val="0"/>
                <w:bCs w:val="0"/>
                <w:i w:val="0"/>
                <w:iCs w:val="0"/>
                <w:color w:val="1C1C1C"/>
                <w:sz w:val="17"/>
                <w:szCs w:val="17"/>
              </w:rPr>
              <w:t>Too Good To Go model limitations in India context; informal food redistribution culture; hyperlocal logistics barriers</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0D863121">
            <w:pPr>
              <w:jc w:val="left"/>
            </w:pPr>
            <w:r>
              <w:rPr>
                <w:rFonts w:ascii="Arial" w:hAnsi="Arial" w:eastAsia="Arial" w:cs="Arial"/>
                <w:b w:val="0"/>
                <w:bCs w:val="0"/>
                <w:i w:val="0"/>
                <w:iCs w:val="0"/>
                <w:color w:val="2E7D52"/>
                <w:sz w:val="16"/>
                <w:szCs w:val="16"/>
              </w:rPr>
              <w:t>changestarted.com (accessible at changestarted.com/food-waste-india)</w:t>
            </w:r>
          </w:p>
        </w:tc>
      </w:tr>
    </w:tbl>
    <w:p w14:paraId="09B18F6E">
      <w:pPr>
        <w:pBdr>
          <w:bottom w:val="single" w:color="2E7D52" w:sz="4" w:space="2"/>
        </w:pBdr>
        <w:spacing w:before="200" w:after="80"/>
      </w:pPr>
      <w:r>
        <w:rPr>
          <w:rFonts w:ascii="Arial" w:hAnsi="Arial" w:eastAsia="Arial" w:cs="Arial"/>
          <w:b/>
          <w:bCs/>
          <w:color w:val="2E7D52"/>
          <w:sz w:val="24"/>
          <w:szCs w:val="24"/>
        </w:rPr>
        <w:t>G.  INDIA GOVERNMENT SCHEMES &amp; GRANT PROGRAMS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21"/>
        <w:gridCol w:w="2432"/>
        <w:gridCol w:w="3200"/>
        <w:gridCol w:w="3207"/>
      </w:tblGrid>
      <w:tr w14:paraId="21F7E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07869CC3">
            <w:pPr>
              <w:jc w:val="center"/>
            </w:pPr>
            <w:r>
              <w:rPr>
                <w:rFonts w:ascii="Arial" w:hAnsi="Arial" w:eastAsia="Arial" w:cs="Arial"/>
                <w:b/>
                <w:bCs/>
                <w:color w:val="FFFFFF"/>
                <w:sz w:val="20"/>
                <w:szCs w:val="20"/>
              </w:rPr>
              <w:t>#</w:t>
            </w:r>
          </w:p>
        </w:tc>
        <w:tc>
          <w:tcPr>
            <w:tcW w:w="28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1CA64EA1">
            <w:pPr>
              <w:jc w:val="center"/>
            </w:pPr>
            <w:r>
              <w:rPr>
                <w:rFonts w:ascii="Arial" w:hAnsi="Arial" w:eastAsia="Arial" w:cs="Arial"/>
                <w:b/>
                <w:bCs/>
                <w:color w:val="FFFFFF"/>
                <w:sz w:val="20"/>
                <w:szCs w:val="20"/>
              </w:rPr>
              <w:t>SOURCE / TITLE</w:t>
            </w:r>
          </w:p>
        </w:tc>
        <w:tc>
          <w:tcPr>
            <w:tcW w:w="376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6F8E7343">
            <w:pPr>
              <w:jc w:val="center"/>
            </w:pPr>
            <w:r>
              <w:rPr>
                <w:rFonts w:ascii="Arial" w:hAnsi="Arial" w:eastAsia="Arial" w:cs="Arial"/>
                <w:b/>
                <w:bCs/>
                <w:color w:val="FFFFFF"/>
                <w:sz w:val="20"/>
                <w:szCs w:val="20"/>
              </w:rPr>
              <w:t>KEY CLAIM SUPPORTED</w:t>
            </w:r>
          </w:p>
        </w:tc>
        <w:tc>
          <w:tcPr>
            <w:tcW w:w="2400" w:type="dxa"/>
            <w:tcBorders>
              <w:top w:val="single" w:color="CBD5E0" w:sz="4" w:space="0"/>
              <w:left w:val="single" w:color="CBD5E0" w:sz="4" w:space="0"/>
              <w:bottom w:val="single" w:color="CBD5E0" w:sz="4" w:space="0"/>
              <w:right w:val="single" w:color="CBD5E0" w:sz="4" w:space="0"/>
            </w:tcBorders>
            <w:shd w:val="clear" w:color="auto" w:fill="1A3C5E"/>
            <w:tcMar>
              <w:top w:w="100" w:type="dxa"/>
              <w:left w:w="140" w:type="dxa"/>
              <w:bottom w:w="100" w:type="dxa"/>
              <w:right w:w="140" w:type="dxa"/>
            </w:tcMar>
            <w:vAlign w:val="center"/>
          </w:tcPr>
          <w:p w14:paraId="55B1E268">
            <w:pPr>
              <w:jc w:val="center"/>
            </w:pPr>
            <w:r>
              <w:rPr>
                <w:rFonts w:ascii="Arial" w:hAnsi="Arial" w:eastAsia="Arial" w:cs="Arial"/>
                <w:b/>
                <w:bCs/>
                <w:color w:val="FFFFFF"/>
                <w:sz w:val="20"/>
                <w:szCs w:val="20"/>
              </w:rPr>
              <w:t>HOW TO ACCESS</w:t>
            </w:r>
          </w:p>
        </w:tc>
      </w:tr>
      <w:tr w14:paraId="13B8CD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708A070B">
            <w:pPr>
              <w:jc w:val="center"/>
            </w:pPr>
            <w:r>
              <w:rPr>
                <w:rFonts w:ascii="Arial" w:hAnsi="Arial" w:eastAsia="Arial" w:cs="Arial"/>
                <w:b/>
                <w:bCs/>
                <w:i w:val="0"/>
                <w:iCs w:val="0"/>
                <w:color w:val="1A3C5E"/>
                <w:sz w:val="18"/>
                <w:szCs w:val="18"/>
              </w:rPr>
              <w:t>G1</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1E560706">
            <w:pPr>
              <w:jc w:val="left"/>
            </w:pPr>
            <w:r>
              <w:rPr>
                <w:rFonts w:ascii="Arial" w:hAnsi="Arial" w:eastAsia="Arial" w:cs="Arial"/>
                <w:b w:val="0"/>
                <w:bCs w:val="0"/>
                <w:i/>
                <w:iCs/>
                <w:color w:val="1C1C1C"/>
                <w:sz w:val="17"/>
                <w:szCs w:val="17"/>
              </w:rPr>
              <w:t>Ministry of Women and Child Development, Government of India. Integrated Child Development Services (ICDS) Scheme — Programme Guidelines. New Delhi: MoWCD, 2023.</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49799EA1">
            <w:pPr>
              <w:jc w:val="left"/>
            </w:pPr>
            <w:r>
              <w:rPr>
                <w:rFonts w:ascii="Arial" w:hAnsi="Arial" w:eastAsia="Arial" w:cs="Arial"/>
                <w:b w:val="0"/>
                <w:bCs w:val="0"/>
                <w:i w:val="0"/>
                <w:iCs w:val="0"/>
                <w:color w:val="1C1C1C"/>
                <w:sz w:val="17"/>
                <w:szCs w:val="17"/>
              </w:rPr>
              <w:t>Government co-funding for community nutrition programs; Micro-Hub grant eligibility in ICDS-covered zones; Anganwadi kitchen co-location potential</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475B3204">
            <w:pPr>
              <w:jc w:val="left"/>
            </w:pPr>
            <w:r>
              <w:rPr>
                <w:rFonts w:ascii="Arial" w:hAnsi="Arial" w:eastAsia="Arial" w:cs="Arial"/>
                <w:b w:val="0"/>
                <w:bCs w:val="0"/>
                <w:i w:val="0"/>
                <w:iCs w:val="0"/>
                <w:color w:val="2E7D52"/>
                <w:sz w:val="16"/>
                <w:szCs w:val="16"/>
              </w:rPr>
              <w:t>wcd.nic.in/schemes/integrated-child-development-services-icds-scheme</w:t>
            </w:r>
          </w:p>
        </w:tc>
      </w:tr>
      <w:tr w14:paraId="5E73D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52C65BC8">
            <w:pPr>
              <w:jc w:val="center"/>
            </w:pPr>
            <w:r>
              <w:rPr>
                <w:rFonts w:ascii="Arial" w:hAnsi="Arial" w:eastAsia="Arial" w:cs="Arial"/>
                <w:b/>
                <w:bCs/>
                <w:i w:val="0"/>
                <w:iCs w:val="0"/>
                <w:color w:val="1A3C5E"/>
                <w:sz w:val="18"/>
                <w:szCs w:val="18"/>
              </w:rPr>
              <w:t>G2</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62F5EE98">
            <w:pPr>
              <w:jc w:val="left"/>
            </w:pPr>
            <w:r>
              <w:rPr>
                <w:rFonts w:ascii="Arial" w:hAnsi="Arial" w:eastAsia="Arial" w:cs="Arial"/>
                <w:b w:val="0"/>
                <w:bCs w:val="0"/>
                <w:i/>
                <w:iCs/>
                <w:color w:val="1C1C1C"/>
                <w:sz w:val="17"/>
                <w:szCs w:val="17"/>
              </w:rPr>
              <w:t>National Health Mission (NHM), Ministry of Health and Family Welfare. Rashtriya Bal Swasthya Karyakram (RBSK) &amp; Community Nutrition Guidelines. New Delhi: MoHFW, 2022.</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04BF7476">
            <w:pPr>
              <w:jc w:val="left"/>
            </w:pPr>
            <w:r>
              <w:rPr>
                <w:rFonts w:ascii="Arial" w:hAnsi="Arial" w:eastAsia="Arial" w:cs="Arial"/>
                <w:b w:val="0"/>
                <w:bCs w:val="0"/>
                <w:i w:val="0"/>
                <w:iCs w:val="0"/>
                <w:color w:val="1C1C1C"/>
                <w:sz w:val="17"/>
                <w:szCs w:val="17"/>
              </w:rPr>
              <w:t>NHM funding for community nutrition; hospital food service regulations; beneficiary health tracking systems</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61C5EF8F">
            <w:pPr>
              <w:jc w:val="left"/>
            </w:pPr>
            <w:r>
              <w:rPr>
                <w:rFonts w:ascii="Arial" w:hAnsi="Arial" w:eastAsia="Arial" w:cs="Arial"/>
                <w:b w:val="0"/>
                <w:bCs w:val="0"/>
                <w:i w:val="0"/>
                <w:iCs w:val="0"/>
                <w:color w:val="2E7D52"/>
                <w:sz w:val="16"/>
                <w:szCs w:val="16"/>
              </w:rPr>
              <w:t>nhm.gov.in | nhsrcindia.org</w:t>
            </w:r>
          </w:p>
        </w:tc>
      </w:tr>
      <w:tr w14:paraId="528B85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2F97AFD3">
            <w:pPr>
              <w:jc w:val="center"/>
            </w:pPr>
            <w:r>
              <w:rPr>
                <w:rFonts w:ascii="Arial" w:hAnsi="Arial" w:eastAsia="Arial" w:cs="Arial"/>
                <w:b/>
                <w:bCs/>
                <w:i w:val="0"/>
                <w:iCs w:val="0"/>
                <w:color w:val="1A3C5E"/>
                <w:sz w:val="18"/>
                <w:szCs w:val="18"/>
              </w:rPr>
              <w:t>G3</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671E3DA1">
            <w:pPr>
              <w:jc w:val="left"/>
            </w:pPr>
            <w:r>
              <w:rPr>
                <w:rFonts w:ascii="Arial" w:hAnsi="Arial" w:eastAsia="Arial" w:cs="Arial"/>
                <w:b w:val="0"/>
                <w:bCs w:val="0"/>
                <w:i/>
                <w:iCs/>
                <w:color w:val="1C1C1C"/>
                <w:sz w:val="17"/>
                <w:szCs w:val="17"/>
              </w:rPr>
              <w:t>Department of Science and Technology (DST), Government of India. NIDHI (National Initiative for Developing and Harnessing Innovations) Programme Guidelines 2023. New Delhi: DST, 2023.</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5E4D5B23">
            <w:pPr>
              <w:jc w:val="left"/>
            </w:pPr>
            <w:r>
              <w:rPr>
                <w:rFonts w:ascii="Arial" w:hAnsi="Arial" w:eastAsia="Arial" w:cs="Arial"/>
                <w:b w:val="0"/>
                <w:bCs w:val="0"/>
                <w:i w:val="0"/>
                <w:iCs w:val="0"/>
                <w:color w:val="1C1C1C"/>
                <w:sz w:val="17"/>
                <w:szCs w:val="17"/>
              </w:rPr>
              <w:t>NIDHI grant scheme eligibility for tech-driven social enterprises; Startup India Seed Fund application process</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1359FAB4">
            <w:pPr>
              <w:jc w:val="left"/>
            </w:pPr>
            <w:r>
              <w:rPr>
                <w:rFonts w:ascii="Arial" w:hAnsi="Arial" w:eastAsia="Arial" w:cs="Arial"/>
                <w:b w:val="0"/>
                <w:bCs w:val="0"/>
                <w:i w:val="0"/>
                <w:iCs w:val="0"/>
                <w:color w:val="2E7D52"/>
                <w:sz w:val="16"/>
                <w:szCs w:val="16"/>
              </w:rPr>
              <w:t>dst.gov.in/scientific-programmes/nidhi | nidhi.gov.in</w:t>
            </w:r>
          </w:p>
        </w:tc>
      </w:tr>
      <w:tr w14:paraId="717AD1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4B08638A">
            <w:pPr>
              <w:jc w:val="center"/>
            </w:pPr>
            <w:r>
              <w:rPr>
                <w:rFonts w:ascii="Arial" w:hAnsi="Arial" w:eastAsia="Arial" w:cs="Arial"/>
                <w:b/>
                <w:bCs/>
                <w:i w:val="0"/>
                <w:iCs w:val="0"/>
                <w:color w:val="1A3C5E"/>
                <w:sz w:val="18"/>
                <w:szCs w:val="18"/>
              </w:rPr>
              <w:t>G4</w:t>
            </w:r>
          </w:p>
        </w:tc>
        <w:tc>
          <w:tcPr>
            <w:tcW w:w="28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12A6C272">
            <w:pPr>
              <w:jc w:val="left"/>
            </w:pPr>
            <w:r>
              <w:rPr>
                <w:rFonts w:ascii="Arial" w:hAnsi="Arial" w:eastAsia="Arial" w:cs="Arial"/>
                <w:b w:val="0"/>
                <w:bCs w:val="0"/>
                <w:i/>
                <w:iCs/>
                <w:color w:val="1C1C1C"/>
                <w:sz w:val="17"/>
                <w:szCs w:val="17"/>
              </w:rPr>
              <w:t>Invest India &amp; DPIIT. Startup India Seed Fund Scheme (SISFS) — Operational Guidelines. New Delhi: Government of India, 2021 (Updated 2024).</w:t>
            </w:r>
          </w:p>
        </w:tc>
        <w:tc>
          <w:tcPr>
            <w:tcW w:w="376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7D807144">
            <w:pPr>
              <w:jc w:val="left"/>
            </w:pPr>
            <w:r>
              <w:rPr>
                <w:rFonts w:ascii="Arial" w:hAnsi="Arial" w:eastAsia="Arial" w:cs="Arial"/>
                <w:b w:val="0"/>
                <w:bCs w:val="0"/>
                <w:i w:val="0"/>
                <w:iCs w:val="0"/>
                <w:color w:val="1C1C1C"/>
                <w:sz w:val="17"/>
                <w:szCs w:val="17"/>
              </w:rPr>
              <w:t>Seed funding up to ₹20 lakh for early-stage social startups; eligibility criteria for FSSAI-registered food enterprises</w:t>
            </w:r>
          </w:p>
        </w:tc>
        <w:tc>
          <w:tcPr>
            <w:tcW w:w="2400" w:type="dxa"/>
            <w:tcBorders>
              <w:top w:val="single" w:color="CBD5E0" w:sz="4" w:space="0"/>
              <w:left w:val="single" w:color="CBD5E0" w:sz="4" w:space="0"/>
              <w:bottom w:val="single" w:color="CBD5E0" w:sz="4" w:space="0"/>
              <w:right w:val="single" w:color="CBD5E0" w:sz="4" w:space="0"/>
            </w:tcBorders>
            <w:shd w:val="clear" w:color="auto" w:fill="FFFFFF"/>
            <w:tcMar>
              <w:top w:w="100" w:type="dxa"/>
              <w:left w:w="140" w:type="dxa"/>
              <w:bottom w:w="100" w:type="dxa"/>
              <w:right w:w="140" w:type="dxa"/>
            </w:tcMar>
            <w:vAlign w:val="center"/>
          </w:tcPr>
          <w:p w14:paraId="137A4F95">
            <w:pPr>
              <w:jc w:val="left"/>
            </w:pPr>
            <w:r>
              <w:rPr>
                <w:rFonts w:ascii="Arial" w:hAnsi="Arial" w:eastAsia="Arial" w:cs="Arial"/>
                <w:b w:val="0"/>
                <w:bCs w:val="0"/>
                <w:i w:val="0"/>
                <w:iCs w:val="0"/>
                <w:color w:val="2E7D52"/>
                <w:sz w:val="16"/>
                <w:szCs w:val="16"/>
              </w:rPr>
              <w:t>startupindia.gov.in/content/sih/en/startup-scheme/startup-india-seed-fund-scheme.html</w:t>
            </w:r>
          </w:p>
        </w:tc>
      </w:tr>
      <w:tr w14:paraId="238D8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7B98EFEE">
            <w:pPr>
              <w:jc w:val="center"/>
            </w:pPr>
            <w:r>
              <w:rPr>
                <w:rFonts w:ascii="Arial" w:hAnsi="Arial" w:eastAsia="Arial" w:cs="Arial"/>
                <w:b/>
                <w:bCs/>
                <w:i w:val="0"/>
                <w:iCs w:val="0"/>
                <w:color w:val="1A3C5E"/>
                <w:sz w:val="18"/>
                <w:szCs w:val="18"/>
              </w:rPr>
              <w:t>G5</w:t>
            </w:r>
          </w:p>
        </w:tc>
        <w:tc>
          <w:tcPr>
            <w:tcW w:w="28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0BE0ED54">
            <w:pPr>
              <w:jc w:val="left"/>
            </w:pPr>
            <w:r>
              <w:rPr>
                <w:rFonts w:ascii="Arial" w:hAnsi="Arial" w:eastAsia="Arial" w:cs="Arial"/>
                <w:b w:val="0"/>
                <w:bCs w:val="0"/>
                <w:i/>
                <w:iCs/>
                <w:color w:val="1C1C1C"/>
                <w:sz w:val="17"/>
                <w:szCs w:val="17"/>
              </w:rPr>
              <w:t>Ministry of Food Processing Industries (MoFPI). Pradhan Mantri Formalisation of Micro Food Processing Enterprises (PM FME) Scheme Guidelines. New Delhi: MoFPI, 2020 (Updated 2024).</w:t>
            </w:r>
          </w:p>
        </w:tc>
        <w:tc>
          <w:tcPr>
            <w:tcW w:w="376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258DA25D">
            <w:pPr>
              <w:jc w:val="left"/>
            </w:pPr>
            <w:r>
              <w:rPr>
                <w:rFonts w:ascii="Arial" w:hAnsi="Arial" w:eastAsia="Arial" w:cs="Arial"/>
                <w:b w:val="0"/>
                <w:bCs w:val="0"/>
                <w:i w:val="0"/>
                <w:iCs w:val="0"/>
                <w:color w:val="1C1C1C"/>
                <w:sz w:val="17"/>
                <w:szCs w:val="17"/>
              </w:rPr>
              <w:t>Micro-Hub establishment grants; FSSAI Micro certification for small food processing units; SHG participation in PM FME</w:t>
            </w:r>
          </w:p>
        </w:tc>
        <w:tc>
          <w:tcPr>
            <w:tcW w:w="2400" w:type="dxa"/>
            <w:tcBorders>
              <w:top w:val="single" w:color="CBD5E0" w:sz="4" w:space="0"/>
              <w:left w:val="single" w:color="CBD5E0" w:sz="4" w:space="0"/>
              <w:bottom w:val="single" w:color="CBD5E0" w:sz="4" w:space="0"/>
              <w:right w:val="single" w:color="CBD5E0" w:sz="4" w:space="0"/>
            </w:tcBorders>
            <w:shd w:val="clear" w:color="auto" w:fill="EAF2FB"/>
            <w:tcMar>
              <w:top w:w="100" w:type="dxa"/>
              <w:left w:w="140" w:type="dxa"/>
              <w:bottom w:w="100" w:type="dxa"/>
              <w:right w:w="140" w:type="dxa"/>
            </w:tcMar>
            <w:vAlign w:val="center"/>
          </w:tcPr>
          <w:p w14:paraId="24448B0F">
            <w:pPr>
              <w:jc w:val="left"/>
            </w:pPr>
            <w:r>
              <w:rPr>
                <w:rFonts w:ascii="Arial" w:hAnsi="Arial" w:eastAsia="Arial" w:cs="Arial"/>
                <w:b w:val="0"/>
                <w:bCs w:val="0"/>
                <w:i w:val="0"/>
                <w:iCs w:val="0"/>
                <w:color w:val="2E7D52"/>
                <w:sz w:val="16"/>
                <w:szCs w:val="16"/>
              </w:rPr>
              <w:t>mofpi.gov.in/Schemes/pm-fme | pmfme.mofpi.gov.in</w:t>
            </w:r>
          </w:p>
        </w:tc>
      </w:tr>
    </w:tbl>
    <w:p w14:paraId="07E5F45B">
      <w:pPr>
        <w:spacing w:before="160" w:after="0"/>
      </w:pP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360"/>
      </w:tblGrid>
      <w:tr w14:paraId="7885E5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360" w:type="dxa"/>
            <w:tcBorders>
              <w:top w:val="single" w:color="1A3C5E" w:sz="8" w:space="0"/>
              <w:left w:val="single" w:color="1A3C5E" w:sz="8" w:space="0"/>
              <w:bottom w:val="single" w:color="1A3C5E" w:sz="8" w:space="0"/>
              <w:right w:val="single" w:color="1A3C5E" w:sz="8" w:space="0"/>
            </w:tcBorders>
            <w:shd w:val="clear" w:color="auto" w:fill="EAF2FB"/>
            <w:tcMar>
              <w:top w:w="160" w:type="dxa"/>
              <w:left w:w="200" w:type="dxa"/>
              <w:bottom w:w="160" w:type="dxa"/>
              <w:right w:w="200" w:type="dxa"/>
            </w:tcMar>
          </w:tcPr>
          <w:p w14:paraId="3F208A0E">
            <w:pPr>
              <w:spacing w:before="0" w:after="80"/>
            </w:pPr>
            <w:r>
              <w:rPr>
                <w:rFonts w:ascii="Arial" w:hAnsi="Arial" w:eastAsia="Arial" w:cs="Arial"/>
                <w:b/>
                <w:bCs/>
                <w:color w:val="1A3C5E"/>
                <w:sz w:val="22"/>
                <w:szCs w:val="22"/>
              </w:rPr>
              <w:t>A NOTE ON THIS RESEARCH</w:t>
            </w:r>
          </w:p>
          <w:p w14:paraId="7AFD6997">
            <w:pPr>
              <w:spacing w:before="0" w:after="60"/>
            </w:pPr>
            <w:r>
              <w:rPr>
                <w:rFonts w:ascii="Arial" w:hAnsi="Arial" w:eastAsia="Arial" w:cs="Arial"/>
                <w:color w:val="1C1C1C"/>
                <w:sz w:val="20"/>
                <w:szCs w:val="20"/>
              </w:rPr>
              <w:t>This document was built using a structured research methodology spanning six source categories: UN agency reports, Indian government gazettes, peer-reviewed academic journals, industry association publications, NGO impact reports, and global technology benchmarks. Every statistic cited in the main body of this document corresponds to at least one reference in this bibliography.</w:t>
            </w:r>
          </w:p>
          <w:p w14:paraId="51B8C2A4">
            <w:pPr>
              <w:spacing w:before="0" w:after="60"/>
            </w:pPr>
            <w:r>
              <w:rPr>
                <w:rFonts w:ascii="Arial" w:hAnsi="Arial" w:eastAsia="Arial" w:cs="Arial"/>
                <w:color w:val="1C1C1C"/>
                <w:sz w:val="20"/>
                <w:szCs w:val="20"/>
              </w:rPr>
              <w:t>The FSSAI Surplus Food Distribution Regulations 2019 (Reference B1) and the UNEP Food Waste Index 2024 (Reference A1) were the two primary anchor documents for this project — the regulatory framework and the data framework respectively. All claims were cross-verified across minimum two independent sources before inclusion.</w:t>
            </w:r>
          </w:p>
          <w:p w14:paraId="2973857F">
            <w:pPr>
              <w:spacing w:before="0" w:after="0"/>
            </w:pPr>
            <w:r>
              <w:rPr>
                <w:rFonts w:ascii="Arial" w:hAnsi="Arial" w:eastAsia="Arial" w:cs="Arial"/>
                <w:color w:val="5A6A7A"/>
                <w:sz w:val="20"/>
                <w:szCs w:val="20"/>
              </w:rPr>
              <w:t>For full citations, methodology details, or raw data access, references marked with DOI numbers can be retrieved via Google Scholar (scholar.google.com) or PubMed (pubmed.ncbi.nlm.nih.gov). Government documents are publicly accessible via the respective Ministry websites listed above.</w:t>
            </w:r>
          </w:p>
        </w:tc>
      </w:tr>
    </w:tbl>
    <w:p w14:paraId="2186039E">
      <w:pPr>
        <w:spacing w:before="80" w:after="0"/>
      </w:pPr>
    </w:p>
    <w:p w14:paraId="35CCBE4E">
      <w:pPr>
        <w:spacing w:before="60" w:after="0"/>
        <w:jc w:val="center"/>
      </w:pPr>
      <w:r>
        <w:rPr>
          <w:rFonts w:ascii="Arial" w:hAnsi="Arial" w:eastAsia="Arial" w:cs="Arial"/>
          <w:color w:val="5A6A7A"/>
          <w:sz w:val="17"/>
          <w:szCs w:val="17"/>
        </w:rPr>
        <w:t>Total References: 33 sources across 7 categories | Compiled: April 2025 | FEEDOO Strategic Blueprint v1.0</w:t>
      </w:r>
    </w:p>
    <w:sectPr>
      <w:headerReference r:id="rId3" w:type="default"/>
      <w:footerReference r:id="rId4" w:type="default"/>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3EBFA5">
    <w:pPr>
      <w:pBdr>
        <w:top w:val="single" w:color="D4A843" w:sz="4" w:space="2"/>
      </w:pBdr>
      <w:tabs>
        <w:tab w:val="right" w:pos="9026"/>
      </w:tabs>
      <w:spacing w:before="80" w:after="0"/>
    </w:pPr>
    <w:r>
      <w:rPr>
        <w:rFonts w:ascii="Arial" w:hAnsi="Arial" w:eastAsia="Arial" w:cs="Arial"/>
        <w:color w:val="5A6A7A"/>
        <w:sz w:val="18"/>
        <w:szCs w:val="18"/>
      </w:rPr>
      <w:t>Transforming Surplus Into Sustenance — The FEEDOO Way</w:t>
    </w:r>
    <w:r>
      <w:rPr>
        <w:rFonts w:ascii="Arial" w:hAnsi="Arial" w:eastAsia="Arial" w:cs="Arial"/>
      </w:rPr>
      <w:tab/>
    </w:r>
    <w:r>
      <w:rPr>
        <w:rFonts w:ascii="Arial" w:hAnsi="Arial" w:eastAsia="Arial" w:cs="Arial"/>
        <w:color w:val="5A6A7A"/>
        <w:sz w:val="18"/>
        <w:szCs w:val="18"/>
      </w:rPr>
      <w:fldChar w:fldCharType="begin"/>
    </w:r>
    <w:r>
      <w:rPr>
        <w:rFonts w:ascii="Arial" w:hAnsi="Arial" w:eastAsia="Arial" w:cs="Arial"/>
        <w:color w:val="5A6A7A"/>
        <w:sz w:val="18"/>
        <w:szCs w:val="18"/>
      </w:rPr>
      <w:instrText xml:space="preserve">PAGE</w:instrText>
    </w:r>
    <w:r>
      <w:rPr>
        <w:rFonts w:ascii="Arial" w:hAnsi="Arial" w:eastAsia="Arial" w:cs="Arial"/>
        <w:color w:val="5A6A7A"/>
        <w:sz w:val="18"/>
        <w:szCs w:val="18"/>
      </w:rPr>
      <w:fldChar w:fldCharType="separate"/>
    </w:r>
    <w:r>
      <w:rPr>
        <w:rFonts w:ascii="Arial" w:hAnsi="Arial" w:eastAsia="Arial" w:cs="Arial"/>
        <w:color w:val="5A6A7A"/>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AA7DB2">
    <w:pPr>
      <w:pBdr>
        <w:bottom w:val="single" w:color="D4A843" w:sz="4" w:space="2"/>
      </w:pBdr>
      <w:spacing w:before="0" w:after="100"/>
    </w:pPr>
    <w:r>
      <w:rPr>
        <w:rFonts w:ascii="Arial" w:hAnsi="Arial" w:eastAsia="Arial" w:cs="Arial"/>
        <w:b/>
        <w:bCs/>
        <w:color w:val="1A3C5E"/>
        <w:sz w:val="22"/>
        <w:szCs w:val="22"/>
      </w:rPr>
      <w:t>FEEDOO</w:t>
    </w:r>
    <w:r>
      <w:rPr>
        <w:rFonts w:ascii="Arial" w:hAnsi="Arial" w:eastAsia="Arial" w:cs="Arial"/>
        <w:color w:val="5A6A7A"/>
        <w:sz w:val="20"/>
        <w:szCs w:val="20"/>
      </w:rPr>
      <w:t xml:space="preserve"> — Confidential Strategic Blueprint 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displayBackgroundShape w:val="1"/>
  <w:documentProtection w:enforcement="0"/>
  <w:compat>
    <w:compatSetting w:name="compatibilityMode" w:uri="http://schemas.microsoft.com/office/word" w:val="15"/>
  </w:compat>
  <w:rsids>
    <w:rsidRoot w:val="00000000"/>
    <w:rsid w:val="46CD4EC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color w:val="1C1C1C"/>
      <w:sz w:val="21"/>
      <w:szCs w:val="21"/>
    </w:rPr>
  </w:style>
  <w:style w:type="paragraph" w:styleId="2">
    <w:name w:val="heading 1"/>
    <w:next w:val="1"/>
    <w:qFormat/>
    <w:uiPriority w:val="0"/>
    <w:pPr>
      <w:spacing w:before="400" w:after="200"/>
      <w:outlineLvl w:val="0"/>
    </w:pPr>
    <w:rPr>
      <w:rFonts w:ascii="Arial" w:hAnsi="Arial" w:eastAsia="Arial" w:cs="Arial"/>
      <w:b/>
      <w:bCs/>
      <w:color w:val="1A3C5E"/>
      <w:sz w:val="36"/>
      <w:szCs w:val="36"/>
    </w:rPr>
  </w:style>
  <w:style w:type="paragraph" w:styleId="3">
    <w:name w:val="heading 2"/>
    <w:next w:val="1"/>
    <w:qFormat/>
    <w:uiPriority w:val="0"/>
    <w:pPr>
      <w:spacing w:before="240" w:after="120"/>
      <w:outlineLvl w:val="1"/>
    </w:pPr>
    <w:rPr>
      <w:rFonts w:ascii="Arial" w:hAnsi="Arial" w:eastAsia="Arial" w:cs="Arial"/>
      <w:b/>
      <w:bCs/>
      <w:color w:val="1A3C5E"/>
      <w:sz w:val="28"/>
      <w:szCs w:val="28"/>
    </w:rPr>
  </w:style>
  <w:style w:type="paragraph" w:styleId="4">
    <w:name w:val="heading 3"/>
    <w:next w:val="1"/>
    <w:qFormat/>
    <w:uiPriority w:val="0"/>
    <w:pPr>
      <w:spacing w:before="180" w:after="100"/>
      <w:outlineLvl w:val="2"/>
    </w:pPr>
    <w:rPr>
      <w:rFonts w:ascii="Arial" w:hAnsi="Arial" w:eastAsia="Arial" w:cs="Arial"/>
      <w:b/>
      <w:bCs/>
      <w:color w:val="1A3C5E"/>
      <w:sz w:val="24"/>
      <w:szCs w:val="24"/>
    </w:rPr>
  </w:style>
  <w:style w:type="paragraph" w:styleId="5">
    <w:name w:val="heading 4"/>
    <w:next w:val="1"/>
    <w:qFormat/>
    <w:uiPriority w:val="0"/>
    <w:rPr>
      <w:rFonts w:ascii="Arial" w:hAnsi="Arial" w:eastAsia="Arial" w:cs="Arial"/>
      <w:i/>
      <w:iCs/>
      <w:color w:val="2E74B5"/>
      <w:sz w:val="21"/>
      <w:szCs w:val="21"/>
    </w:rPr>
  </w:style>
  <w:style w:type="paragraph" w:styleId="6">
    <w:name w:val="heading 5"/>
    <w:next w:val="1"/>
    <w:qFormat/>
    <w:uiPriority w:val="0"/>
    <w:rPr>
      <w:rFonts w:ascii="Arial" w:hAnsi="Arial" w:eastAsia="Arial" w:cs="Arial"/>
      <w:color w:val="2E74B5"/>
      <w:sz w:val="21"/>
      <w:szCs w:val="21"/>
    </w:rPr>
  </w:style>
  <w:style w:type="paragraph" w:styleId="7">
    <w:name w:val="heading 6"/>
    <w:next w:val="1"/>
    <w:qFormat/>
    <w:uiPriority w:val="0"/>
    <w:rPr>
      <w:rFonts w:ascii="Arial" w:hAnsi="Arial" w:eastAsia="Arial" w:cs="Arial"/>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color w:val="1C1C1C"/>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color w:val="1C1C1C"/>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color w:val="1C1C1C"/>
      <w:sz w:val="56"/>
      <w:szCs w:val="56"/>
    </w:rPr>
  </w:style>
  <w:style w:type="paragraph" w:styleId="16">
    <w:name w:val="List Paragraph"/>
    <w:qFormat/>
    <w:uiPriority w:val="0"/>
    <w:rPr>
      <w:rFonts w:ascii="Arial" w:hAnsi="Arial" w:eastAsia="Arial" w:cs="Arial"/>
      <w:color w:val="1C1C1C"/>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Words>2114</Words>
  <Characters>12420</Characters>
  <TotalTime>0</TotalTime>
  <ScaleCrop>false</ScaleCrop>
  <LinksUpToDate>false</LinksUpToDate>
  <CharactersWithSpaces>14387</CharactersWithSpaces>
  <Application>WPS Office_12.1.0.25242_F1E327BC-269C-435d-A152-05C5408002CA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2026-04-28T03:20:00Z</dcterms:created>
  <dc:creator>Un-named</dc:creator>
  <cp:lastModifiedBy>Ash Born</cp:lastModifiedBy>
  <dcterms:modified xsi:type="dcterms:W3CDTF">2026-04-28T03:22:02Z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eyJoZGlkIjoiNGZiY2U0MzdlZjBlMzY1MjlmM2QzZmI1MGFhMDA4ZjUiLCJ1c2VySWQiOiI1NjczNTc5NzAyMDAifQ==</vt:lpwstr>
  </property>
  <property fmtid="{D5CDD505-2E9C-101B-9397-08002B2CF9AE}" pid="3" name="KSOProductBuildVer">
    <vt:lpwstr>1033-12.1.0.25242</vt:lpwstr>
  </property>
  <property fmtid="{D5CDD505-2E9C-101B-9397-08002B2CF9AE}" pid="4" name="ICV">
    <vt:lpwstr>C9F1FC324C2A4346A0A39CEA1453F2C0_12</vt:lpwstr>
  </property>
</Properties>
</file>