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Child Mind Institute</w:t>
      </w:r>
    </w:p>
    <w:p>
      <w:pPr>
        <w:spacing w:before="0" w:after="200"/>
      </w:pPr>
      <w:r>
        <w:rPr>
          <w:rFonts w:ascii="Arial" w:cs="Arial" w:eastAsia="Arial" w:hAnsi="Arial"/>
          <w:color w:val="2E5FA3"/>
          <w:sz w:val="32"/>
          <w:szCs w:val="32"/>
        </w:rPr>
        <w:t xml:space="preserve">Rapport d'analyse des variables – Preprocessing</w:t>
      </w:r>
    </w:p>
    <w:p>
      <w:pPr>
        <w:pBdr>
          <w:bottom w:val="single" w:color="2E5FA3" w:sz="8" w:space="1"/>
        </w:pBdr>
        <w:spacing w:after="320"/>
      </w:pPr>
      <w:r>
        <w:rPr>
          <w:rFonts w:ascii="Arial" w:cs="Arial" w:eastAsia="Arial" w:hAnsi="Arial"/>
          <w:i/>
          <w:iCs/>
          <w:color w:val="555555"/>
          <w:sz w:val="18"/>
          <w:szCs w:val="18"/>
        </w:rPr>
        <w:t xml:space="preserve">Projet : Prédiction de l'usage problématique d'internet (sii)   |   Dataset : Kaggle CMI 2024</w:t>
      </w:r>
    </w:p>
    <w:p>
      <w:pPr>
        <w:pStyle w:val="Heading1"/>
        <w:spacing w:before="360" w:after="160"/>
      </w:pPr>
      <w:r>
        <w:rPr>
          <w:rFonts w:ascii="Arial" w:cs="Arial" w:eastAsia="Arial" w:hAnsi="Arial"/>
          <w:b/>
          <w:bCs/>
          <w:color w:val="1F3864"/>
          <w:sz w:val="32"/>
          <w:szCs w:val="32"/>
        </w:rPr>
        <w:t xml:space="preserve">1. Introduction</w:t>
      </w:r>
    </w:p>
    <w:p>
      <w:pPr>
        <w:spacing w:before="80" w:after="80"/>
      </w:pPr>
      <w:r>
        <w:rPr>
          <w:rFonts w:ascii="Arial" w:cs="Arial" w:eastAsia="Arial" w:hAnsi="Arial"/>
          <w:sz w:val="22"/>
          <w:szCs w:val="22"/>
        </w:rPr>
        <w:t xml:space="preserve">Ce document présente l'ensemble des décisions de preprocessing prises sur le dataset tabulaire du projet Child Mind Institute. Pour chaque variable, la décision (suppression ou fusion) est accompagnée d'une justification méthodologique permettant de reproduire et défendre ces choix dans un contexte académique.</w:t>
      </w:r>
    </w:p>
    <w:p>
      <w:pPr>
        <w:spacing w:before="80" w:after="80"/>
      </w:pPr>
      <w:r>
        <w:rPr>
          <w:rFonts w:ascii="Arial" w:cs="Arial" w:eastAsia="Arial" w:hAnsi="Arial"/>
          <w:sz w:val="22"/>
          <w:szCs w:val="22"/>
        </w:rPr>
        <w:t xml:space="preserve">La variable cible est le Severity Impairment Index (sii), dérivé du score total du questionnaire PCIAT (Parent-Child Internet Addiction Test). Les features utilisées proviennent exclusivement des mesures d'activité physique et de condition physique des participants.</w:t>
      </w:r>
    </w:p>
    <w:p>
      <w:pPr>
        <w:spacing w:before="60" w:after="60"/>
      </w:pPr>
      <w:r>
        <w:t xml:space="preserve"/>
      </w:r>
    </w:p>
    <w:p>
      <w:pPr>
        <w:pStyle w:val="Heading1"/>
        <w:spacing w:before="360" w:after="160"/>
      </w:pPr>
      <w:r>
        <w:rPr>
          <w:rFonts w:ascii="Arial" w:cs="Arial" w:eastAsia="Arial" w:hAnsi="Arial"/>
          <w:b/>
          <w:bCs/>
          <w:color w:val="1F3864"/>
          <w:sz w:val="32"/>
          <w:szCs w:val="32"/>
        </w:rPr>
        <w:t xml:space="preserve">2. Variables à supprimer – Data Leakage</w:t>
      </w:r>
    </w:p>
    <w:p>
      <w:pPr>
        <w:spacing w:before="80" w:after="80"/>
      </w:pPr>
      <w:r>
        <w:rPr>
          <w:rFonts w:ascii="Arial" w:cs="Arial" w:eastAsia="Arial" w:hAnsi="Arial"/>
          <w:sz w:val="22"/>
          <w:szCs w:val="22"/>
        </w:rPr>
        <w:t xml:space="preserve">Les variables suivantes définissent directement la cible et doivent être exclues de toutes les features avant modélisation et imputation.</w:t>
      </w:r>
    </w:p>
    <w:p>
      <w:pPr>
        <w:spacing w:before="60" w:after="60"/>
      </w:pPr>
      <w:r>
        <w:t xml:space="preserve"/>
      </w:r>
    </w:p>
    <w:p>
      <w:pPr>
        <w:pStyle w:val="Heading2"/>
        <w:spacing w:before="280" w:after="120"/>
      </w:pPr>
      <w:r>
        <w:rPr>
          <w:rFonts w:ascii="Arial" w:cs="Arial" w:eastAsia="Arial" w:hAnsi="Arial"/>
          <w:b/>
          <w:bCs/>
          <w:color w:val="2E5FA3"/>
          <w:sz w:val="26"/>
          <w:szCs w:val="26"/>
        </w:rPr>
        <w:t xml:space="preserve">2.1 Les 20 items PCIAT et le score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100"/>
        <w:gridCol w:w="3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PCIAT-PCIAT_01 à _20</w:t>
            </w:r>
          </w:p>
        </w:tc>
        <w:tc>
          <w:tcPr>
            <w:tcW w:type="dxa" w:w="3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20 questions du questionnaire Parent-Child Internet Addiction Test</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SUPPRIMER</w:t>
            </w:r>
          </w:p>
        </w:tc>
        <w:tc>
          <w:tcPr>
            <w:tcW w:type="dxa" w:w="30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Ces items constituent le calcul direct de PCIAT_Total, qui génère lui-même le sii. Les inclure comme features revient à fournir au modèle la réponse au problème.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PCIAT-PCIAT_Total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Somme des 20 items PCIAT (0–100)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SUPPRIMER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PCIAT_Total est la source directe du sii (0-30=None, 31-49=Mild, 50-79=Moderate, 80-100=Severe). C'est un leakage parfait.</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PCIAT-Season</w:t>
            </w:r>
          </w:p>
        </w:tc>
        <w:tc>
          <w:tcPr>
            <w:tcW w:type="dxa" w:w="3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Saison de passation du PCIAT</w:t>
            </w:r>
          </w:p>
        </w:tc>
        <w:tc>
          <w:tcPr>
            <w:tcW w:type="dxa" w:w="11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SUPPRIMER</w:t>
            </w:r>
          </w:p>
        </w:tc>
        <w:tc>
          <w:tcPr>
            <w:tcW w:type="dxa" w:w="30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Redondant avec la variable Season consolidée issue de Basic_Demos-Enroll_Season.</w:t>
            </w:r>
          </w:p>
        </w:tc>
      </w:tr>
    </w:tbl>
    <w:p>
      <w:pPr>
        <w:spacing w:before="60" w:after="60"/>
      </w:pPr>
      <w:r>
        <w:t xml:space="preserve"/>
      </w:r>
    </w:p>
    <w:p>
      <w:pPr>
        <w:spacing w:before="60" w:after="60"/>
      </w:pPr>
      <w:r>
        <w:rPr>
          <w:rFonts w:ascii="Arial" w:cs="Arial" w:eastAsia="Arial" w:hAnsi="Arial"/>
          <w:i/>
          <w:iCs/>
          <w:color w:val="555555"/>
          <w:sz w:val="20"/>
          <w:szCs w:val="20"/>
        </w:rPr>
        <w:t xml:space="preserve">Note : avant suppression, PCIAT_Total doit être utilisé pour reconstruire sii sur les lignes où il est manquant, puis pour dériver sii si la colonne n'existe pas encore dans le dataset.</w:t>
      </w:r>
    </w:p>
    <w:p>
      <w:pPr>
        <w:spacing w:before="60" w:after="60"/>
      </w:pPr>
      <w:r>
        <w:t xml:space="preserve"/>
      </w:r>
    </w:p>
    <w:p>
      <w:pPr>
        <w:pStyle w:val="Heading1"/>
        <w:spacing w:before="360" w:after="160"/>
      </w:pPr>
      <w:r>
        <w:rPr>
          <w:rFonts w:ascii="Arial" w:cs="Arial" w:eastAsia="Arial" w:hAnsi="Arial"/>
          <w:b/>
          <w:bCs/>
          <w:color w:val="1F3864"/>
          <w:sz w:val="32"/>
          <w:szCs w:val="32"/>
        </w:rPr>
        <w:t xml:space="preserve">3. Variables à supprimer – Redondances</w:t>
      </w:r>
    </w:p>
    <w:p>
      <w:pPr>
        <w:pStyle w:val="Heading2"/>
        <w:spacing w:before="280" w:after="120"/>
      </w:pPr>
      <w:r>
        <w:rPr>
          <w:rFonts w:ascii="Arial" w:cs="Arial" w:eastAsia="Arial" w:hAnsi="Arial"/>
          <w:b/>
          <w:bCs/>
          <w:color w:val="2E5FA3"/>
          <w:sz w:val="26"/>
          <w:szCs w:val="26"/>
        </w:rPr>
        <w:t xml:space="preserve">3.1 Variables Season (11 colonnes)</w:t>
      </w:r>
    </w:p>
    <w:p>
      <w:pPr>
        <w:spacing w:before="80" w:after="80"/>
      </w:pPr>
      <w:r>
        <w:rPr>
          <w:rFonts w:ascii="Arial" w:cs="Arial" w:eastAsia="Arial" w:hAnsi="Arial"/>
          <w:sz w:val="22"/>
          <w:szCs w:val="22"/>
        </w:rPr>
        <w:t xml:space="preserve">Chaque instrument de mesure dispose de sa propre colonne de saison. Ces 11 colonnes mesurent toutes la même notion contextuelle pour le même individu.</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Colonnes supprimées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Colonne conservée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CGAS-Season, Physical-Season, Fitness_Endurance-Season, FGC-Season, BIA-Season, PAQ_A-Season, PAQ_C-Season, PCIAT-Season, SDS-Season, PreInt_EduHx-Season</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Basic_Demos-Enroll_Season → encodée en Season (1-4)</w:t>
            </w:r>
          </w:p>
        </w:tc>
        <w:tc>
          <w:tcPr>
            <w:tcW w:type="dxa" w:w="3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La saison d'enrollment représente le contexte temporel au moment de l'inclusion dans l'étude. C'est le seul moment commun à tous les participants, garantissant une comparabilité inter-individuelle et évitant toute agrégation arbitraire.</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3.2 Mesures anthropométriques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supprimée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conservée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Physical-BMI</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BIA-BIA_BMI</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Doublon exact</w:t>
            </w:r>
          </w:p>
        </w:tc>
        <w:tc>
          <w:tcPr>
            <w:tcW w:type="dxa" w:w="3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Le BMI de la section Physical est une mesure indirecte (hauteur/poids), tandis que BIA-BIA_BMI est calculé par analyse de bioimpédance électrique, plus précise.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Physical-Height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BIA-BIA_BMI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Encodé dans BMI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taille est déjà intégrée dans le calcul du BMI (kg/m²). La conserver créerait une redondance partielle et augmenterait la multicolinéarité.</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Physical-Weight</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BIA-BIA_BMI</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Encodé dans BMI</w:t>
            </w:r>
          </w:p>
        </w:tc>
        <w:tc>
          <w:tcPr>
            <w:tcW w:type="dxa" w:w="3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Le poids est déjà intégré dans le calcul du BMI. Même raisonnement que Physical-Height.</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3.3 Composition corporelle BIA – 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supprimée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conservée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 mathématique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BIA-BIA_ECW (Eau extracellulaire)</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BIA-BIA_TBW</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TBW = ECW + ICW</w:t>
            </w:r>
          </w:p>
        </w:tc>
        <w:tc>
          <w:tcPr>
            <w:tcW w:type="dxa" w:w="2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L'eau corporelle totale est la somme de l'eau extracellulaire et intracellulaire. Garder les trois colonnes introduit une dépendance linéaire parfaite.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BIA-BIA_ICW (Eau intracellulaire)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BIA-BIA_TBW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TBW = ECW + ICW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Même raisonnement. TBW résume l'information des deux composantes.</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3.4 Composition corporelle BIA – Masse maigre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supprimée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conservée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BIA-BIA_FFM (Fat Free Mass)</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BIA-BIA_SMM + BIA-BIA_FFMI</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FFM ≈ SMM + masse osseuse + eau</w:t>
            </w:r>
          </w:p>
        </w:tc>
        <w:tc>
          <w:tcPr>
            <w:tcW w:type="dxa" w:w="2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FFM est une agrégation de plusieurs compartiments. SMM (masse musculaire squelettique) est plus spécifique et cliniquement pertinent pour l'activité physique.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BIA-BIA_LST (Lean Soft Tissue)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BIA-BIA_SMM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LST ≈ SMM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LST et SMM mesurent essentiellement la même fraction tissulaire. SMM est plus standardisé dans la littérature pédiatrique.</w:t>
            </w:r>
          </w:p>
        </w:tc>
      </w:tr>
      <w:tr>
        <w:tc>
          <w:tcPr>
            <w:tcW w:type="dxa" w:w="2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BIA-BIA_LDM (Lean Dry Mass)</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BIA-BIA_SMM</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LDM ⊂ SMM</w:t>
            </w:r>
          </w:p>
        </w:tc>
        <w:tc>
          <w:tcPr>
            <w:tcW w:type="dxa" w:w="2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LDM est un sous-composant de la masse maigre, redondant avec SMM à l'échelle de l'analyse.</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3.5 Métabolisme énergétique 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supprimée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conservée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BIA-BIA_BMR (Basal Metabolic Rate)</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BIA-BIA_DEE</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DEE = BMR × facteur d'activité</w:t>
            </w:r>
          </w:p>
        </w:tc>
        <w:tc>
          <w:tcPr>
            <w:tcW w:type="dxa" w:w="2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La dépense énergétique journalière (DEE) intègre déjà le BMR en le multipliant par le niveau d'activité. Garder les deux introduit une multicolinéarité directe.</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3.6 Zones FitnessGram (variables catégorielles dérivées)</w:t>
      </w:r>
    </w:p>
    <w:p>
      <w:pPr>
        <w:spacing w:before="80" w:after="80"/>
      </w:pPr>
      <w:r>
        <w:rPr>
          <w:rFonts w:ascii="Arial" w:cs="Arial" w:eastAsia="Arial" w:hAnsi="Arial"/>
          <w:sz w:val="22"/>
          <w:szCs w:val="22"/>
        </w:rPr>
        <w:t xml:space="preserve">Les variables _Zone sont la catégorisation des scores bruts correspondants selon des seuils normatifs. Elles ne contiennent aucune information supplémentaire par rapport aux scores bruts, mais en réduisent la résolution.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Variables supprimées (_Zone)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Variables conservées (scores bruts)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FGC-FGC_CU_Zone</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FGC-FGC_CU (Curl-up total)</w:t>
            </w:r>
          </w:p>
        </w:tc>
        <w:tc>
          <w:tcPr>
            <w:tcW w:type="dxa" w:w="4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La zone est une discrétisation binaire du score brut (0=Needs Improvement, 1=Healthy). Le score brut contient plus d'information.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FGC-FGC_PU_Zone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FGC-FGC_PU (Push-up 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Même raisonnement.</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FGC-FGC_TL_Zone</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FGC-FGC_TL (Trunk lift total)</w:t>
            </w:r>
          </w:p>
        </w:tc>
        <w:tc>
          <w:tcPr>
            <w:tcW w:type="dxa" w:w="4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Même raisonnement.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FGC-FGC_SRL_Zone, FGC-FGC_SRR_Zone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FGC_SitReach_Avg (variable fusionnée)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Les zones gauche/droite sont supprimées avec leurs scores bruts, remplacés par la moyenne fusionnée.</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FGC-FGC_GSD_Zone, FGC-FGC_GSND_Zone</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FGC_Grip_Avg (variable fusionnée)</w:t>
            </w:r>
          </w:p>
        </w:tc>
        <w:tc>
          <w:tcPr>
            <w:tcW w:type="dxa" w:w="4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Les zones dominant/non-dominant sont supprimées avec leurs scores bruts, remplacés par la moyenne fusionnée.</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3.7 Scores SDS – doublon Raw/T-score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supprimée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conservée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SDS-SDS_Total_Raw</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SDS-SDS_Total_T</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T = standardisation de Raw</w:t>
            </w:r>
          </w:p>
        </w:tc>
        <w:tc>
          <w:tcPr>
            <w:tcW w:type="dxa" w:w="28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Le T-score est la version standardisée (moyenne=50, écart-type=10) du score brut. Il est directement comparable entre individus et groupes d'âge, contrairement au score brut.</w:t>
            </w:r>
          </w:p>
        </w:tc>
      </w:tr>
    </w:tbl>
    <w:p>
      <w:pPr>
        <w:spacing w:before="60" w:after="60"/>
      </w:pPr>
      <w:r>
        <w:t xml:space="preserve"/>
      </w:r>
    </w:p>
    <w:p>
      <w:pPr>
        <w:pStyle w:val="Heading1"/>
        <w:spacing w:before="360" w:after="160"/>
      </w:pPr>
      <w:r>
        <w:rPr>
          <w:rFonts w:ascii="Arial" w:cs="Arial" w:eastAsia="Arial" w:hAnsi="Arial"/>
          <w:b/>
          <w:bCs/>
          <w:color w:val="1F3864"/>
          <w:sz w:val="32"/>
          <w:szCs w:val="32"/>
        </w:rPr>
        <w:t xml:space="preserve">4. Variables à fusionner – Feature Engineering</w:t>
      </w:r>
    </w:p>
    <w:p>
      <w:pPr>
        <w:pStyle w:val="Heading2"/>
        <w:spacing w:before="280" w:after="120"/>
      </w:pPr>
      <w:r>
        <w:rPr>
          <w:rFonts w:ascii="Arial" w:cs="Arial" w:eastAsia="Arial" w:hAnsi="Arial"/>
          <w:b/>
          <w:bCs/>
          <w:color w:val="2E5FA3"/>
          <w:sz w:val="26"/>
          <w:szCs w:val="26"/>
        </w:rPr>
        <w:t xml:space="preserve">4.1 Sit &amp; Reach gauche + droite → FGC_SitReach_Avg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Variables originales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Nouvelle variable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FGC-FGC_SRL (gauche)
FGC-FGC_SRR (droite)</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FGC_SitReach_Avg</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mean(SRL, SRR)</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Les deux mesures évaluent la même capacité (souplesse des ischio-jambiers). Leur corrélation est typiquement &gt; 0.90. La moyenne capture l'information globale en réduisant le bruit de mesure lié à la latéralité.</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4.2 Grip Strength dominant + non-dominant → FGC_Grip_Avg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Variables originales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Nouvelle variable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FGC-FGC_GSD (dominant)
FGC-FGC_GSND (non-dominant)</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FGC_Grip_Avg</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mean(GSD, GSND)</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La force de préhension des deux mains est un indicateur de la force musculaire générale. La moyenne permet de synthétiser l'information bilatérale et de réduire la variance liée à la dominance manuelle.</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4.3 PAQ enfant + PAQ adolescent → PAQ_Total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Variables originales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Nouvelle variable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PAQ_A-PAQ_A_Total (adolescents)
PAQ_C-PAQ_C_Total (enfants)</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PAQ_Total</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coalesce(PAQ_A, PAQ_C)</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Les questionnaires PAQ-A et PAQ-C mesurent la même variable (score d'activité physique) mais sur des tranches d'âge différentes. Un même participant ne remplit jamais les deux. combine_first() prend la valeur disponible, créant une colonne unique sans perte d'information.</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4.4 Temps d'endurance (minutes + secondes) → Endurance_Total_Sec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Variables originales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Nouvelle variable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Fitness_Endurance-Time_Mins
Fitness_Endurance-Time_Sec</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Endurance_Total_Sec</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Mins × 60 + Sec</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Les deux colonnes encodent deux parties d'une même durée. Les convertir en secondes totales produit une variable continue cohérente, directement utilisable par les algorithmes de machine learning.</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4.5 Pression artérielle différentielle → Pulse_Pressure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Variables originales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Nouvelle variable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Physical-Systolic_BP
Physical-Diastolic_BP</w:t>
            </w:r>
          </w:p>
        </w:tc>
        <w:tc>
          <w:tcPr>
            <w:tcW w:type="dxa" w:w="2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Pulse_Pressure</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Systolic − Diastolic</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La pression différentielle (Pulse Pressure) est un indicateur cardiovasculaire reconnu, associé à la rigidité artérielle. Cette variable synthétique peut capturer une information non linéaire que les deux composantes séparées n'exprimeraient pas individuellement.</w:t>
            </w:r>
          </w:p>
        </w:tc>
      </w:tr>
    </w:tbl>
    <w:p>
      <w:pPr>
        <w:spacing w:before="60" w:after="60"/>
      </w:pPr>
      <w:r>
        <w:t xml:space="preserve"/>
      </w:r>
    </w:p>
    <w:p>
      <w:pPr>
        <w:pStyle w:val="Heading2"/>
        <w:spacing w:before="280" w:after="120"/>
      </w:pPr>
      <w:r>
        <w:rPr>
          <w:rFonts w:ascii="Arial" w:cs="Arial" w:eastAsia="Arial" w:hAnsi="Arial"/>
          <w:b/>
          <w:bCs/>
          <w:color w:val="2E5FA3"/>
          <w:sz w:val="26"/>
          <w:szCs w:val="26"/>
        </w:rPr>
        <w:t xml:space="preserve">4.6 Saison d'enrollment → Season (variable ordinale)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originale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Nouvelle variable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Encodage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Basic_Demos-Enroll_Season</w:t>
            </w:r>
          </w:p>
        </w:tc>
        <w:tc>
          <w:tcPr>
            <w:tcW w:type="dxa" w:w="1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Season</w:t>
            </w:r>
          </w:p>
        </w:tc>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Spring=1, Summer=2, Fall=3, Winter=4</w:t>
            </w:r>
          </w:p>
        </w:tc>
        <w:tc>
          <w:tcPr>
            <w:tcW w:type="dxa" w:w="30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Parmi les 11 variables Season disponibles, seule la saison d'enrollment a été retenue car elle représente le contexte temporel au moment de l'inclusion dans l'étude — le seul moment commun à tous les participants. L'encodage ordinal reflète la progression naturelle des saisons.</w:t>
            </w:r>
          </w:p>
        </w:tc>
      </w:tr>
    </w:tbl>
    <w:p>
      <w:pPr>
        <w:spacing w:before="60" w:after="60"/>
      </w:pPr>
      <w:r>
        <w:t xml:space="preserve"/>
      </w:r>
    </w:p>
    <w:p>
      <w:pPr>
        <w:pStyle w:val="Heading1"/>
        <w:spacing w:before="360" w:after="160"/>
      </w:pPr>
      <w:r>
        <w:rPr>
          <w:rFonts w:ascii="Arial" w:cs="Arial" w:eastAsia="Arial" w:hAnsi="Arial"/>
          <w:b/>
          <w:bCs/>
          <w:color w:val="1F3864"/>
          <w:sz w:val="32"/>
          <w:szCs w:val="32"/>
        </w:rPr>
        <w:t xml:space="preserve">5. Récapitulatif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Nombre de colonnes concernées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Data leakage (PCIAT items + Total)</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21</w:t>
            </w:r>
          </w:p>
        </w:tc>
        <w:tc>
          <w:tcPr>
            <w:tcW w:type="dxa" w:w="3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Supprimées après reconstruction de sii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Variables Season redondantes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Remplacées par 1 seule colonne Season encodée</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Redondances anthropométriques</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3</w:t>
            </w:r>
          </w:p>
        </w:tc>
        <w:tc>
          <w:tcPr>
            <w:tcW w:type="dxa" w:w="3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Supprimées (Height, Weight, Physical-BMI)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Redondances eau corporelle BIA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Supprimées (ECW, ICW) – TBW conservé</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Redondances masse maigre BIA</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3</w:t>
            </w:r>
          </w:p>
        </w:tc>
        <w:tc>
          <w:tcPr>
            <w:tcW w:type="dxa" w:w="3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Supprimées (FFM, LST, LDM) – SMM + FFMI conservés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Redondance énergie BIA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BMR supprimé – DEE conservé</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Zones FGC (catégorisations)</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7</w:t>
            </w:r>
          </w:p>
        </w:tc>
        <w:tc>
          <w:tcPr>
            <w:tcW w:type="dxa" w:w="3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Supprimées – scores bruts conservés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Doublon SDS Raw/T-score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 supprimé – T-score conservé</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Fusions créées</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5 nouvelles variables</w:t>
            </w:r>
          </w:p>
        </w:tc>
        <w:tc>
          <w:tcPr>
            <w:tcW w:type="dxa" w:w="3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SitReach_Avg, Grip_Avg, PAQ_Total, Endurance_Sec, Pulse_Pressure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Identifiant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 supprimé avant imputation</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Cible</w:t>
            </w:r>
          </w:p>
        </w:tc>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1</w:t>
            </w:r>
          </w:p>
        </w:tc>
        <w:tc>
          <w:tcPr>
            <w:tcW w:type="dxa" w:w="3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19"/>
                <w:szCs w:val="19"/>
              </w:rPr>
              <w:t xml:space="preserve">sii mis de côté avant imputation, remis après</w:t>
            </w:r>
          </w:p>
        </w:tc>
      </w:tr>
    </w:tbl>
    <w:p>
      <w:pPr>
        <w:spacing w:before="60" w:after="60"/>
      </w:pPr>
      <w:r>
        <w:t xml:space="preserve"/>
      </w:r>
    </w:p>
    <w:p>
      <w:pPr>
        <w:spacing w:before="60" w:after="60"/>
      </w:pPr>
      <w:r>
        <w:rPr>
          <w:rFonts w:ascii="Arial" w:cs="Arial" w:eastAsia="Arial" w:hAnsi="Arial"/>
          <w:i/>
          <w:iCs/>
          <w:color w:val="555555"/>
          <w:sz w:val="20"/>
          <w:szCs w:val="20"/>
        </w:rPr>
        <w:t xml:space="preserve">Après ces opérations, le dataset X soumis à l'imputation (KNNImputer ou MissForest) contient uniquement les features pertinentes, sans leakage, sans redondance majeure, et sans la cible sii.</w:t>
      </w:r>
    </w:p>
    <w:p>
      <w:pPr>
        <w:spacing w:before="60" w:after="6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120"/>
    </w:pPr>
    <w:r>
      <w:rPr>
        <w:rFonts w:ascii="Arial" w:cs="Arial" w:eastAsia="Arial" w:hAnsi="Arial"/>
        <w:color w:val="2E5FA3"/>
        <w:sz w:val="18"/>
        <w:szCs w:val="18"/>
      </w:rPr>
      <w:t xml:space="preserve">Child Mind Institute – Problematic Internet Use</w:t>
    </w:r>
    <w:r>
      <w:rPr>
        <w:rFonts w:ascii="Arial" w:cs="Arial" w:eastAsia="Arial" w:hAnsi="Arial"/>
        <w:i/>
        <w:iCs/>
        <w:color w:val="888888"/>
        <w:sz w:val="18"/>
        <w:szCs w:val="18"/>
      </w:rPr>
      <w:t xml:space="preserve">  |  Report sur les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2026-03-31T19:23:13.998Z</dcterms:created>
  <dcterms:modified xsi:type="dcterms:W3CDTF">2026-03-31T19:23:13.999Z</dcterms:modified>
</cp:coreProperties>
</file>

<file path=docProps/custom.xml><?xml version="1.0" encoding="utf-8"?>
<Properties xmlns="http://schemas.openxmlformats.org/officeDocument/2006/custom-properties" xmlns:vt="http://schemas.openxmlformats.org/officeDocument/2006/docPropsVTypes"/>
</file>