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FF7" w14:textId="57BADF4C" w:rsidR="000A0ECB" w:rsidRPr="00424B51" w:rsidRDefault="00705420" w:rsidP="00705420">
      <w:pPr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t xml:space="preserve">QF600 - </w:t>
      </w:r>
      <w:r w:rsidR="000A0ECB" w:rsidRPr="00424B51">
        <w:rPr>
          <w:rFonts w:ascii="Times New Roman" w:hAnsi="Times New Roman" w:cs="Times New Roman"/>
          <w:sz w:val="20"/>
          <w:szCs w:val="20"/>
        </w:rPr>
        <w:t>Assignment 1</w:t>
      </w:r>
    </w:p>
    <w:p w14:paraId="0D4EDA19" w14:textId="03FF420A" w:rsidR="00705420" w:rsidRPr="00424B51" w:rsidRDefault="000A0ECB" w:rsidP="00705420">
      <w:pPr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24B51">
        <w:rPr>
          <w:rFonts w:ascii="Times New Roman" w:hAnsi="Times New Roman" w:cs="Times New Roman"/>
          <w:sz w:val="20"/>
          <w:szCs w:val="20"/>
        </w:rPr>
        <w:t>Taruna</w:t>
      </w:r>
      <w:proofErr w:type="spellEnd"/>
      <w:r w:rsidRPr="00424B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4B51">
        <w:rPr>
          <w:rFonts w:ascii="Times New Roman" w:hAnsi="Times New Roman" w:cs="Times New Roman"/>
          <w:sz w:val="20"/>
          <w:szCs w:val="20"/>
        </w:rPr>
        <w:t>Adhika</w:t>
      </w:r>
      <w:proofErr w:type="spellEnd"/>
      <w:r w:rsidRPr="00424B51">
        <w:rPr>
          <w:rFonts w:ascii="Times New Roman" w:hAnsi="Times New Roman" w:cs="Times New Roman"/>
          <w:sz w:val="20"/>
          <w:szCs w:val="20"/>
        </w:rPr>
        <w:t xml:space="preserve"> 01474863</w:t>
      </w:r>
    </w:p>
    <w:p w14:paraId="591942D7" w14:textId="299E548D" w:rsidR="00705420" w:rsidRPr="00424B51" w:rsidRDefault="00705420" w:rsidP="0070542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705420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Create a table showing the mean return and standard deviation of return for the ten industry portfolios.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Industry_Portfolios.xlsx contains monthly nominal (net) returns for ten industry portfolios (expressed as percentages, but without "%"), over the ten-year period from Jan 2004 through Dec 2013.</w:t>
      </w:r>
    </w:p>
    <w:p w14:paraId="41EAB048" w14:textId="05E3442E" w:rsidR="00705420" w:rsidRPr="00424B51" w:rsidRDefault="00705420" w:rsidP="0040422D">
      <w:pPr>
        <w:widowControl/>
        <w:spacing w:before="100" w:beforeAutospacing="1" w:after="100" w:afterAutospacing="1"/>
        <w:ind w:left="360"/>
        <w:jc w:val="center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358612" wp14:editId="48653655">
            <wp:extent cx="1562180" cy="223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545A" w14:textId="0665FD8D" w:rsidR="00553E99" w:rsidRPr="00705420" w:rsidRDefault="00553E99" w:rsidP="0040422D">
      <w:pPr>
        <w:widowControl/>
        <w:spacing w:before="100" w:beforeAutospacing="1" w:after="100" w:afterAutospacing="1"/>
        <w:ind w:left="360"/>
        <w:jc w:val="center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eastAsia="MS PGothic" w:hAnsi="Times New Roman" w:cs="Times New Roman" w:hint="eastAsia"/>
          <w:color w:val="202122"/>
          <w:spacing w:val="3"/>
          <w:kern w:val="0"/>
          <w:sz w:val="20"/>
          <w:szCs w:val="20"/>
        </w:rPr>
        <w:t>T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able </w:t>
      </w:r>
      <w:proofErr w:type="gramStart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1 :</w:t>
      </w:r>
      <w:proofErr w:type="gramEnd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Mean and Standard Deviation of each industry portfolios</w:t>
      </w:r>
    </w:p>
    <w:p w14:paraId="3A33FB15" w14:textId="4AF0FA4F" w:rsidR="006B1974" w:rsidRPr="00424B51" w:rsidRDefault="00705420" w:rsidP="000B61C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t>Plot the minimum-variance frontier (without the riskless asset) generated by the ten industry portfolios.</w:t>
      </w:r>
      <w:r w:rsidR="00E1702E" w:rsidRPr="00424B51">
        <w:rPr>
          <w:rFonts w:ascii="Times New Roman" w:hAnsi="Times New Roman" w:cs="Times New Roman"/>
          <w:sz w:val="20"/>
          <w:szCs w:val="20"/>
        </w:rPr>
        <w:t xml:space="preserve"> </w:t>
      </w:r>
      <w:r w:rsidR="000566EA" w:rsidRPr="00424B51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DE6AF58" wp14:editId="166D0E15">
            <wp:extent cx="5731510" cy="4011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92E" w14:textId="59FF823B" w:rsidR="00705420" w:rsidRPr="00424B51" w:rsidRDefault="00705420" w:rsidP="0070542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lastRenderedPageBreak/>
        <w:t>Briefly explain the economic significance and relevance of the minimum-variance frontier to an investor.</w:t>
      </w:r>
    </w:p>
    <w:p w14:paraId="1782067A" w14:textId="77777777" w:rsidR="0040422D" w:rsidRPr="00424B51" w:rsidRDefault="0040422D" w:rsidP="0040422D">
      <w:pPr>
        <w:rPr>
          <w:rFonts w:ascii="Times New Roman" w:hAnsi="Times New Roman" w:cs="Times New Roman"/>
          <w:sz w:val="20"/>
          <w:szCs w:val="20"/>
        </w:rPr>
      </w:pPr>
    </w:p>
    <w:p w14:paraId="32777694" w14:textId="02F27FEC" w:rsidR="0040422D" w:rsidRPr="00424B51" w:rsidRDefault="006B1974" w:rsidP="0040422D">
      <w:pPr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t xml:space="preserve">For a given expected return, there exists a portfolio where the volatility (represented by the standard deviation) can be minimized. Plotting these minimized-volatility portfolios on the graph for varying levels of expected return, then connecting them together will result in the </w:t>
      </w:r>
      <w:r w:rsidRPr="00424B51">
        <w:rPr>
          <w:rFonts w:ascii="Times New Roman" w:hAnsi="Times New Roman" w:cs="Times New Roman"/>
          <w:b/>
          <w:bCs/>
          <w:sz w:val="20"/>
          <w:szCs w:val="20"/>
        </w:rPr>
        <w:t xml:space="preserve">minimum-variance frontier curve. </w:t>
      </w:r>
      <w:r w:rsidRPr="00424B51">
        <w:rPr>
          <w:rFonts w:ascii="Times New Roman" w:hAnsi="Times New Roman" w:cs="Times New Roman"/>
          <w:sz w:val="20"/>
          <w:szCs w:val="20"/>
        </w:rPr>
        <w:t xml:space="preserve">This curve is relevant to the risk-averse investor as the investor can choose to invest in a portfolio (point on the </w:t>
      </w:r>
      <w:r w:rsidR="00010510" w:rsidRPr="00424B51">
        <w:rPr>
          <w:rFonts w:ascii="Times New Roman" w:hAnsi="Times New Roman" w:cs="Times New Roman"/>
          <w:sz w:val="20"/>
          <w:szCs w:val="20"/>
        </w:rPr>
        <w:t>curve</w:t>
      </w:r>
      <w:r w:rsidRPr="00424B51">
        <w:rPr>
          <w:rFonts w:ascii="Times New Roman" w:hAnsi="Times New Roman" w:cs="Times New Roman"/>
          <w:sz w:val="20"/>
          <w:szCs w:val="20"/>
        </w:rPr>
        <w:t xml:space="preserve">) at their preferred volatility point knowing the volatility has been minimized for a certain expected return. </w:t>
      </w:r>
    </w:p>
    <w:p w14:paraId="71F6871A" w14:textId="2E7375D4" w:rsidR="00705420" w:rsidRPr="00424B51" w:rsidRDefault="006B1974" w:rsidP="0040422D">
      <w:pPr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br/>
      </w:r>
      <w:r w:rsidR="0040422D" w:rsidRPr="00424B51">
        <w:rPr>
          <w:rFonts w:ascii="Times New Roman" w:hAnsi="Times New Roman" w:cs="Times New Roman"/>
          <w:sz w:val="20"/>
          <w:szCs w:val="20"/>
        </w:rPr>
        <w:t>The global minimum variance portfolio is the point where the standard deviation is the lowest. At this point, the portfolio has the lowest amount of minimized risk (red x point)</w:t>
      </w:r>
    </w:p>
    <w:p w14:paraId="4A266E2B" w14:textId="77777777" w:rsidR="00424B51" w:rsidRPr="00424B51" w:rsidRDefault="00424B51" w:rsidP="0040422D">
      <w:pPr>
        <w:rPr>
          <w:rFonts w:ascii="Times New Roman" w:hAnsi="Times New Roman" w:cs="Times New Roman"/>
          <w:sz w:val="20"/>
          <w:szCs w:val="20"/>
        </w:rPr>
      </w:pPr>
    </w:p>
    <w:p w14:paraId="65CD4E18" w14:textId="77777777" w:rsidR="00D92950" w:rsidRDefault="00705420" w:rsidP="00FA7FA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92950">
        <w:rPr>
          <w:rFonts w:ascii="Times New Roman" w:hAnsi="Times New Roman" w:cs="Times New Roman"/>
          <w:sz w:val="20"/>
          <w:szCs w:val="20"/>
        </w:rPr>
        <w:t>Plot the efficient frontier (with the riskless asset, rf= 0.13%) on the same graph as the minimum-variance frontier generated by the ten industry portfolios.</w:t>
      </w:r>
    </w:p>
    <w:p w14:paraId="51EB3964" w14:textId="08E21F09" w:rsidR="00E1702E" w:rsidRPr="00D92950" w:rsidRDefault="00705420" w:rsidP="00D92950">
      <w:pPr>
        <w:pStyle w:val="ListParagraph"/>
        <w:ind w:leftChars="0" w:left="360"/>
        <w:rPr>
          <w:rFonts w:ascii="Times New Roman" w:hAnsi="Times New Roman" w:cs="Times New Roman"/>
          <w:sz w:val="20"/>
          <w:szCs w:val="20"/>
        </w:rPr>
      </w:pPr>
      <w:r w:rsidRPr="00D92950">
        <w:rPr>
          <w:rFonts w:ascii="Times New Roman" w:hAnsi="Times New Roman" w:cs="Times New Roman"/>
          <w:sz w:val="20"/>
          <w:szCs w:val="20"/>
        </w:rPr>
        <w:softHyphen/>
      </w:r>
      <w:r w:rsidR="000566EA" w:rsidRPr="00424B5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30F79A" wp14:editId="421FC9C6">
            <wp:extent cx="5731510" cy="4011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7D5D" w14:textId="03FA1BDA" w:rsidR="00360BC7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2D0B1D1D" w14:textId="1E68ADBD" w:rsidR="00360BC7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30DDFB16" w14:textId="4EF64326" w:rsidR="00360BC7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587ADF92" w14:textId="7CDFCAEA" w:rsidR="00360BC7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30785BE9" w14:textId="146AB883" w:rsidR="00360BC7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5D353C46" w14:textId="77777777" w:rsidR="00360BC7" w:rsidRPr="00424B51" w:rsidRDefault="00360BC7" w:rsidP="00705420">
      <w:pPr>
        <w:rPr>
          <w:rFonts w:ascii="Times New Roman" w:hAnsi="Times New Roman" w:cs="Times New Roman"/>
          <w:sz w:val="20"/>
          <w:szCs w:val="20"/>
        </w:rPr>
      </w:pPr>
    </w:p>
    <w:p w14:paraId="735AC2DD" w14:textId="61870C29" w:rsidR="00705420" w:rsidRPr="00424B51" w:rsidRDefault="00705420" w:rsidP="005038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705420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lastRenderedPageBreak/>
        <w:t>Briefly explain the economic significance and relevance of the efficient frontier to an investor.</w:t>
      </w:r>
    </w:p>
    <w:p w14:paraId="348AEA04" w14:textId="456D8288" w:rsidR="005745E0" w:rsidRPr="00424B51" w:rsidRDefault="005745E0" w:rsidP="005745E0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The upper half of the minimum-variance frontier curve relative to the global minimum variance portfolio point is known as the efficient frontier.</w:t>
      </w:r>
      <w:r w:rsidR="00301948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The shape of the efficient frontier depends on whether it includes a risk-free asset or not.</w:t>
      </w:r>
    </w:p>
    <w:p w14:paraId="55C3D3AD" w14:textId="5EC03B25" w:rsidR="00301948" w:rsidRPr="00424B51" w:rsidRDefault="008E5897" w:rsidP="005745E0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For a specific volatility value (</w:t>
      </w:r>
      <w:proofErr w:type="gramStart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i.e.</w:t>
      </w:r>
      <w:proofErr w:type="gramEnd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a specific standard deviation), a</w:t>
      </w:r>
      <w:r w:rsidR="005745E0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risk-averse investor should choose to invest in portfolios that lie on the efficient frontier because it gives the highest expected return 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c</w:t>
      </w:r>
      <w:r w:rsidR="005745E0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ompared to choosing the portfolio 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which has the same standard deviation </w:t>
      </w:r>
      <w:r w:rsidR="005745E0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that lies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</w:t>
      </w:r>
      <w:r w:rsidR="005745E0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on the lower half of the minimum-variance frontier curve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.</w:t>
      </w:r>
    </w:p>
    <w:p w14:paraId="022BF1A2" w14:textId="4893D13A" w:rsidR="00503805" w:rsidRPr="005409EB" w:rsidRDefault="00705420" w:rsidP="0050380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sz w:val="20"/>
          <w:szCs w:val="20"/>
        </w:rPr>
        <w:t>Calculate the Sharpe ratio for the tangency portfolio, and also the tangency portfolio weights for the ten industry portfolios.</w:t>
      </w:r>
    </w:p>
    <w:p w14:paraId="238A4065" w14:textId="3B8F4937" w:rsidR="00503805" w:rsidRPr="00424B51" w:rsidRDefault="00554DBC" w:rsidP="00554DBC">
      <w:pPr>
        <w:jc w:val="center"/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A2186E" wp14:editId="5B90143E">
            <wp:extent cx="1301817" cy="1130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B51">
        <w:rPr>
          <w:rFonts w:ascii="Times New Roman" w:hAnsi="Times New Roman" w:cs="Times New Roman"/>
          <w:sz w:val="20"/>
          <w:szCs w:val="20"/>
        </w:rPr>
        <w:tab/>
      </w:r>
      <w:r w:rsidR="00503805" w:rsidRPr="00424B5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3F8D28" wp14:editId="1516E89D">
            <wp:extent cx="1371670" cy="2305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1E4" w14:textId="0B5ACBA9" w:rsidR="00424B51" w:rsidRDefault="00553E99" w:rsidP="00360BC7">
      <w:pPr>
        <w:jc w:val="center"/>
        <w:rPr>
          <w:rFonts w:ascii="Times New Roman" w:hAnsi="Times New Roman" w:cs="Times New Roman"/>
          <w:sz w:val="20"/>
          <w:szCs w:val="20"/>
        </w:rPr>
      </w:pPr>
      <w:r w:rsidRPr="00424B51">
        <w:rPr>
          <w:rFonts w:ascii="Times New Roman" w:hAnsi="Times New Roman" w:cs="Times New Roman" w:hint="eastAsia"/>
          <w:sz w:val="20"/>
          <w:szCs w:val="20"/>
        </w:rPr>
        <w:t>T</w:t>
      </w:r>
      <w:r w:rsidRPr="00424B51">
        <w:rPr>
          <w:rFonts w:ascii="Times New Roman" w:hAnsi="Times New Roman" w:cs="Times New Roman"/>
          <w:sz w:val="20"/>
          <w:szCs w:val="20"/>
        </w:rPr>
        <w:t xml:space="preserve">able </w:t>
      </w:r>
      <w:proofErr w:type="gramStart"/>
      <w:r w:rsidRPr="00424B5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424B51">
        <w:rPr>
          <w:rFonts w:ascii="Times New Roman" w:hAnsi="Times New Roman" w:cs="Times New Roman"/>
          <w:sz w:val="20"/>
          <w:szCs w:val="20"/>
        </w:rPr>
        <w:t xml:space="preserve"> Sharpe ratio and weightage of the tangent portfolio</w:t>
      </w:r>
    </w:p>
    <w:p w14:paraId="3543CC51" w14:textId="05020291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291E90" w14:textId="79864264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ADEC7E" w14:textId="6156627B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0CF82D" w14:textId="6E99BAF9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A6E07D" w14:textId="0EFEE2F8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356097A" w14:textId="76B66ECD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C59460" w14:textId="69DA01E9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883C15" w14:textId="6475D5CE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983A7F" w14:textId="4608DAE0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C19AD1" w14:textId="0A5D1CCB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265B8F" w14:textId="27933F30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6EBDDCB" w14:textId="31A887EB" w:rsidR="005409EB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730DAD" w14:textId="77777777" w:rsidR="005409EB" w:rsidRPr="00424B51" w:rsidRDefault="005409EB" w:rsidP="00360B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D7D127F" w14:textId="69CE6DA4" w:rsidR="00705420" w:rsidRDefault="00705420" w:rsidP="00E37D0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705420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lastRenderedPageBreak/>
        <w:t>Briefly explain the economic significance and relevance of the tangency portfolio to an investor.</w:t>
      </w:r>
    </w:p>
    <w:p w14:paraId="2F512909" w14:textId="394FB17F" w:rsidR="005409EB" w:rsidRPr="00424B51" w:rsidRDefault="004C39EC" w:rsidP="005409EB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>
        <w:rPr>
          <w:rFonts w:ascii="Times New Roman" w:eastAsia="MS PGothic" w:hAnsi="Times New Roman" w:cs="Times New Roman"/>
          <w:noProof/>
          <w:color w:val="202122"/>
          <w:spacing w:val="3"/>
          <w:kern w:val="0"/>
          <w:sz w:val="20"/>
          <w:szCs w:val="20"/>
        </w:rPr>
        <w:drawing>
          <wp:inline distT="0" distB="0" distL="0" distR="0" wp14:anchorId="4159277C" wp14:editId="11761DE7">
            <wp:extent cx="5731510" cy="4011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D92" w14:textId="091FCCFF" w:rsidR="00E37D0E" w:rsidRPr="00424B51" w:rsidRDefault="00E37D0E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When the risk-free asset is included to the portfolio, the efficient frontier becomes a straight line which is tangent to the hyperbola curve at </w:t>
      </w:r>
      <w:r w:rsidRPr="00424B51">
        <w:rPr>
          <w:rFonts w:ascii="Times New Roman" w:eastAsia="MS PGothic" w:hAnsi="Times New Roman" w:cs="Times New Roman"/>
          <w:b/>
          <w:bCs/>
          <w:color w:val="202122"/>
          <w:spacing w:val="3"/>
          <w:kern w:val="0"/>
          <w:sz w:val="20"/>
          <w:szCs w:val="20"/>
        </w:rPr>
        <w:t>the tangent portfolio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. This line (also known as the Capital Market Line / </w:t>
      </w:r>
      <w:proofErr w:type="gramStart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CML )</w:t>
      </w:r>
      <w:proofErr w:type="gramEnd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intersects the Y-axis at the risk-free rate. This is to signify the inclusion of a risk-free asset (</w:t>
      </w:r>
      <w:proofErr w:type="gramStart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e.g.</w:t>
      </w:r>
      <w:proofErr w:type="gramEnd"/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bonds, deposits) with a certain risk-free rate return and 0 standard deviation (hence risk free).</w:t>
      </w:r>
      <w:r w:rsidR="00F62198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</w:t>
      </w:r>
    </w:p>
    <w:p w14:paraId="047AAE85" w14:textId="23C2A0B6" w:rsidR="002F314E" w:rsidRDefault="00E37D0E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424B51">
        <w:rPr>
          <w:rFonts w:ascii="Times New Roman" w:eastAsia="MS PGothic" w:hAnsi="Times New Roman" w:cs="Times New Roman" w:hint="eastAsia"/>
          <w:color w:val="202122"/>
          <w:spacing w:val="3"/>
          <w:kern w:val="0"/>
          <w:sz w:val="20"/>
          <w:szCs w:val="20"/>
        </w:rPr>
        <w:t>T</w:t>
      </w:r>
      <w:r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he tangency portfolio is relevant to the investor </w:t>
      </w:r>
      <w:r w:rsidR="002F314E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due as this is the portfolio w</w:t>
      </w:r>
      <w:r w:rsidR="00632883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here</w:t>
      </w:r>
      <w:r w:rsidR="002F314E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100% of the investor’s wealth allocated into </w:t>
      </w:r>
      <w:r w:rsidR="00632883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risky assets (</w:t>
      </w:r>
      <w:proofErr w:type="gramStart"/>
      <w:r w:rsidR="00632883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i.e.</w:t>
      </w:r>
      <w:proofErr w:type="gramEnd"/>
      <w:r w:rsidR="00632883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a portfolio that is comprised of weighted risky assets) but still </w:t>
      </w:r>
      <w:r w:rsidR="002F314E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has the best return-risk ratio (also known as the Sharpe ratio). Assuming that risk-free rates apply to both lending and borrowing, portfolios on the CML line above and below the tangency portfolio already involves including some form of risk-free asset</w:t>
      </w:r>
      <w:r w:rsidR="00F62198" w:rsidRPr="00424B51"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 xml:space="preserve"> but still has the same Sharpe ratio.</w:t>
      </w:r>
    </w:p>
    <w:p w14:paraId="7C9C2CFF" w14:textId="0E772C66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</w:p>
    <w:p w14:paraId="0CEEFEFA" w14:textId="47B87FF5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</w:p>
    <w:p w14:paraId="0C11AA41" w14:textId="1CBD47B2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</w:p>
    <w:p w14:paraId="24744777" w14:textId="1BE664DE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</w:p>
    <w:p w14:paraId="70B85ACF" w14:textId="0883F51B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>
        <w:rPr>
          <w:rFonts w:ascii="Times New Roman" w:eastAsia="MS PGothic" w:hAnsi="Times New Roman" w:cs="Times New Roman" w:hint="eastAsia"/>
          <w:color w:val="202122"/>
          <w:spacing w:val="3"/>
          <w:kern w:val="0"/>
          <w:sz w:val="20"/>
          <w:szCs w:val="20"/>
        </w:rPr>
        <w:lastRenderedPageBreak/>
        <w:t>A</w:t>
      </w:r>
      <w:r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  <w:t>PPENDIX: Python Code</w:t>
      </w:r>
    </w:p>
    <w:p w14:paraId="495EC53B" w14:textId="53F33EA0" w:rsidR="006F120D" w:rsidRDefault="006F120D" w:rsidP="00E37D0E">
      <w:pPr>
        <w:widowControl/>
        <w:spacing w:before="100" w:beforeAutospacing="1" w:after="100" w:afterAutospacing="1"/>
        <w:rPr>
          <w:noProof/>
        </w:rPr>
      </w:pPr>
      <w:r w:rsidRPr="006F120D">
        <w:rPr>
          <w:rFonts w:ascii="Times New Roman" w:eastAsia="MS PGothic" w:hAnsi="Times New Roman" w:cs="Times New Roman"/>
          <w:noProof/>
          <w:color w:val="202122"/>
          <w:spacing w:val="3"/>
          <w:kern w:val="0"/>
          <w:sz w:val="20"/>
          <w:szCs w:val="20"/>
        </w:rPr>
        <w:drawing>
          <wp:inline distT="0" distB="0" distL="0" distR="0" wp14:anchorId="0ED033A4" wp14:editId="6459DE89">
            <wp:extent cx="5473981" cy="17209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0D">
        <w:rPr>
          <w:noProof/>
        </w:rPr>
        <w:t xml:space="preserve"> </w:t>
      </w:r>
      <w:r w:rsidRPr="006F120D">
        <w:rPr>
          <w:rFonts w:ascii="Times New Roman" w:eastAsia="MS PGothic" w:hAnsi="Times New Roman" w:cs="Times New Roman"/>
          <w:noProof/>
          <w:color w:val="202122"/>
          <w:spacing w:val="3"/>
          <w:kern w:val="0"/>
          <w:sz w:val="20"/>
          <w:szCs w:val="20"/>
        </w:rPr>
        <w:drawing>
          <wp:inline distT="0" distB="0" distL="0" distR="0" wp14:anchorId="71A17AAE" wp14:editId="5AEC5A3F">
            <wp:extent cx="5562886" cy="4026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0D">
        <w:rPr>
          <w:noProof/>
        </w:rPr>
        <w:t xml:space="preserve"> </w:t>
      </w:r>
      <w:r w:rsidRPr="006F120D">
        <w:rPr>
          <w:noProof/>
        </w:rPr>
        <w:drawing>
          <wp:inline distT="0" distB="0" distL="0" distR="0" wp14:anchorId="49E8E265" wp14:editId="064223B9">
            <wp:extent cx="5378726" cy="2140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5937" w14:textId="2FA6CF8D" w:rsidR="006F120D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  <w:r w:rsidRPr="006F120D">
        <w:rPr>
          <w:rFonts w:ascii="Times New Roman" w:eastAsia="MS PGothic" w:hAnsi="Times New Roman" w:cs="Times New Roman"/>
          <w:noProof/>
          <w:color w:val="202122"/>
          <w:spacing w:val="3"/>
          <w:kern w:val="0"/>
          <w:sz w:val="20"/>
          <w:szCs w:val="20"/>
        </w:rPr>
        <w:lastRenderedPageBreak/>
        <w:drawing>
          <wp:inline distT="0" distB="0" distL="0" distR="0" wp14:anchorId="00750EF1" wp14:editId="25CAED06">
            <wp:extent cx="5340624" cy="194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20D">
        <w:rPr>
          <w:noProof/>
        </w:rPr>
        <w:t xml:space="preserve"> </w:t>
      </w:r>
      <w:r w:rsidRPr="006F120D">
        <w:rPr>
          <w:rFonts w:ascii="Times New Roman" w:eastAsia="MS PGothic" w:hAnsi="Times New Roman" w:cs="Times New Roman"/>
          <w:noProof/>
          <w:color w:val="202122"/>
          <w:spacing w:val="3"/>
          <w:kern w:val="0"/>
          <w:sz w:val="20"/>
          <w:szCs w:val="20"/>
        </w:rPr>
        <w:drawing>
          <wp:inline distT="0" distB="0" distL="0" distR="0" wp14:anchorId="669563B8" wp14:editId="0C1F810F">
            <wp:extent cx="5435879" cy="4045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04B8" w14:textId="77777777" w:rsidR="006F120D" w:rsidRPr="00424B51" w:rsidRDefault="006F120D" w:rsidP="00E37D0E">
      <w:pPr>
        <w:widowControl/>
        <w:spacing w:before="100" w:beforeAutospacing="1" w:after="100" w:afterAutospacing="1"/>
        <w:rPr>
          <w:rFonts w:ascii="Times New Roman" w:eastAsia="MS PGothic" w:hAnsi="Times New Roman" w:cs="Times New Roman"/>
          <w:color w:val="202122"/>
          <w:spacing w:val="3"/>
          <w:kern w:val="0"/>
          <w:sz w:val="20"/>
          <w:szCs w:val="20"/>
        </w:rPr>
      </w:pPr>
    </w:p>
    <w:sectPr w:rsidR="006F120D" w:rsidRPr="00424B5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2F7"/>
    <w:multiLevelType w:val="multilevel"/>
    <w:tmpl w:val="3A7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13549"/>
    <w:multiLevelType w:val="hybridMultilevel"/>
    <w:tmpl w:val="376CB226"/>
    <w:lvl w:ilvl="0" w:tplc="E0E8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ED44A8"/>
    <w:multiLevelType w:val="multilevel"/>
    <w:tmpl w:val="2AE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C6BCF"/>
    <w:multiLevelType w:val="multilevel"/>
    <w:tmpl w:val="51C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D3D5E"/>
    <w:multiLevelType w:val="multilevel"/>
    <w:tmpl w:val="F3B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CB"/>
    <w:rsid w:val="00010510"/>
    <w:rsid w:val="000566EA"/>
    <w:rsid w:val="000A0ECB"/>
    <w:rsid w:val="001B3B30"/>
    <w:rsid w:val="00237383"/>
    <w:rsid w:val="002F314E"/>
    <w:rsid w:val="00301948"/>
    <w:rsid w:val="00360BC7"/>
    <w:rsid w:val="00374F8C"/>
    <w:rsid w:val="0040422D"/>
    <w:rsid w:val="00424B51"/>
    <w:rsid w:val="004C39EC"/>
    <w:rsid w:val="00503805"/>
    <w:rsid w:val="005409EB"/>
    <w:rsid w:val="00553E99"/>
    <w:rsid w:val="00554DBC"/>
    <w:rsid w:val="005745E0"/>
    <w:rsid w:val="005B5E6D"/>
    <w:rsid w:val="005C6B08"/>
    <w:rsid w:val="00632883"/>
    <w:rsid w:val="006B1974"/>
    <w:rsid w:val="006F120D"/>
    <w:rsid w:val="00705420"/>
    <w:rsid w:val="008E5897"/>
    <w:rsid w:val="00D92950"/>
    <w:rsid w:val="00E1702E"/>
    <w:rsid w:val="00E37D0E"/>
    <w:rsid w:val="00E41674"/>
    <w:rsid w:val="00EA74FB"/>
    <w:rsid w:val="00F6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6963F9"/>
  <w15:chartTrackingRefBased/>
  <w15:docId w15:val="{D5026B7A-6BBE-4799-B849-E93ACE88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2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231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0709">
                          <w:marLeft w:val="450"/>
                          <w:marRight w:val="0"/>
                          <w:marTop w:val="353"/>
                          <w:marBottom w:val="3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1012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30776">
                                      <w:marLeft w:val="450"/>
                                      <w:marRight w:val="0"/>
                                      <w:marTop w:val="353"/>
                                      <w:marBottom w:val="35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368910">
                          <w:marLeft w:val="450"/>
                          <w:marRight w:val="0"/>
                          <w:marTop w:val="353"/>
                          <w:marBottom w:val="3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kilohp</dc:creator>
  <cp:keywords/>
  <dc:description/>
  <cp:lastModifiedBy>kilohp</cp:lastModifiedBy>
  <cp:revision>28</cp:revision>
  <cp:lastPrinted>2023-09-09T14:34:00Z</cp:lastPrinted>
  <dcterms:created xsi:type="dcterms:W3CDTF">2023-09-09T12:56:00Z</dcterms:created>
  <dcterms:modified xsi:type="dcterms:W3CDTF">2023-09-09T16:21:00Z</dcterms:modified>
</cp:coreProperties>
</file>