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BEB8B" w14:textId="6A430E01" w:rsidR="005402E6" w:rsidRPr="00EE2164" w:rsidRDefault="005402E6" w:rsidP="001B222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E2164">
        <w:rPr>
          <w:rFonts w:ascii="Times New Roman" w:hAnsi="Times New Roman" w:cs="Times New Roman"/>
          <w:b/>
          <w:bCs/>
          <w:sz w:val="28"/>
          <w:szCs w:val="28"/>
          <w:lang w:val="en-IN"/>
        </w:rPr>
        <w:t>Automated Detection and Enhancement of the SN 1987A Circumstellar Ring Using a JWST Computer Vision Pipeline</w:t>
      </w:r>
    </w:p>
    <w:p w14:paraId="2FC69B69" w14:textId="492CAB27" w:rsidR="001B2223" w:rsidRDefault="001B2223" w:rsidP="001B2223">
      <w:pPr>
        <w:jc w:val="center"/>
        <w:rPr>
          <w:rFonts w:ascii="Times New Roman" w:hAnsi="Times New Roman" w:cs="Times New Roman"/>
          <w:sz w:val="20"/>
          <w:szCs w:val="20"/>
          <w:lang w:val="en-IN"/>
        </w:rPr>
      </w:pPr>
      <w:r w:rsidRPr="001B2223">
        <w:rPr>
          <w:rFonts w:ascii="Times New Roman" w:hAnsi="Times New Roman" w:cs="Times New Roman"/>
          <w:sz w:val="20"/>
          <w:szCs w:val="20"/>
          <w:lang w:val="en-IN"/>
        </w:rPr>
        <w:t>R Shreyas</w:t>
      </w:r>
      <w:r w:rsidRPr="001B2223">
        <w:rPr>
          <w:rFonts w:ascii="Times New Roman" w:hAnsi="Times New Roman" w:cs="Times New Roman"/>
          <w:sz w:val="20"/>
          <w:szCs w:val="20"/>
          <w:vertAlign w:val="superscript"/>
          <w:lang w:val="en-IN"/>
        </w:rPr>
        <w:t>1</w:t>
      </w:r>
      <w:r w:rsidRPr="001B2223">
        <w:rPr>
          <w:rFonts w:ascii="Times New Roman" w:hAnsi="Times New Roman" w:cs="Times New Roman"/>
          <w:sz w:val="20"/>
          <w:szCs w:val="20"/>
          <w:lang w:val="en-IN"/>
        </w:rPr>
        <w:t>, Ayush Gouda</w:t>
      </w:r>
      <w:r w:rsidRPr="001B2223">
        <w:rPr>
          <w:rFonts w:ascii="Times New Roman" w:hAnsi="Times New Roman" w:cs="Times New Roman"/>
          <w:sz w:val="20"/>
          <w:szCs w:val="20"/>
          <w:vertAlign w:val="superscript"/>
          <w:lang w:val="en-IN"/>
        </w:rPr>
        <w:t>1</w:t>
      </w:r>
      <w:r w:rsidRPr="001B2223">
        <w:rPr>
          <w:rFonts w:ascii="Times New Roman" w:hAnsi="Times New Roman" w:cs="Times New Roman"/>
          <w:sz w:val="20"/>
          <w:szCs w:val="20"/>
          <w:lang w:val="en-IN"/>
        </w:rPr>
        <w:t>, Deepak N</w:t>
      </w:r>
      <w:r w:rsidRPr="001B2223">
        <w:rPr>
          <w:rFonts w:ascii="Times New Roman" w:hAnsi="Times New Roman" w:cs="Times New Roman"/>
          <w:sz w:val="20"/>
          <w:szCs w:val="20"/>
          <w:vertAlign w:val="superscript"/>
          <w:lang w:val="en-IN"/>
        </w:rPr>
        <w:t>2</w:t>
      </w:r>
    </w:p>
    <w:p w14:paraId="2CF0854B" w14:textId="24305EBE" w:rsidR="001B2223" w:rsidRPr="001B2223" w:rsidRDefault="001B2223" w:rsidP="001B2223">
      <w:pPr>
        <w:jc w:val="center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sz w:val="20"/>
          <w:szCs w:val="20"/>
          <w:lang w:val="en-IN"/>
        </w:rPr>
        <w:t>Department of Computer Science Engineering – RV Institute of Technology and Management - Bengaluru, KA</w:t>
      </w:r>
    </w:p>
    <w:p w14:paraId="6B015522" w14:textId="5716BC37" w:rsidR="005402E6" w:rsidRDefault="005402E6" w:rsidP="001B2223">
      <w:pPr>
        <w:jc w:val="both"/>
        <w:rPr>
          <w:b/>
          <w:bCs/>
          <w:lang w:val="en-IN"/>
        </w:rPr>
      </w:pPr>
    </w:p>
    <w:p w14:paraId="6E22C640" w14:textId="77777777" w:rsidR="005402E6" w:rsidRDefault="005402E6" w:rsidP="001B2223">
      <w:pPr>
        <w:jc w:val="both"/>
        <w:rPr>
          <w:b/>
          <w:bCs/>
          <w:lang w:val="en-IN"/>
        </w:rPr>
        <w:sectPr w:rsidR="005402E6" w:rsidSect="005402E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4371BF87" w14:textId="6BCFB571" w:rsidR="002F074B" w:rsidRPr="00EE2164" w:rsidRDefault="002F074B" w:rsidP="001B222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b/>
          <w:bCs/>
          <w:sz w:val="24"/>
          <w:szCs w:val="24"/>
          <w:lang w:val="en-IN"/>
        </w:rPr>
        <w:t>Abstract</w:t>
      </w:r>
    </w:p>
    <w:p w14:paraId="7DCD84B1" w14:textId="34ED3B9B" w:rsidR="002F074B" w:rsidRPr="00EE2164" w:rsidRDefault="002F074B" w:rsidP="001B222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This paper presents a robust computer vision (CV) pipeline designed to process raw James Webb Space Telescope (JWST) data of Supernova 1987A (SN 1987A). By integrating frequency-domain filtering with multi-scale image fusion, we successfully registered and enhanced data from both the Near-Infrared Camera (NIRCam) and the Mid-Infrared Instrument (MIRI). Our pipeline addresses critical astronomical processing challenges, including 1/f detector noise and high dynamic range, to isolate the circumstellar ring’s spectral signature. We demonstrate a 39x Signal-to-Noise Ratio (SNR) improvement in MIRI data, enabling precise structural analysis of the remnant’s cold dust. </w:t>
      </w:r>
    </w:p>
    <w:p w14:paraId="506874A8" w14:textId="776F7F75" w:rsidR="002F074B" w:rsidRPr="00EE2164" w:rsidRDefault="00EE2164" w:rsidP="001B222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61312" behindDoc="0" locked="0" layoutInCell="1" allowOverlap="1" wp14:anchorId="34F83CDC" wp14:editId="7858AEC0">
            <wp:simplePos x="0" y="0"/>
            <wp:positionH relativeFrom="column">
              <wp:posOffset>2929255</wp:posOffset>
            </wp:positionH>
            <wp:positionV relativeFrom="paragraph">
              <wp:posOffset>234364</wp:posOffset>
            </wp:positionV>
            <wp:extent cx="3449955" cy="1856740"/>
            <wp:effectExtent l="0" t="0" r="0" b="0"/>
            <wp:wrapTopAndBottom/>
            <wp:docPr id="98984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4814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955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074B" w:rsidRPr="00EE2164">
        <w:rPr>
          <w:rFonts w:ascii="Times New Roman" w:hAnsi="Times New Roman" w:cs="Times New Roman"/>
          <w:b/>
          <w:bCs/>
          <w:sz w:val="24"/>
          <w:szCs w:val="24"/>
          <w:lang w:val="en-IN"/>
        </w:rPr>
        <w:t>1. Introduction</w:t>
      </w:r>
    </w:p>
    <w:p w14:paraId="7B36DF50" w14:textId="6287C85F" w:rsidR="00E96C96" w:rsidRPr="00EE2164" w:rsidRDefault="00E96C96" w:rsidP="001B222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59264" behindDoc="0" locked="0" layoutInCell="1" allowOverlap="1" wp14:anchorId="201991E0" wp14:editId="19424878">
            <wp:simplePos x="0" y="0"/>
            <wp:positionH relativeFrom="column">
              <wp:posOffset>-70485</wp:posOffset>
            </wp:positionH>
            <wp:positionV relativeFrom="paragraph">
              <wp:posOffset>2180639</wp:posOffset>
            </wp:positionV>
            <wp:extent cx="2693035" cy="1370965"/>
            <wp:effectExtent l="0" t="0" r="0" b="635"/>
            <wp:wrapTopAndBottom/>
            <wp:docPr id="1659253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035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074B" w:rsidRPr="00EE2164">
        <w:rPr>
          <w:rFonts w:ascii="Times New Roman" w:hAnsi="Times New Roman" w:cs="Times New Roman"/>
          <w:sz w:val="24"/>
          <w:szCs w:val="24"/>
          <w:lang w:val="en-IN"/>
        </w:rPr>
        <w:t>Supernova 1987A remains a cornerstone of modern astrophysics, providing a "fossil record" of stellar evolution 168,000 light-years away. The expanding circumstellar ring</w:t>
      </w:r>
      <w:r w:rsidR="00BB0571" w:rsidRPr="00EE2164">
        <w:rPr>
          <w:rFonts w:ascii="Times New Roman" w:hAnsi="Times New Roman" w:cs="Times New Roman"/>
          <w:sz w:val="24"/>
          <w:szCs w:val="24"/>
          <w:lang w:val="en-IN"/>
        </w:rPr>
        <w:t>, i.e</w:t>
      </w:r>
      <w:r w:rsidR="00912B28">
        <w:rPr>
          <w:rFonts w:ascii="Times New Roman" w:hAnsi="Times New Roman" w:cs="Times New Roman"/>
          <w:sz w:val="24"/>
          <w:szCs w:val="24"/>
          <w:lang w:val="en-IN"/>
        </w:rPr>
        <w:t>.</w:t>
      </w:r>
      <w:r w:rsidR="00BB0571"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2F074B" w:rsidRPr="00EE2164">
        <w:rPr>
          <w:rFonts w:ascii="Times New Roman" w:hAnsi="Times New Roman" w:cs="Times New Roman"/>
          <w:sz w:val="24"/>
          <w:szCs w:val="24"/>
          <w:lang w:val="en-IN"/>
        </w:rPr>
        <w:t>material ejected by the progenitor star</w:t>
      </w:r>
      <w:r w:rsidR="00BB0571"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="002F074B"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is currently interacting with the supernova shockwave. However, raw JWST data presents significant hurdles: high dynamic range hides subtle structures, and detector-induced horizontal 1/f banding obscures the signal. Advanced computer vision </w:t>
      </w:r>
      <w:r w:rsidR="002F074B"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techniques are required to move beyond simple "smudge" detection and resolve these structures. </w:t>
      </w:r>
    </w:p>
    <w:p w14:paraId="6C1B958E" w14:textId="77777777" w:rsidR="002F074B" w:rsidRPr="00EE2164" w:rsidRDefault="002F074B" w:rsidP="001B222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b/>
          <w:bCs/>
          <w:sz w:val="24"/>
          <w:szCs w:val="24"/>
          <w:lang w:val="en-IN"/>
        </w:rPr>
        <w:t>2. Data Acquisition and Preprocessing</w:t>
      </w:r>
    </w:p>
    <w:p w14:paraId="79456231" w14:textId="77777777" w:rsidR="002F074B" w:rsidRPr="00EE2164" w:rsidRDefault="002F074B" w:rsidP="001B222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sz w:val="24"/>
          <w:szCs w:val="24"/>
          <w:lang w:val="en-IN"/>
        </w:rPr>
        <w:t>We utilized archival data from two distinct JWST programs via the MAST Archive:</w:t>
      </w:r>
    </w:p>
    <w:p w14:paraId="75D4EA82" w14:textId="01C2A551" w:rsidR="002F074B" w:rsidRPr="00EE2164" w:rsidRDefault="002F074B" w:rsidP="001B222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NIRCam (Program 1726): High-resolution sub320 subarray data (F150W, F200W, F444W). </w:t>
      </w:r>
    </w:p>
    <w:p w14:paraId="04356F0C" w14:textId="77777777" w:rsidR="002F074B" w:rsidRPr="00EE2164" w:rsidRDefault="002F074B" w:rsidP="001B222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MIRI (Program 1232): Wide-field mid-infrared data (F560W, F1000W, F2550W). </w:t>
      </w:r>
    </w:p>
    <w:p w14:paraId="10F1CF8B" w14:textId="6859CF45" w:rsidR="002F074B" w:rsidRPr="00EE2164" w:rsidRDefault="002F074B" w:rsidP="001B222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sz w:val="24"/>
          <w:szCs w:val="24"/>
          <w:lang w:val="en-IN"/>
        </w:rPr>
        <w:t>Data were parsed from multi-extension FITS files, specifically targeting the Stage 3 calibrated science (SCI) arrays. Initial preprocessing involved 32-bit floating-point normalization and bad-pixel masking.</w:t>
      </w:r>
    </w:p>
    <w:p w14:paraId="11BF10A9" w14:textId="14D62C55" w:rsidR="00EE2164" w:rsidRPr="00EE2164" w:rsidRDefault="00EE2164" w:rsidP="001B222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7B3B31B" w14:textId="77777777" w:rsidR="002F074B" w:rsidRPr="00EE2164" w:rsidRDefault="002F074B" w:rsidP="001B222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b/>
          <w:bCs/>
          <w:sz w:val="24"/>
          <w:szCs w:val="24"/>
          <w:lang w:val="en-IN"/>
        </w:rPr>
        <w:t>3. Methodology: Alignment and Noise Reduction</w:t>
      </w:r>
    </w:p>
    <w:p w14:paraId="093C9C69" w14:textId="541655AF" w:rsidR="00B77149" w:rsidRDefault="002F074B" w:rsidP="001B222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The pipeline employed a dual-alignment strategy to register different filter bands. For star-dense NIRCam fields, we used ORB (Oriented FAST and Rotated BRIEF) to identify </w:t>
      </w:r>
      <w:r w:rsidR="00BB0571" w:rsidRPr="00EE2164">
        <w:rPr>
          <w:rFonts w:ascii="Times New Roman" w:hAnsi="Times New Roman" w:cs="Times New Roman"/>
          <w:sz w:val="24"/>
          <w:szCs w:val="24"/>
          <w:lang w:val="en-IN"/>
        </w:rPr>
        <w:t>key points</w:t>
      </w:r>
      <w:r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. A </w:t>
      </w:r>
      <w:r w:rsidR="00BB0571"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3x3 </w:t>
      </w:r>
      <w:r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Homography </w:t>
      </w:r>
      <w:r w:rsidRPr="00EE2164">
        <w:rPr>
          <w:rFonts w:ascii="Times New Roman" w:hAnsi="Times New Roman" w:cs="Times New Roman"/>
          <w:sz w:val="24"/>
          <w:szCs w:val="24"/>
          <w:lang w:val="en-IN"/>
        </w:rPr>
        <w:lastRenderedPageBreak/>
        <w:t>Transformation matrix (H) was then calculated via RANSAC to map pixel coordinates between the moving image and the reference:</w:t>
      </w:r>
    </w:p>
    <w:p w14:paraId="778C5DB5" w14:textId="5430D029" w:rsidR="00560CB7" w:rsidRPr="006319B1" w:rsidRDefault="00000000" w:rsidP="001B2223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  <w:lang w:val="en-I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IN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I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I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IN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I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IN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I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IN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I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IN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I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IN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I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IN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I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IN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I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IN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I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IN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  <w:lang w:val="en-IN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I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I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IN"/>
                      </w:rPr>
                      <m:t>1</m:t>
                    </m:r>
                  </m:e>
                </m:mr>
              </m:m>
            </m:e>
          </m:d>
        </m:oMath>
      </m:oMathPara>
    </w:p>
    <w:p w14:paraId="216C06C5" w14:textId="2795FAC3" w:rsidR="00B77149" w:rsidRPr="00EE2164" w:rsidRDefault="00B720A2" w:rsidP="001B2223">
      <w:pPr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62336" behindDoc="0" locked="0" layoutInCell="1" allowOverlap="1" wp14:anchorId="22A5C092" wp14:editId="1A5D2DD2">
            <wp:simplePos x="0" y="0"/>
            <wp:positionH relativeFrom="column">
              <wp:posOffset>3132722</wp:posOffset>
            </wp:positionH>
            <wp:positionV relativeFrom="paragraph">
              <wp:posOffset>42487</wp:posOffset>
            </wp:positionV>
            <wp:extent cx="2637155" cy="2688590"/>
            <wp:effectExtent l="0" t="0" r="0" b="0"/>
            <wp:wrapTopAndBottom/>
            <wp:docPr id="120265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5664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7D588E" w14:textId="5D394061" w:rsidR="00E96C96" w:rsidRPr="00EE2164" w:rsidRDefault="002F074B" w:rsidP="001B222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For MIRI data, where point sources were scarce, World Coordinate System (WCS) reprojection was utilized. To suppress horizontal noise, we implemented a 2D Fast Fourier Transform (FFT) with a Gaussian notch filter to clear noise-heavy rows in the frequency domain. </w:t>
      </w:r>
    </w:p>
    <w:p w14:paraId="56AFAC29" w14:textId="3820B819" w:rsidR="00E96C96" w:rsidRPr="00EE2164" w:rsidRDefault="00E96C96" w:rsidP="001B222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8A7DE68" wp14:editId="69DC9AC8">
            <wp:extent cx="2637155" cy="1790065"/>
            <wp:effectExtent l="0" t="0" r="0" b="635"/>
            <wp:docPr id="93038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8538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FF53" w14:textId="77777777" w:rsidR="00E96C96" w:rsidRPr="00EE2164" w:rsidRDefault="00E96C96" w:rsidP="001B222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82A8A16" w14:textId="77777777" w:rsidR="002F074B" w:rsidRPr="00EE2164" w:rsidRDefault="002F074B" w:rsidP="001B222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b/>
          <w:bCs/>
          <w:sz w:val="24"/>
          <w:szCs w:val="24"/>
          <w:lang w:val="en-IN"/>
        </w:rPr>
        <w:t>4. Methodology: Feature Fusion and Optimization</w:t>
      </w:r>
    </w:p>
    <w:p w14:paraId="40379C23" w14:textId="768CBB4E" w:rsidR="006319B1" w:rsidRDefault="002F074B" w:rsidP="001B222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We applied a 2D Discrete Wavelet Transform (DWT) using the Daubechies 4 (db4) wavelet. To preserve sharp structural details from short-wavelength bands while maintaining the depth of thermal data, we used Max-Coefficient Fusion: </w:t>
      </w:r>
    </w:p>
    <w:p w14:paraId="1DBB97D0" w14:textId="178C8CEF" w:rsidR="006319B1" w:rsidRPr="00311172" w:rsidRDefault="00000000" w:rsidP="00311172">
      <w:pPr>
        <w:ind w:left="-720"/>
        <w:jc w:val="both"/>
        <w:rPr>
          <w:rFonts w:ascii="Times New Roman" w:hAnsi="Times New Roman" w:cs="Times New Roman"/>
          <w:sz w:val="18"/>
          <w:szCs w:val="18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lang w:val="en-IN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lang w:val="en-IN"/>
                </w:rPr>
                <m:t>fused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lang w:val="en-IN"/>
                </w:rPr>
                <m:t>j,k</m:t>
              </m:r>
            </m:e>
          </m:d>
          <m:r>
            <w:rPr>
              <w:rFonts w:ascii="Cambria Math" w:hAnsi="Cambria Math" w:cs="Times New Roman"/>
              <w:lang w:val="en-IN"/>
            </w:rPr>
            <m:t>=argmax</m:t>
          </m:r>
          <m:d>
            <m:dPr>
              <m:ctrlPr>
                <w:rPr>
                  <w:rFonts w:ascii="Cambria Math" w:hAnsi="Cambria Math" w:cs="Times New Roman"/>
                  <w:i/>
                  <w:lang w:val="en-IN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blue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lang w:val="en-IN"/>
                </w:rPr>
                <m:t>,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green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lang w:val="en-IN"/>
                </w:rPr>
                <m:t>,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IN"/>
                        </w:rPr>
                        <m:t>red</m:t>
                      </m:r>
                    </m:sub>
                  </m:sSub>
                </m:e>
              </m:d>
            </m:e>
          </m:d>
        </m:oMath>
      </m:oMathPara>
    </w:p>
    <w:p w14:paraId="3082CC16" w14:textId="77777777" w:rsidR="006319B1" w:rsidRDefault="002F074B" w:rsidP="001B222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sz w:val="24"/>
          <w:szCs w:val="24"/>
          <w:lang w:val="en-IN"/>
        </w:rPr>
        <w:t>For visualization, we applied the Lupton asinh stretch for dynamic range compression, allowing the faint inner ejecta and the bright ring to be visible simultaneously:</w:t>
      </w:r>
    </w:p>
    <w:p w14:paraId="54724914" w14:textId="67A8CDB8" w:rsidR="002F074B" w:rsidRDefault="006319B1" w:rsidP="001B2223">
      <w:pPr>
        <w:jc w:val="both"/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6319B1">
        <w:rPr>
          <w:rFonts w:ascii="Times New Roman" w:hAnsi="Times New Roman" w:cs="Times New Roman"/>
          <w:noProof/>
          <w:sz w:val="24"/>
          <w:szCs w:val="24"/>
          <w:lang w:val="en-IN"/>
        </w:rPr>
        <w:t xml:space="preserve"> </w:t>
      </w:r>
    </w:p>
    <w:p w14:paraId="79463CCC" w14:textId="68569BDF" w:rsidR="00614F4F" w:rsidRPr="00311172" w:rsidRDefault="00000000" w:rsidP="00614F4F">
      <w:pPr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out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IN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arcsinh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IN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IN"/>
                        </w:rPr>
                        <m:t>Q⋅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I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IN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IN"/>
                            </w:rPr>
                            <m:t>in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 w:cs="Times New Roman"/>
                          <w:i/>
                          <w:noProof/>
                          <w:sz w:val="28"/>
                          <w:szCs w:val="28"/>
                          <w:lang w:val="en-IN"/>
                        </w:rPr>
                      </m:ctrlPr>
                    </m:e>
                  </m:d>
                </m:e>
              </m:func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arcsinh⁡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(Q)</m:t>
              </m:r>
            </m:den>
          </m:f>
        </m:oMath>
      </m:oMathPara>
    </w:p>
    <w:p w14:paraId="5E799637" w14:textId="6CFE9322" w:rsidR="00614F4F" w:rsidRPr="00614F4F" w:rsidRDefault="00614F4F" w:rsidP="00614F4F">
      <w:pPr>
        <w:jc w:val="both"/>
        <w:rPr>
          <w:rFonts w:ascii="Times New Roman" w:eastAsiaTheme="minorEastAsia" w:hAnsi="Times New Roman" w:cs="Times New Roman"/>
          <w:noProof/>
          <w:sz w:val="32"/>
          <w:szCs w:val="32"/>
          <w:lang w:val="en-IN"/>
        </w:rPr>
      </w:pPr>
    </w:p>
    <w:p w14:paraId="71992E99" w14:textId="6DC13187" w:rsidR="00B720A2" w:rsidRDefault="002F074B" w:rsidP="001B222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Local contrast was further boosted using CLAHE (Contrast Limited Adaptive Histogram Equalization). </w:t>
      </w:r>
    </w:p>
    <w:p w14:paraId="59C8CB63" w14:textId="77777777" w:rsidR="00B720A2" w:rsidRDefault="00B720A2" w:rsidP="001B222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5F8B043" w14:textId="77777777" w:rsidR="00B720A2" w:rsidRPr="00B720A2" w:rsidRDefault="00B720A2" w:rsidP="00B720A2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720A2">
        <w:rPr>
          <w:rFonts w:ascii="Times New Roman" w:hAnsi="Times New Roman" w:cs="Times New Roman"/>
          <w:sz w:val="24"/>
          <w:szCs w:val="24"/>
          <w:lang w:val="en-IN"/>
        </w:rPr>
        <w:t xml:space="preserve">To objectively quantify the geometry of the expanding circumstellar ring, we implemented the </w:t>
      </w:r>
      <w:r w:rsidRPr="00B720A2">
        <w:rPr>
          <w:rFonts w:ascii="Times New Roman" w:hAnsi="Times New Roman" w:cs="Times New Roman"/>
          <w:b/>
          <w:bCs/>
          <w:sz w:val="24"/>
          <w:szCs w:val="24"/>
          <w:lang w:val="en-IN"/>
        </w:rPr>
        <w:t>Hough Circle Transform (HCT)</w:t>
      </w:r>
      <w:r w:rsidRPr="00B720A2">
        <w:rPr>
          <w:rFonts w:ascii="Times New Roman" w:hAnsi="Times New Roman" w:cs="Times New Roman"/>
          <w:sz w:val="24"/>
          <w:szCs w:val="24"/>
          <w:lang w:val="en-IN"/>
        </w:rPr>
        <w:t xml:space="preserve"> on the post-processed edge maps. By converting the edge-detected pixels from the spatial domain into a parametric accumulator space, the algorithm identifies the most probable circle </w:t>
      </w:r>
      <w:proofErr w:type="spellStart"/>
      <w:r w:rsidRPr="00B720A2">
        <w:rPr>
          <w:rFonts w:ascii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B720A2">
        <w:rPr>
          <w:rFonts w:ascii="Times New Roman" w:hAnsi="Times New Roman" w:cs="Times New Roman"/>
          <w:sz w:val="24"/>
          <w:szCs w:val="24"/>
          <w:lang w:val="en-IN"/>
        </w:rPr>
        <w:t xml:space="preserve"> and radius via a voting mechanism. This automated approach successfully identified the ring structure with a detected radius of </w:t>
      </w:r>
      <w:r w:rsidRPr="00B720A2">
        <w:rPr>
          <w:rFonts w:ascii="Times New Roman" w:hAnsi="Times New Roman" w:cs="Times New Roman"/>
          <w:b/>
          <w:bCs/>
          <w:sz w:val="24"/>
          <w:szCs w:val="24"/>
          <w:lang w:val="en-IN"/>
        </w:rPr>
        <w:t>0.92 arcsec</w:t>
      </w:r>
      <w:r w:rsidRPr="00B720A2">
        <w:rPr>
          <w:rFonts w:ascii="Times New Roman" w:hAnsi="Times New Roman" w:cs="Times New Roman"/>
          <w:sz w:val="24"/>
          <w:szCs w:val="24"/>
          <w:lang w:val="en-IN"/>
        </w:rPr>
        <w:t xml:space="preserve">, providing the empirical foundation to confirm an </w:t>
      </w:r>
      <w:r w:rsidRPr="00B720A2">
        <w:rPr>
          <w:rFonts w:ascii="Times New Roman" w:hAnsi="Times New Roman" w:cs="Times New Roman"/>
          <w:b/>
          <w:bCs/>
          <w:sz w:val="24"/>
          <w:szCs w:val="24"/>
          <w:lang w:val="en-IN"/>
        </w:rPr>
        <w:t>8% expansion</w:t>
      </w:r>
      <w:r w:rsidRPr="00B720A2">
        <w:rPr>
          <w:rFonts w:ascii="Times New Roman" w:hAnsi="Times New Roman" w:cs="Times New Roman"/>
          <w:sz w:val="24"/>
          <w:szCs w:val="24"/>
          <w:lang w:val="en-IN"/>
        </w:rPr>
        <w:t xml:space="preserve"> of the material since 2015 observations. This transition from manual measurement to algorithmic detection removes human bias and allows for consistent monitoring of the supernova's interaction with the surrounding medium.</w:t>
      </w:r>
    </w:p>
    <w:p w14:paraId="208ED887" w14:textId="77777777" w:rsidR="00B720A2" w:rsidRPr="00B720A2" w:rsidRDefault="00B720A2" w:rsidP="00B720A2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720A2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Circular Parameterization:</w:t>
      </w:r>
    </w:p>
    <w:p w14:paraId="231572E2" w14:textId="77777777" w:rsidR="00B720A2" w:rsidRPr="00B720A2" w:rsidRDefault="00B720A2" w:rsidP="00B720A2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720A2">
        <w:rPr>
          <w:rFonts w:ascii="Times New Roman" w:hAnsi="Times New Roman" w:cs="Times New Roman"/>
          <w:sz w:val="24"/>
          <w:szCs w:val="24"/>
          <w:lang w:val="en-IN"/>
        </w:rPr>
        <w:t xml:space="preserve">The Hough Circle Transform relies on the parametric equation of a circle, where each </w:t>
      </w:r>
      <w:r w:rsidRPr="00B720A2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edge point $(x, y)$ votes for a set of possible </w:t>
      </w:r>
      <w:proofErr w:type="spellStart"/>
      <w:r w:rsidRPr="00B720A2">
        <w:rPr>
          <w:rFonts w:ascii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B720A2">
        <w:rPr>
          <w:rFonts w:ascii="Times New Roman" w:hAnsi="Times New Roman" w:cs="Times New Roman"/>
          <w:sz w:val="24"/>
          <w:szCs w:val="24"/>
          <w:lang w:val="en-IN"/>
        </w:rPr>
        <w:t xml:space="preserve"> points $(a, b)$ at a fixed radius $r$:</w:t>
      </w:r>
    </w:p>
    <w:p w14:paraId="08E518A7" w14:textId="77777777" w:rsidR="00B720A2" w:rsidRPr="00B720A2" w:rsidRDefault="00B720A2" w:rsidP="00B720A2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720A2">
        <w:rPr>
          <w:rFonts w:ascii="Times New Roman" w:hAnsi="Times New Roman" w:cs="Times New Roman"/>
          <w:sz w:val="24"/>
          <w:szCs w:val="24"/>
          <w:lang w:val="en-IN"/>
        </w:rPr>
        <w:t>$$(x - a)^2 + (y - b)^2 = r^2$$</w:t>
      </w:r>
    </w:p>
    <w:p w14:paraId="2E535999" w14:textId="468AE6E5" w:rsidR="00B720A2" w:rsidRPr="00EE2164" w:rsidRDefault="00B720A2" w:rsidP="001B222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60288" behindDoc="0" locked="0" layoutInCell="1" allowOverlap="1" wp14:anchorId="3D27A2B7" wp14:editId="1434BEDD">
            <wp:simplePos x="0" y="0"/>
            <wp:positionH relativeFrom="column">
              <wp:posOffset>17634</wp:posOffset>
            </wp:positionH>
            <wp:positionV relativeFrom="paragraph">
              <wp:posOffset>3103880</wp:posOffset>
            </wp:positionV>
            <wp:extent cx="2658110" cy="1821180"/>
            <wp:effectExtent l="0" t="0" r="8890" b="7620"/>
            <wp:wrapTopAndBottom/>
            <wp:docPr id="45585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5665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04FBF1" w14:textId="1498EA8B" w:rsidR="00EE2164" w:rsidRPr="00EE2164" w:rsidRDefault="00EE2164" w:rsidP="001B222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ED46F4D" w14:textId="05B6B144" w:rsidR="002F074B" w:rsidRPr="00EE2164" w:rsidRDefault="002F074B" w:rsidP="001B222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b/>
          <w:bCs/>
          <w:sz w:val="24"/>
          <w:szCs w:val="24"/>
          <w:lang w:val="en-IN"/>
        </w:rPr>
        <w:t>5. Results and Discussion</w:t>
      </w:r>
    </w:p>
    <w:p w14:paraId="43203F6E" w14:textId="138958A9" w:rsidR="00912B28" w:rsidRPr="00614F4F" w:rsidRDefault="002F074B" w:rsidP="001B222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The pipeline achieved a 39x improvement in signal clarity for the MIRI dataset. We quantify this using the Signal-to-Noise Ratio (SNR), defined as the ratio of the mean ring signal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I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IN"/>
                  </w:rPr>
                  <m:t>µ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IN"/>
                  </w:rPr>
                  <m:t>signal</m:t>
                </m:r>
              </m:sub>
            </m:sSub>
          </m:e>
        </m:d>
      </m:oMath>
      <w:r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 to the background standard</w:t>
      </w:r>
      <w:r w:rsidR="001B2223"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deviation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I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IN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I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IN"/>
                  </w:rPr>
                  <m:t>noise</m:t>
                </m:r>
              </m:sub>
            </m:sSub>
          </m:e>
        </m:d>
      </m:oMath>
      <w:r w:rsidR="00614F4F">
        <w:rPr>
          <w:rFonts w:ascii="Times New Roman" w:eastAsiaTheme="minorEastAsia" w:hAnsi="Times New Roman" w:cs="Times New Roman"/>
          <w:sz w:val="24"/>
          <w:szCs w:val="24"/>
          <w:lang w:val="en-IN"/>
        </w:rPr>
        <w:t>:</w:t>
      </w:r>
    </w:p>
    <w:p w14:paraId="0DAF4EE8" w14:textId="79E17D29" w:rsidR="001B2223" w:rsidRPr="00614F4F" w:rsidRDefault="00614F4F" w:rsidP="00614F4F">
      <w:pPr>
        <w:jc w:val="both"/>
        <w:rPr>
          <w:rFonts w:ascii="Times New Roman" w:eastAsiaTheme="minorEastAsia" w:hAnsi="Times New Roman" w:cs="Times New Roman"/>
          <w:sz w:val="32"/>
          <w:szCs w:val="32"/>
          <w:lang w:val="en-IN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  <w:lang w:val="en-IN"/>
            </w:rPr>
            <m:t xml:space="preserve">SNR = 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  <w:szCs w:val="32"/>
                  <w:lang w:val="en-I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IN"/>
                    </w:rPr>
                    <m:t>µ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IN"/>
                    </w:rPr>
                    <m:t>signal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I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IN"/>
                    </w:rPr>
                    <m:t>noise</m:t>
                  </m:r>
                </m:sub>
              </m:sSub>
            </m:den>
          </m:f>
        </m:oMath>
      </m:oMathPara>
    </w:p>
    <w:p w14:paraId="4028E164" w14:textId="245E3298" w:rsidR="006E1874" w:rsidRDefault="002F074B" w:rsidP="001B222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sz w:val="24"/>
          <w:szCs w:val="24"/>
          <w:lang w:val="en-IN"/>
        </w:rPr>
        <w:t>MIRI F1000W SNR increased from 0.01 to 0.39. While similarity metrics</w:t>
      </w:r>
      <w:r w:rsidR="00E96C96"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Peak Signal-to-Noise Ratio (PSNR) and SSIM—were low (PSNR = 10.72 dB, SSIM = 0.2337), these values confirm the successful isolation of the ring through aggressive enhancement. PSNR is defined via the Mean Squared Error (MSE): </w:t>
      </w:r>
    </w:p>
    <w:p w14:paraId="33AF6B3F" w14:textId="4466460B" w:rsidR="00614F4F" w:rsidRPr="00614F4F" w:rsidRDefault="00614F4F" w:rsidP="001B2223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PSNR = 10⋅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IN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10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IN"/>
                        </w:rPr>
                        <m:t>MA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IN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I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IN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IN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IN"/>
                        </w:rPr>
                        <m:t>MSE</m:t>
                      </m:r>
                    </m:den>
                  </m:f>
                </m:e>
              </m:d>
            </m:e>
          </m:func>
        </m:oMath>
      </m:oMathPara>
    </w:p>
    <w:p w14:paraId="4162A475" w14:textId="4FC3BDC0" w:rsidR="002F074B" w:rsidRPr="00EE2164" w:rsidRDefault="00614F4F" w:rsidP="006E1874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64384" behindDoc="0" locked="0" layoutInCell="1" allowOverlap="1" wp14:anchorId="09242852" wp14:editId="41BEF143">
            <wp:simplePos x="0" y="0"/>
            <wp:positionH relativeFrom="column">
              <wp:posOffset>0</wp:posOffset>
            </wp:positionH>
            <wp:positionV relativeFrom="paragraph">
              <wp:posOffset>871899</wp:posOffset>
            </wp:positionV>
            <wp:extent cx="2637155" cy="1774190"/>
            <wp:effectExtent l="0" t="0" r="0" b="0"/>
            <wp:wrapTopAndBottom/>
            <wp:docPr id="15683670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67059" name="Picture 15683670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074B" w:rsidRPr="00EE2164">
        <w:rPr>
          <w:rFonts w:ascii="Times New Roman" w:hAnsi="Times New Roman" w:cs="Times New Roman"/>
          <w:sz w:val="24"/>
          <w:szCs w:val="24"/>
          <w:lang w:val="en-IN"/>
        </w:rPr>
        <w:t>Finally, Principal Component Analysis (PCA) isolated the ring’s thermal dust signature in PC2 (10.7% variance), effectively separating it from the stellar background.</w:t>
      </w:r>
    </w:p>
    <w:p w14:paraId="1B127323" w14:textId="6E65BAFF" w:rsidR="00EE2164" w:rsidRPr="00EE2164" w:rsidRDefault="00EE2164" w:rsidP="006E1874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8567011" w14:textId="47604AD7" w:rsidR="00E96C96" w:rsidRDefault="00614F4F" w:rsidP="006E1874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63360" behindDoc="0" locked="0" layoutInCell="1" allowOverlap="1" wp14:anchorId="590A56D5" wp14:editId="65908A4C">
            <wp:simplePos x="0" y="0"/>
            <wp:positionH relativeFrom="column">
              <wp:posOffset>0</wp:posOffset>
            </wp:positionH>
            <wp:positionV relativeFrom="paragraph">
              <wp:posOffset>328886</wp:posOffset>
            </wp:positionV>
            <wp:extent cx="2637155" cy="1776730"/>
            <wp:effectExtent l="0" t="0" r="0" b="0"/>
            <wp:wrapTopAndBottom/>
            <wp:docPr id="21064541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4188" name="Picture 21064541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50C2E" w14:textId="77777777" w:rsidR="00614F4F" w:rsidRPr="00EE2164" w:rsidRDefault="00614F4F" w:rsidP="006E1874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04BFEF7" w14:textId="77777777" w:rsidR="002F074B" w:rsidRPr="00EE2164" w:rsidRDefault="002F074B" w:rsidP="001B222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b/>
          <w:bCs/>
          <w:sz w:val="24"/>
          <w:szCs w:val="24"/>
          <w:lang w:val="en-IN"/>
        </w:rPr>
        <w:t>6. Conclusion</w:t>
      </w:r>
    </w:p>
    <w:p w14:paraId="33A18165" w14:textId="0D5BAB4C" w:rsidR="002F074B" w:rsidRPr="00EE2164" w:rsidRDefault="002F074B" w:rsidP="001B222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This pipeline demonstrates that classical CV techniques like FFT filtering and wavelet fusion are essential for modern infrared astronomy. By automating the alignment and cleaning process, we enabled high-fidelity analysis of SN 1987A's structural evolution. </w:t>
      </w:r>
    </w:p>
    <w:p w14:paraId="55EDE106" w14:textId="77777777" w:rsidR="002F074B" w:rsidRPr="00EE2164" w:rsidRDefault="002F074B" w:rsidP="001B222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b/>
          <w:bCs/>
          <w:sz w:val="24"/>
          <w:szCs w:val="24"/>
          <w:lang w:val="en-IN"/>
        </w:rPr>
        <w:t>References</w:t>
      </w:r>
    </w:p>
    <w:p w14:paraId="21DE7B26" w14:textId="77777777" w:rsidR="002F074B" w:rsidRPr="00EE2164" w:rsidRDefault="002F074B" w:rsidP="001B222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Fransson, C., et al. (2015). "The Transition of the Ring Emission in SN 1987A." </w:t>
      </w:r>
      <w:r w:rsidRPr="00EE2164">
        <w:rPr>
          <w:rFonts w:ascii="Times New Roman" w:hAnsi="Times New Roman" w:cs="Times New Roman"/>
          <w:i/>
          <w:iCs/>
          <w:sz w:val="24"/>
          <w:szCs w:val="24"/>
          <w:lang w:val="en-IN"/>
        </w:rPr>
        <w:t>The Astrophysical Journal</w:t>
      </w:r>
      <w:r w:rsidRPr="00EE216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F271DB8" w14:textId="77777777" w:rsidR="002F074B" w:rsidRPr="00EE2164" w:rsidRDefault="002F074B" w:rsidP="001B222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Lupton, R., et al. (2004). "Preparing Red-Green-Blue Images from Multicolor Photometry." </w:t>
      </w:r>
      <w:r w:rsidRPr="00EE2164">
        <w:rPr>
          <w:rFonts w:ascii="Times New Roman" w:hAnsi="Times New Roman" w:cs="Times New Roman"/>
          <w:i/>
          <w:iCs/>
          <w:sz w:val="24"/>
          <w:szCs w:val="24"/>
          <w:lang w:val="en-IN"/>
        </w:rPr>
        <w:t>The Astronomical Journal</w:t>
      </w:r>
      <w:r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4AAC0F88" w14:textId="77777777" w:rsidR="002F074B" w:rsidRPr="00EE2164" w:rsidRDefault="002F074B" w:rsidP="001B222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E2164">
        <w:rPr>
          <w:rFonts w:ascii="Times New Roman" w:hAnsi="Times New Roman" w:cs="Times New Roman"/>
          <w:sz w:val="24"/>
          <w:szCs w:val="24"/>
          <w:lang w:val="en-IN"/>
        </w:rPr>
        <w:t xml:space="preserve">JWST Documentation: NIRCam and MIRI Instrumentation Handbooks. </w:t>
      </w:r>
    </w:p>
    <w:p w14:paraId="278F37B0" w14:textId="77777777" w:rsidR="007E0CB6" w:rsidRDefault="007E0CB6" w:rsidP="001B2223">
      <w:pPr>
        <w:jc w:val="both"/>
      </w:pPr>
    </w:p>
    <w:sectPr w:rsidR="007E0CB6" w:rsidSect="005402E6">
      <w:type w:val="continuous"/>
      <w:pgSz w:w="11906" w:h="16838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4030"/>
    <w:multiLevelType w:val="multilevel"/>
    <w:tmpl w:val="6CCE8D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474C3"/>
    <w:multiLevelType w:val="multilevel"/>
    <w:tmpl w:val="780848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305AB"/>
    <w:multiLevelType w:val="multilevel"/>
    <w:tmpl w:val="2E04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5159D"/>
    <w:multiLevelType w:val="multilevel"/>
    <w:tmpl w:val="9A78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905ED"/>
    <w:multiLevelType w:val="multilevel"/>
    <w:tmpl w:val="059C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50780"/>
    <w:multiLevelType w:val="multilevel"/>
    <w:tmpl w:val="D2E8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429641">
    <w:abstractNumId w:val="3"/>
  </w:num>
  <w:num w:numId="2" w16cid:durableId="1495145999">
    <w:abstractNumId w:val="2"/>
  </w:num>
  <w:num w:numId="3" w16cid:durableId="704985049">
    <w:abstractNumId w:val="5"/>
  </w:num>
  <w:num w:numId="4" w16cid:durableId="1375960549">
    <w:abstractNumId w:val="4"/>
  </w:num>
  <w:num w:numId="5" w16cid:durableId="1420057629">
    <w:abstractNumId w:val="1"/>
  </w:num>
  <w:num w:numId="6" w16cid:durableId="504563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E6"/>
    <w:rsid w:val="00123430"/>
    <w:rsid w:val="001B2223"/>
    <w:rsid w:val="002F074B"/>
    <w:rsid w:val="00311172"/>
    <w:rsid w:val="005402E6"/>
    <w:rsid w:val="00560CB7"/>
    <w:rsid w:val="005A5F71"/>
    <w:rsid w:val="005E7B35"/>
    <w:rsid w:val="00614F4F"/>
    <w:rsid w:val="006319B1"/>
    <w:rsid w:val="0067385B"/>
    <w:rsid w:val="006E1874"/>
    <w:rsid w:val="007402C5"/>
    <w:rsid w:val="007647D0"/>
    <w:rsid w:val="007E0CB6"/>
    <w:rsid w:val="00912B28"/>
    <w:rsid w:val="00A35F53"/>
    <w:rsid w:val="00B720A2"/>
    <w:rsid w:val="00B77149"/>
    <w:rsid w:val="00BB0571"/>
    <w:rsid w:val="00E96C96"/>
    <w:rsid w:val="00EE2164"/>
    <w:rsid w:val="00F74D16"/>
    <w:rsid w:val="00FD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06CCC"/>
  <w15:chartTrackingRefBased/>
  <w15:docId w15:val="{32EC41C9-D6E0-4F8C-BF9E-9CD5115F3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2E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2E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2E6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2E6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2E6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2E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2E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2E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2E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40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2E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2E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40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2E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40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2E6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402E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77149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EE21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1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21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07B5001-71F0-4A94-8ACD-07B6A6274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1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Gouda</dc:creator>
  <cp:keywords/>
  <dc:description/>
  <cp:lastModifiedBy>Ayush Gouda</cp:lastModifiedBy>
  <cp:revision>7</cp:revision>
  <dcterms:created xsi:type="dcterms:W3CDTF">2026-05-01T12:51:00Z</dcterms:created>
  <dcterms:modified xsi:type="dcterms:W3CDTF">2026-05-04T10:50:00Z</dcterms:modified>
</cp:coreProperties>
</file>