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BEB8B" w14:textId="6A430E01" w:rsidR="005402E6" w:rsidRPr="00EE2164" w:rsidRDefault="005402E6" w:rsidP="001B222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EE2164">
        <w:rPr>
          <w:rFonts w:ascii="Times New Roman" w:hAnsi="Times New Roman" w:cs="Times New Roman"/>
          <w:b/>
          <w:bCs/>
          <w:sz w:val="28"/>
          <w:szCs w:val="28"/>
          <w:lang w:val="en-IN"/>
        </w:rPr>
        <w:t>Automated Detection and Enhancement of the SN 1987A Circumstellar Ring Using a JWST Computer Vision Pipeline</w:t>
      </w:r>
    </w:p>
    <w:p w14:paraId="2FC69B69" w14:textId="492CAB27" w:rsidR="001B2223" w:rsidRDefault="001B2223" w:rsidP="001B2223">
      <w:pPr>
        <w:jc w:val="center"/>
        <w:rPr>
          <w:rFonts w:ascii="Times New Roman" w:hAnsi="Times New Roman" w:cs="Times New Roman"/>
          <w:sz w:val="20"/>
          <w:szCs w:val="20"/>
          <w:lang w:val="en-IN"/>
        </w:rPr>
      </w:pPr>
      <w:r w:rsidRPr="001B2223">
        <w:rPr>
          <w:rFonts w:ascii="Times New Roman" w:hAnsi="Times New Roman" w:cs="Times New Roman"/>
          <w:sz w:val="20"/>
          <w:szCs w:val="20"/>
          <w:lang w:val="en-IN"/>
        </w:rPr>
        <w:t>R Shreyas</w:t>
      </w:r>
      <w:r w:rsidRPr="001B2223">
        <w:rPr>
          <w:rFonts w:ascii="Times New Roman" w:hAnsi="Times New Roman" w:cs="Times New Roman"/>
          <w:sz w:val="20"/>
          <w:szCs w:val="20"/>
          <w:vertAlign w:val="superscript"/>
          <w:lang w:val="en-IN"/>
        </w:rPr>
        <w:t>1</w:t>
      </w:r>
      <w:r w:rsidRPr="001B2223">
        <w:rPr>
          <w:rFonts w:ascii="Times New Roman" w:hAnsi="Times New Roman" w:cs="Times New Roman"/>
          <w:sz w:val="20"/>
          <w:szCs w:val="20"/>
          <w:lang w:val="en-IN"/>
        </w:rPr>
        <w:t>, Ayush Gouda</w:t>
      </w:r>
      <w:r w:rsidRPr="001B2223">
        <w:rPr>
          <w:rFonts w:ascii="Times New Roman" w:hAnsi="Times New Roman" w:cs="Times New Roman"/>
          <w:sz w:val="20"/>
          <w:szCs w:val="20"/>
          <w:vertAlign w:val="superscript"/>
          <w:lang w:val="en-IN"/>
        </w:rPr>
        <w:t>1</w:t>
      </w:r>
      <w:r w:rsidRPr="001B2223">
        <w:rPr>
          <w:rFonts w:ascii="Times New Roman" w:hAnsi="Times New Roman" w:cs="Times New Roman"/>
          <w:sz w:val="20"/>
          <w:szCs w:val="20"/>
          <w:lang w:val="en-IN"/>
        </w:rPr>
        <w:t>, Deepak N</w:t>
      </w:r>
      <w:r w:rsidRPr="001B2223">
        <w:rPr>
          <w:rFonts w:ascii="Times New Roman" w:hAnsi="Times New Roman" w:cs="Times New Roman"/>
          <w:sz w:val="20"/>
          <w:szCs w:val="20"/>
          <w:vertAlign w:val="superscript"/>
          <w:lang w:val="en-IN"/>
        </w:rPr>
        <w:t>2</w:t>
      </w:r>
    </w:p>
    <w:p w14:paraId="2CF0854B" w14:textId="24305EBE" w:rsidR="001B2223" w:rsidRPr="001B2223" w:rsidRDefault="001B2223" w:rsidP="001B2223">
      <w:pPr>
        <w:jc w:val="center"/>
        <w:rPr>
          <w:rFonts w:ascii="Times New Roman" w:hAnsi="Times New Roman" w:cs="Times New Roman"/>
          <w:sz w:val="20"/>
          <w:szCs w:val="20"/>
          <w:lang w:val="en-IN"/>
        </w:rPr>
      </w:pPr>
      <w:r>
        <w:rPr>
          <w:rFonts w:ascii="Times New Roman" w:hAnsi="Times New Roman" w:cs="Times New Roman"/>
          <w:sz w:val="20"/>
          <w:szCs w:val="20"/>
          <w:lang w:val="en-IN"/>
        </w:rPr>
        <w:t>Department of Computer Science Engineering – RV Institute of Technology and Management - Bengaluru, KA</w:t>
      </w:r>
    </w:p>
    <w:p w14:paraId="6B015522" w14:textId="5716BC37" w:rsidR="005402E6" w:rsidRDefault="005402E6" w:rsidP="001B2223">
      <w:pPr>
        <w:jc w:val="both"/>
        <w:rPr>
          <w:b/>
          <w:bCs/>
          <w:lang w:val="en-IN"/>
        </w:rPr>
      </w:pPr>
    </w:p>
    <w:p w14:paraId="6E22C640" w14:textId="77777777" w:rsidR="005402E6" w:rsidRDefault="005402E6" w:rsidP="001B2223">
      <w:pPr>
        <w:jc w:val="both"/>
        <w:rPr>
          <w:b/>
          <w:bCs/>
          <w:lang w:val="en-IN"/>
        </w:rPr>
        <w:sectPr w:rsidR="005402E6" w:rsidSect="005402E6"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4371BF87" w14:textId="6BCFB571" w:rsidR="002F074B" w:rsidRPr="00EE2164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b/>
          <w:bCs/>
          <w:sz w:val="24"/>
          <w:szCs w:val="24"/>
          <w:lang w:val="en-IN"/>
        </w:rPr>
        <w:t>Abstract</w:t>
      </w:r>
    </w:p>
    <w:p w14:paraId="7DCD84B1" w14:textId="34ED3B9B" w:rsidR="002F074B" w:rsidRPr="00EE2164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This paper presents a robust computer vision (CV) pipeline designed to process raw James Webb Space Telescope (JWST) data of Supernova 1987A (SN 1987A). By integrating frequency-domain filtering with multi-scale image fusion, we successfully registered and enhanced data from both the Near-Infrared Camera (NIRCam) and the Mid-Infrared Instrument (MIRI). Our pipeline addresses critical astronomical processing challenges, including 1/f detector noise and high dynamic range, to isolate the circumstellar ring’s spectral signature. We demonstrate a 39x Signal-to-Noise Ratio (SNR) improvement in MIRI data, enabling precise structural analysis of the remnant’s cold dust. </w:t>
      </w:r>
    </w:p>
    <w:p w14:paraId="506874A8" w14:textId="6594BD8F" w:rsidR="002F074B" w:rsidRPr="00EE2164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b/>
          <w:bCs/>
          <w:sz w:val="24"/>
          <w:szCs w:val="24"/>
          <w:lang w:val="en-IN"/>
        </w:rPr>
        <w:t>1. Introduction</w:t>
      </w:r>
    </w:p>
    <w:p w14:paraId="54684DFC" w14:textId="60B6F2FD" w:rsidR="00AC3316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>Supernova 1987A remains a cornerstone of modern astrophysics, providing a "fossil record" of stellar evolution 168,000 light-years away. The expanding circumstellar ring</w:t>
      </w:r>
      <w:r w:rsidR="00BB0571" w:rsidRPr="00EE2164">
        <w:rPr>
          <w:rFonts w:ascii="Times New Roman" w:hAnsi="Times New Roman" w:cs="Times New Roman"/>
          <w:sz w:val="24"/>
          <w:szCs w:val="24"/>
          <w:lang w:val="en-IN"/>
        </w:rPr>
        <w:t>, i.e</w:t>
      </w:r>
      <w:r w:rsidR="00912B28">
        <w:rPr>
          <w:rFonts w:ascii="Times New Roman" w:hAnsi="Times New Roman" w:cs="Times New Roman"/>
          <w:sz w:val="24"/>
          <w:szCs w:val="24"/>
          <w:lang w:val="en-IN"/>
        </w:rPr>
        <w:t>.</w:t>
      </w:r>
      <w:r w:rsidR="00BB0571"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EE2164">
        <w:rPr>
          <w:rFonts w:ascii="Times New Roman" w:hAnsi="Times New Roman" w:cs="Times New Roman"/>
          <w:sz w:val="24"/>
          <w:szCs w:val="24"/>
          <w:lang w:val="en-IN"/>
        </w:rPr>
        <w:t>material ejected by the progenitor star</w:t>
      </w:r>
      <w:r w:rsidR="00BB0571"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, </w:t>
      </w: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is currently interacting with the supernova shockwave. However, raw JWST data presents significant hurdles: high dynamic range hides subtle structures, and detector-induced horizontal 1/f banding obscures the signal. </w:t>
      </w:r>
    </w:p>
    <w:p w14:paraId="7B36DF50" w14:textId="2A95EB15" w:rsidR="00E96C96" w:rsidRPr="00EE2164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Advanced computer vision techniques are required to move beyond simple "smudge" detection and resolve these structures. </w:t>
      </w:r>
    </w:p>
    <w:p w14:paraId="6C1B958E" w14:textId="77777777" w:rsidR="002F074B" w:rsidRPr="00EE2164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b/>
          <w:bCs/>
          <w:sz w:val="24"/>
          <w:szCs w:val="24"/>
          <w:lang w:val="en-IN"/>
        </w:rPr>
        <w:t>2. Data Acquisition and Preprocessing</w:t>
      </w:r>
    </w:p>
    <w:p w14:paraId="79456231" w14:textId="77777777" w:rsidR="002F074B" w:rsidRPr="00EE2164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>We utilized archival data from two distinct JWST programs via the MAST Archive:</w:t>
      </w:r>
    </w:p>
    <w:p w14:paraId="75D4EA82" w14:textId="01C2A551" w:rsidR="002F074B" w:rsidRPr="00EE2164" w:rsidRDefault="002F074B" w:rsidP="001B2223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NIRCam (Program 1726): High-resolution sub320 subarray data (F150W, F200W, F444W). </w:t>
      </w:r>
    </w:p>
    <w:p w14:paraId="04356F0C" w14:textId="77777777" w:rsidR="002F074B" w:rsidRPr="00EE2164" w:rsidRDefault="002F074B" w:rsidP="001B2223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MIRI (Program 1232): Wide-field mid-infrared data (F560W, F1000W, F2550W). </w:t>
      </w:r>
    </w:p>
    <w:p w14:paraId="10F1CF8B" w14:textId="6859CF45" w:rsidR="002F074B" w:rsidRPr="00EE2164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>Data were parsed from multi-extension FITS files, specifically targeting the Stage 3 calibrated science (SCI) arrays. Initial preprocessing involved 32-bit floating-point normalization and bad-pixel masking.</w:t>
      </w:r>
    </w:p>
    <w:p w14:paraId="11BF10A9" w14:textId="14D62C55" w:rsidR="00EE2164" w:rsidRPr="00EE2164" w:rsidRDefault="00EE2164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27B3B31B" w14:textId="77777777" w:rsidR="002F074B" w:rsidRPr="00EE2164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b/>
          <w:bCs/>
          <w:sz w:val="24"/>
          <w:szCs w:val="24"/>
          <w:lang w:val="en-IN"/>
        </w:rPr>
        <w:t>3. Methodology: Alignment and Noise Reduction</w:t>
      </w:r>
    </w:p>
    <w:p w14:paraId="093C9C69" w14:textId="541655AF" w:rsidR="00B77149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The pipeline employed a dual-alignment strategy to register different filter bands. For star-dense NIRCam fields, we used ORB (Oriented FAST and Rotated BRIEF) to identify </w:t>
      </w:r>
      <w:r w:rsidR="00BB0571" w:rsidRPr="00EE2164">
        <w:rPr>
          <w:rFonts w:ascii="Times New Roman" w:hAnsi="Times New Roman" w:cs="Times New Roman"/>
          <w:sz w:val="24"/>
          <w:szCs w:val="24"/>
          <w:lang w:val="en-IN"/>
        </w:rPr>
        <w:t>key points</w:t>
      </w: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. A </w:t>
      </w:r>
      <w:r w:rsidR="00BB0571"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3x3 </w:t>
      </w:r>
      <w:r w:rsidRPr="00EE2164">
        <w:rPr>
          <w:rFonts w:ascii="Times New Roman" w:hAnsi="Times New Roman" w:cs="Times New Roman"/>
          <w:sz w:val="24"/>
          <w:szCs w:val="24"/>
          <w:lang w:val="en-IN"/>
        </w:rPr>
        <w:t>Homography Transformation matrix (</w:t>
      </w:r>
      <w:r w:rsidRPr="000524BE">
        <w:rPr>
          <w:rFonts w:ascii="Times New Roman" w:hAnsi="Times New Roman" w:cs="Times New Roman"/>
          <w:i/>
          <w:iCs/>
          <w:sz w:val="24"/>
          <w:szCs w:val="24"/>
          <w:lang w:val="en-IN"/>
        </w:rPr>
        <w:t>H</w:t>
      </w:r>
      <w:r w:rsidRPr="00EE2164">
        <w:rPr>
          <w:rFonts w:ascii="Times New Roman" w:hAnsi="Times New Roman" w:cs="Times New Roman"/>
          <w:sz w:val="24"/>
          <w:szCs w:val="24"/>
          <w:lang w:val="en-IN"/>
        </w:rPr>
        <w:t>) was then calculated via RANSAC to map pixel coordinates between the moving image and the reference:</w:t>
      </w:r>
    </w:p>
    <w:p w14:paraId="778C5DB5" w14:textId="5430D029" w:rsidR="00560CB7" w:rsidRPr="006319B1" w:rsidRDefault="00000000" w:rsidP="001B2223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'</m:t>
                        </m:r>
                      </m:sup>
                    </m:sSup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sz w:val="28"/>
              <w:szCs w:val="28"/>
              <w:lang w:val="en-I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IN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IN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31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32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  <w:lang w:val="en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  <w:lang w:val="en-IN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 w:cs="Times New Roman"/>
              <w:sz w:val="28"/>
              <w:szCs w:val="28"/>
              <w:lang w:val="en-IN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IN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I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IN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IN"/>
                      </w:rPr>
                      <m:t>y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IN"/>
                      </w:rPr>
                      <m:t>1</m:t>
                    </m:r>
                  </m:e>
                </m:mr>
              </m:m>
            </m:e>
          </m:d>
        </m:oMath>
      </m:oMathPara>
    </w:p>
    <w:p w14:paraId="216C06C5" w14:textId="6BAA8DBB" w:rsidR="00B77149" w:rsidRPr="00EE2164" w:rsidRDefault="00B77149" w:rsidP="001B2223">
      <w:pPr>
        <w:jc w:val="both"/>
        <w:rPr>
          <w:rFonts w:ascii="Times New Roman" w:hAnsi="Times New Roman" w:cs="Times New Roman"/>
          <w:i/>
          <w:sz w:val="24"/>
          <w:szCs w:val="24"/>
          <w:lang w:val="en-IN"/>
        </w:rPr>
      </w:pPr>
    </w:p>
    <w:p w14:paraId="1251FF53" w14:textId="1638F523" w:rsidR="00E96C96" w:rsidRPr="00EE2164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For MIRI data, where point sources were scarce, World Coordinate System (WCS) reprojection was utilized. To suppress horizontal noise, we implemented a 2D Fast Fourier Transform (FFT) with a Gaussian notch filter to clear noise-heavy rows in the frequency domain. </w:t>
      </w:r>
    </w:p>
    <w:p w14:paraId="282A8A16" w14:textId="77777777" w:rsidR="002F074B" w:rsidRPr="00EE2164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4. Methodology: Feature Fusion and Optimization</w:t>
      </w:r>
    </w:p>
    <w:p w14:paraId="40379C23" w14:textId="768CBB4E" w:rsidR="006319B1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We applied a 2D Discrete Wavelet Transform (DWT) using the Daubechies 4 (db4) wavelet. To preserve sharp structural details from short-wavelength bands while maintaining the depth of thermal data, we used Max-Coefficient Fusion: </w:t>
      </w:r>
    </w:p>
    <w:p w14:paraId="1DBB97D0" w14:textId="178C8CEF" w:rsidR="006319B1" w:rsidRPr="00311172" w:rsidRDefault="00000000" w:rsidP="00311172">
      <w:pPr>
        <w:ind w:left="-720"/>
        <w:jc w:val="both"/>
        <w:rPr>
          <w:rFonts w:ascii="Times New Roman" w:hAnsi="Times New Roman" w:cs="Times New Roman"/>
          <w:sz w:val="18"/>
          <w:szCs w:val="18"/>
          <w:lang w:val="en-I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lang w:val="en-IN"/>
                </w:rPr>
              </m:ctrlPr>
            </m:sSubPr>
            <m:e>
              <m:r>
                <w:rPr>
                  <w:rFonts w:ascii="Cambria Math" w:hAnsi="Cambria Math" w:cs="Times New Roman"/>
                  <w:lang w:val="en-IN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lang w:val="en-IN"/>
                </w:rPr>
                <m:t>fused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lang w:val="en-IN"/>
                </w:rPr>
              </m:ctrlPr>
            </m:dPr>
            <m:e>
              <m:r>
                <w:rPr>
                  <w:rFonts w:ascii="Cambria Math" w:hAnsi="Cambria Math" w:cs="Times New Roman"/>
                  <w:lang w:val="en-IN"/>
                </w:rPr>
                <m:t>j,k</m:t>
              </m:r>
            </m:e>
          </m:d>
          <m:r>
            <w:rPr>
              <w:rFonts w:ascii="Cambria Math" w:hAnsi="Cambria Math" w:cs="Times New Roman"/>
              <w:lang w:val="en-IN"/>
            </w:rPr>
            <m:t>=argmax</m:t>
          </m:r>
          <m:d>
            <m:dPr>
              <m:ctrlPr>
                <w:rPr>
                  <w:rFonts w:ascii="Cambria Math" w:hAnsi="Cambria Math" w:cs="Times New Roman"/>
                  <w:i/>
                  <w:lang w:val="en-IN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lang w:val="en-I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en-I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I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IN"/>
                        </w:rPr>
                        <m:t>blue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lang w:val="en-IN"/>
                </w:rPr>
                <m:t>,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lang w:val="en-I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en-I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I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IN"/>
                        </w:rPr>
                        <m:t>green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lang w:val="en-IN"/>
                </w:rPr>
                <m:t>,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Times New Roman"/>
                      <w:i/>
                      <w:lang w:val="en-I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lang w:val="en-I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IN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IN"/>
                        </w:rPr>
                        <m:t>red</m:t>
                      </m:r>
                    </m:sub>
                  </m:sSub>
                </m:e>
              </m:d>
            </m:e>
          </m:d>
        </m:oMath>
      </m:oMathPara>
    </w:p>
    <w:p w14:paraId="3082CC16" w14:textId="77777777" w:rsidR="006319B1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>For visualization, we applied the Lupton asinh stretch for dynamic range compression, allowing the faint inner ejecta and the bright ring to be visible simultaneously:</w:t>
      </w:r>
    </w:p>
    <w:p w14:paraId="54724914" w14:textId="6E50391A" w:rsidR="002F074B" w:rsidRDefault="006319B1" w:rsidP="001B2223">
      <w:pPr>
        <w:jc w:val="both"/>
        <w:rPr>
          <w:rFonts w:ascii="Times New Roman" w:hAnsi="Times New Roman" w:cs="Times New Roman"/>
          <w:noProof/>
          <w:sz w:val="24"/>
          <w:szCs w:val="24"/>
          <w:lang w:val="en-IN"/>
        </w:rPr>
      </w:pPr>
      <w:r w:rsidRPr="006319B1">
        <w:rPr>
          <w:rFonts w:ascii="Times New Roman" w:hAnsi="Times New Roman" w:cs="Times New Roman"/>
          <w:noProof/>
          <w:sz w:val="24"/>
          <w:szCs w:val="24"/>
          <w:lang w:val="en-IN"/>
        </w:rPr>
        <w:t xml:space="preserve"> </w:t>
      </w:r>
    </w:p>
    <w:p w14:paraId="5E799637" w14:textId="740D0B26" w:rsidR="00614F4F" w:rsidRPr="000524BE" w:rsidRDefault="00000000" w:rsidP="00614F4F">
      <w:pPr>
        <w:jc w:val="both"/>
        <w:rPr>
          <w:rFonts w:ascii="Times New Roman" w:eastAsiaTheme="minorEastAsia" w:hAnsi="Times New Roman" w:cs="Times New Roman"/>
          <w:noProof/>
          <w:sz w:val="28"/>
          <w:szCs w:val="28"/>
          <w:lang w:val="en-I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IN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IN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IN"/>
                </w:rPr>
                <m:t>out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en-I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IN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I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IN"/>
                    </w:rPr>
                    <m:t>arcsinh</m:t>
                  </m: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IN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I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IN"/>
                        </w:rPr>
                        <m:t>Q⋅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I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I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IN"/>
                            </w:rPr>
                            <m:t>in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="Times New Roman"/>
                          <w:i/>
                          <w:noProof/>
                          <w:sz w:val="28"/>
                          <w:szCs w:val="28"/>
                          <w:lang w:val="en-IN"/>
                        </w:rPr>
                      </m:ctrlPr>
                    </m:e>
                  </m:d>
                </m:e>
              </m:func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IN"/>
                </w:rPr>
                <m:t>arcsinh⁡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IN"/>
                </w:rPr>
                <m:t>(Q)</m:t>
              </m:r>
            </m:den>
          </m:f>
        </m:oMath>
      </m:oMathPara>
    </w:p>
    <w:p w14:paraId="71992E99" w14:textId="236B3EC0" w:rsidR="00B720A2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Local contrast was further boosted using CLAHE (Contrast Limited Adaptive Histogram Equalization). </w:t>
      </w:r>
    </w:p>
    <w:p w14:paraId="59C8CB63" w14:textId="40382EF9" w:rsidR="00B720A2" w:rsidRDefault="00B720A2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35F8B043" w14:textId="2079035F" w:rsidR="00B720A2" w:rsidRPr="00B720A2" w:rsidRDefault="00B720A2" w:rsidP="00B720A2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720A2">
        <w:rPr>
          <w:rFonts w:ascii="Times New Roman" w:hAnsi="Times New Roman" w:cs="Times New Roman"/>
          <w:sz w:val="24"/>
          <w:szCs w:val="24"/>
          <w:lang w:val="en-IN"/>
        </w:rPr>
        <w:t xml:space="preserve">To objectively quantify the geometry of the expanding circumstellar ring, we implemented the </w:t>
      </w:r>
      <w:r w:rsidRPr="00B720A2">
        <w:rPr>
          <w:rFonts w:ascii="Times New Roman" w:hAnsi="Times New Roman" w:cs="Times New Roman"/>
          <w:b/>
          <w:bCs/>
          <w:sz w:val="24"/>
          <w:szCs w:val="24"/>
          <w:lang w:val="en-IN"/>
        </w:rPr>
        <w:t>Hough Circle Transform (HCT)</w:t>
      </w:r>
      <w:r w:rsidRPr="00B720A2">
        <w:rPr>
          <w:rFonts w:ascii="Times New Roman" w:hAnsi="Times New Roman" w:cs="Times New Roman"/>
          <w:sz w:val="24"/>
          <w:szCs w:val="24"/>
          <w:lang w:val="en-IN"/>
        </w:rPr>
        <w:t xml:space="preserve"> on the post-processed edge maps. By converting the edge-detected pixels from the spatial domain into a parametric accumulator space, the algorithm identifies the most probable circle center and radius via a voting mechanism. </w:t>
      </w:r>
    </w:p>
    <w:p w14:paraId="208ED887" w14:textId="27F9E759" w:rsidR="00B720A2" w:rsidRPr="00B720A2" w:rsidRDefault="00B720A2" w:rsidP="00B720A2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720A2">
        <w:rPr>
          <w:rFonts w:ascii="Times New Roman" w:hAnsi="Times New Roman" w:cs="Times New Roman"/>
          <w:b/>
          <w:bCs/>
          <w:sz w:val="24"/>
          <w:szCs w:val="24"/>
          <w:lang w:val="en-IN"/>
        </w:rPr>
        <w:t>The Circular Parameterization:</w:t>
      </w:r>
    </w:p>
    <w:p w14:paraId="231572E2" w14:textId="4AF7E724" w:rsidR="00B720A2" w:rsidRPr="00B720A2" w:rsidRDefault="00B720A2" w:rsidP="00B720A2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B720A2">
        <w:rPr>
          <w:rFonts w:ascii="Times New Roman" w:hAnsi="Times New Roman" w:cs="Times New Roman"/>
          <w:sz w:val="24"/>
          <w:szCs w:val="24"/>
          <w:lang w:val="en-IN"/>
        </w:rPr>
        <w:t>The Hough Circle Transform relies on the parametric equation of a circle, where each</w:t>
      </w:r>
      <w:r w:rsidR="000524BE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B720A2">
        <w:rPr>
          <w:rFonts w:ascii="Times New Roman" w:hAnsi="Times New Roman" w:cs="Times New Roman"/>
          <w:sz w:val="24"/>
          <w:szCs w:val="24"/>
          <w:lang w:val="en-IN"/>
        </w:rPr>
        <w:t xml:space="preserve">edge point </w:t>
      </w:r>
      <w:r w:rsidRPr="00AC3316">
        <w:rPr>
          <w:rFonts w:ascii="Times New Roman" w:hAnsi="Times New Roman" w:cs="Times New Roman"/>
          <w:i/>
          <w:iCs/>
          <w:sz w:val="24"/>
          <w:szCs w:val="24"/>
          <w:lang w:val="en-IN"/>
        </w:rPr>
        <w:t>(x, y</w:t>
      </w:r>
      <w:r w:rsidR="00AC3316" w:rsidRPr="00AC3316">
        <w:rPr>
          <w:rFonts w:ascii="Times New Roman" w:hAnsi="Times New Roman" w:cs="Times New Roman"/>
          <w:i/>
          <w:iCs/>
          <w:sz w:val="24"/>
          <w:szCs w:val="24"/>
          <w:lang w:val="en-IN"/>
        </w:rPr>
        <w:t>)</w:t>
      </w:r>
      <w:r w:rsidR="00AC3316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B720A2">
        <w:rPr>
          <w:rFonts w:ascii="Times New Roman" w:hAnsi="Times New Roman" w:cs="Times New Roman"/>
          <w:sz w:val="24"/>
          <w:szCs w:val="24"/>
          <w:lang w:val="en-IN"/>
        </w:rPr>
        <w:t xml:space="preserve">votes for a set of possible center points </w:t>
      </w:r>
      <w:r w:rsidRPr="00AC3316">
        <w:rPr>
          <w:rFonts w:ascii="Times New Roman" w:hAnsi="Times New Roman" w:cs="Times New Roman"/>
          <w:i/>
          <w:iCs/>
          <w:sz w:val="24"/>
          <w:szCs w:val="24"/>
          <w:lang w:val="en-IN"/>
        </w:rPr>
        <w:t>(a, b)</w:t>
      </w:r>
      <w:r w:rsidRPr="00B720A2">
        <w:rPr>
          <w:rFonts w:ascii="Times New Roman" w:hAnsi="Times New Roman" w:cs="Times New Roman"/>
          <w:sz w:val="24"/>
          <w:szCs w:val="24"/>
          <w:lang w:val="en-IN"/>
        </w:rPr>
        <w:t xml:space="preserve"> at a fixed radius </w:t>
      </w:r>
      <w:r w:rsidRPr="00AC3316">
        <w:rPr>
          <w:rFonts w:ascii="Times New Roman" w:hAnsi="Times New Roman" w:cs="Times New Roman"/>
          <w:i/>
          <w:iCs/>
          <w:sz w:val="24"/>
          <w:szCs w:val="24"/>
          <w:lang w:val="en-IN"/>
        </w:rPr>
        <w:t>r</w:t>
      </w:r>
      <w:r w:rsidRPr="00B720A2">
        <w:rPr>
          <w:rFonts w:ascii="Times New Roman" w:hAnsi="Times New Roman" w:cs="Times New Roman"/>
          <w:sz w:val="24"/>
          <w:szCs w:val="24"/>
          <w:lang w:val="en-IN"/>
        </w:rPr>
        <w:t>:</w:t>
      </w:r>
    </w:p>
    <w:p w14:paraId="713868FF" w14:textId="1C20E0DF" w:rsidR="000524BE" w:rsidRPr="000524BE" w:rsidRDefault="00AC3316" w:rsidP="000524BE">
      <w:pPr>
        <w:jc w:val="center"/>
        <w:rPr>
          <w:rFonts w:ascii="Times New Roman" w:eastAsiaTheme="minorEastAsia" w:hAnsi="Times New Roman" w:cs="Times New Roman"/>
          <w:sz w:val="24"/>
          <w:szCs w:val="24"/>
          <w:lang w:val="en-I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I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IN"/>
                    </w:rPr>
                    <m:t>x - a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IN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IN"/>
            </w:rPr>
            <m:t>+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en-I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IN"/>
                    </w:rPr>
                    <m:t>y - b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IN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en-IN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en-IN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en-IN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en-IN"/>
                </w:rPr>
                <m:t>2</m:t>
              </m:r>
            </m:sup>
          </m:sSup>
        </m:oMath>
      </m:oMathPara>
    </w:p>
    <w:p w14:paraId="10284696" w14:textId="77777777" w:rsidR="000524BE" w:rsidRPr="00614F4F" w:rsidRDefault="000524BE" w:rsidP="000524B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We quantify this using the Signal-to-Noise Ratio (SNR), defined as the ratio of the mean ring signal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en-I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IN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IN"/>
                  </w:rPr>
                  <m:t>µ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IN"/>
                  </w:rPr>
                  <m:t>signal</m:t>
                </m:r>
              </m:sub>
            </m:sSub>
          </m:e>
        </m:d>
      </m:oMath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 to the background standard deviation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  <w:lang w:val="en-IN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  <w:lang w:val="en-IN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en-IN"/>
                  </w:rPr>
                  <m:t>σ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  <w:lang w:val="en-IN"/>
                  </w:rPr>
                  <m:t>noise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sz w:val="24"/>
          <w:szCs w:val="24"/>
          <w:lang w:val="en-IN"/>
        </w:rPr>
        <w:t>:</w:t>
      </w:r>
    </w:p>
    <w:p w14:paraId="4F47CA4A" w14:textId="734586EC" w:rsidR="000524BE" w:rsidRPr="000524BE" w:rsidRDefault="000524BE" w:rsidP="000524BE">
      <w:pPr>
        <w:jc w:val="both"/>
        <w:rPr>
          <w:rFonts w:ascii="Times New Roman" w:eastAsiaTheme="minorEastAsia" w:hAnsi="Times New Roman" w:cs="Times New Roman"/>
          <w:sz w:val="32"/>
          <w:szCs w:val="32"/>
          <w:lang w:val="en-IN"/>
        </w:rPr>
      </w:pPr>
      <m:oMathPara>
        <m:oMath>
          <m:r>
            <w:rPr>
              <w:rFonts w:ascii="Cambria Math" w:eastAsiaTheme="minorEastAsia" w:hAnsi="Cambria Math" w:cs="Times New Roman"/>
              <w:sz w:val="32"/>
              <w:szCs w:val="32"/>
              <w:lang w:val="en-IN"/>
            </w:rPr>
            <m:t xml:space="preserve">SNR = </m:t>
          </m:r>
          <m:f>
            <m:fPr>
              <m:ctrlPr>
                <w:rPr>
                  <w:rFonts w:ascii="Cambria Math" w:hAnsi="Cambria Math" w:cs="Times New Roman"/>
                  <w:i/>
                  <w:sz w:val="32"/>
                  <w:szCs w:val="32"/>
                  <w:lang w:val="en-I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IN"/>
                    </w:rPr>
                    <m:t>µ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IN"/>
                    </w:rPr>
                    <m:t>signal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32"/>
                      <w:szCs w:val="32"/>
                      <w:lang w:val="en-I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IN"/>
                    </w:rPr>
                    <m:t>σ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IN"/>
                    </w:rPr>
                    <m:t>noise</m:t>
                  </m:r>
                </m:sub>
              </m:sSub>
            </m:den>
          </m:f>
        </m:oMath>
      </m:oMathPara>
    </w:p>
    <w:p w14:paraId="246789E7" w14:textId="77777777" w:rsidR="000524BE" w:rsidRDefault="000524BE" w:rsidP="000524BE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>While similarity metrics, Peak Signal-to-Noise Ratio (PSNR) and SSIM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were low (PSNR = 10.72 dB, SSIM = 0.2337), these values confirm the successful isolation of the ring through aggressive enhancement. PSNR is defined via the Mean Squared Error (MSE): </w:t>
      </w:r>
    </w:p>
    <w:p w14:paraId="4DD5F6BD" w14:textId="16BB775D" w:rsidR="000524BE" w:rsidRPr="000524BE" w:rsidRDefault="000524BE" w:rsidP="000524BE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IN"/>
            </w:rPr>
            <m:t>PSNR = 10⋅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IN"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I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IN"/>
                    </w:rPr>
                    <m:t>log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IN"/>
                    </w:rPr>
                    <m:t>10</m:t>
                  </m:r>
                  <m:ctrlPr>
                    <w:rPr>
                      <w:rFonts w:ascii="Cambria Math" w:hAnsi="Cambria Math" w:cs="Times New Roman"/>
                      <w:sz w:val="28"/>
                      <w:szCs w:val="28"/>
                      <w:lang w:val="en-IN"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IN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IN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IN"/>
                        </w:rPr>
                        <m:t>MA</m:t>
                      </m:r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IN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I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IN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IN"/>
                            </w:rPr>
                            <m:t>2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IN"/>
                        </w:rPr>
                        <m:t>MSE</m:t>
                      </m:r>
                    </m:den>
                  </m:f>
                </m:e>
              </m:d>
            </m:e>
          </m:func>
        </m:oMath>
      </m:oMathPara>
    </w:p>
    <w:p w14:paraId="60830418" w14:textId="77777777" w:rsidR="00AC3316" w:rsidRDefault="00AC3316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ED46F4D" w14:textId="5B302186" w:rsidR="002F074B" w:rsidRPr="00EE2164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b/>
          <w:bCs/>
          <w:sz w:val="24"/>
          <w:szCs w:val="24"/>
          <w:lang w:val="en-IN"/>
        </w:rPr>
        <w:t>5. Results and Discussion</w:t>
      </w:r>
    </w:p>
    <w:p w14:paraId="0DAF4EE8" w14:textId="2D217759" w:rsidR="001B2223" w:rsidRPr="00614F4F" w:rsidRDefault="002F074B" w:rsidP="000524BE">
      <w:pPr>
        <w:jc w:val="both"/>
        <w:rPr>
          <w:rFonts w:ascii="Times New Roman" w:eastAsiaTheme="minorEastAsia" w:hAnsi="Times New Roman" w:cs="Times New Roman"/>
          <w:sz w:val="32"/>
          <w:szCs w:val="32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The pipeline achieved a 39x improvement in signal clarity for the MIRI dataset. </w:t>
      </w:r>
    </w:p>
    <w:p w14:paraId="33AF6B3F" w14:textId="649BBCA8" w:rsidR="00614F4F" w:rsidRPr="00614F4F" w:rsidRDefault="002F074B" w:rsidP="000524BE">
      <w:pPr>
        <w:jc w:val="both"/>
        <w:rPr>
          <w:rFonts w:ascii="Times New Roman" w:hAnsi="Times New Roman" w:cs="Times New Roman"/>
          <w:sz w:val="28"/>
          <w:szCs w:val="28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MIRI F1000W SNR increased from 0.01 to 0.39. </w:t>
      </w:r>
    </w:p>
    <w:p w14:paraId="482DCF5D" w14:textId="77777777" w:rsidR="000524BE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>Finally, Principal Component Analysis (PCA) isolated the ring’s thermal dust signature in PC2 (10.7% variance), effectively separating it from the stellar background.</w:t>
      </w:r>
      <w:r w:rsidR="000524BE">
        <w:rPr>
          <w:rFonts w:ascii="Times New Roman" w:hAnsi="Times New Roman" w:cs="Times New Roman"/>
          <w:sz w:val="24"/>
          <w:szCs w:val="24"/>
          <w:lang w:val="en-IN"/>
        </w:rPr>
        <w:t xml:space="preserve"> The full pipeline can be seen in Fig. 5.1 and Fig 5.2.</w:t>
      </w:r>
    </w:p>
    <w:p w14:paraId="004BFEF7" w14:textId="56D2CF3F" w:rsidR="002F074B" w:rsidRPr="000524BE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b/>
          <w:bCs/>
          <w:sz w:val="24"/>
          <w:szCs w:val="24"/>
          <w:lang w:val="en-IN"/>
        </w:rPr>
        <w:t>6. Conclusion</w:t>
      </w:r>
    </w:p>
    <w:p w14:paraId="33A18165" w14:textId="25B92A0B" w:rsidR="002F074B" w:rsidRPr="00EE2164" w:rsidRDefault="002F074B" w:rsidP="001B2223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This pipeline demonstrates that classical CV techniques like FFT filtering and wavelet fusion are essential for modern infrared astronomy. By automating the alignment and cleaning process, we enabled high-fidelity analysis of SN 1987A's structural evolution. </w:t>
      </w:r>
    </w:p>
    <w:p w14:paraId="55EDE106" w14:textId="77777777" w:rsidR="002F074B" w:rsidRPr="00EE2164" w:rsidRDefault="002F074B" w:rsidP="001B2223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b/>
          <w:bCs/>
          <w:sz w:val="24"/>
          <w:szCs w:val="24"/>
          <w:lang w:val="en-IN"/>
        </w:rPr>
        <w:t>References</w:t>
      </w:r>
    </w:p>
    <w:p w14:paraId="21DE7B26" w14:textId="77777777" w:rsidR="002F074B" w:rsidRPr="00EE2164" w:rsidRDefault="002F074B" w:rsidP="001B222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Fransson, C., et al. (2015). "The Transition of the Ring Emission in SN 1987A." </w:t>
      </w:r>
      <w:r w:rsidRPr="00EE2164">
        <w:rPr>
          <w:rFonts w:ascii="Times New Roman" w:hAnsi="Times New Roman" w:cs="Times New Roman"/>
          <w:i/>
          <w:iCs/>
          <w:sz w:val="24"/>
          <w:szCs w:val="24"/>
          <w:lang w:val="en-IN"/>
        </w:rPr>
        <w:t>The Astrophysical Journal</w:t>
      </w:r>
      <w:r w:rsidRPr="00EE2164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6F271DB8" w14:textId="77777777" w:rsidR="002F074B" w:rsidRPr="00EE2164" w:rsidRDefault="002F074B" w:rsidP="001B222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Lupton, R., et al. (2004). "Preparing Red-Green-Blue Images from Multicolor Photometry." </w:t>
      </w:r>
      <w:r w:rsidRPr="00EE2164">
        <w:rPr>
          <w:rFonts w:ascii="Times New Roman" w:hAnsi="Times New Roman" w:cs="Times New Roman"/>
          <w:i/>
          <w:iCs/>
          <w:sz w:val="24"/>
          <w:szCs w:val="24"/>
          <w:lang w:val="en-IN"/>
        </w:rPr>
        <w:t>The Astronomical Journal</w:t>
      </w:r>
      <w:r w:rsidRPr="00EE2164">
        <w:rPr>
          <w:rFonts w:ascii="Times New Roman" w:hAnsi="Times New Roman" w:cs="Times New Roman"/>
          <w:sz w:val="24"/>
          <w:szCs w:val="24"/>
          <w:lang w:val="en-IN"/>
        </w:rPr>
        <w:t xml:space="preserve">. </w:t>
      </w:r>
    </w:p>
    <w:p w14:paraId="278F37B0" w14:textId="2AD07EE3" w:rsidR="007E0CB6" w:rsidRPr="000524BE" w:rsidRDefault="002F074B" w:rsidP="001B2223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EE2164">
        <w:rPr>
          <w:rFonts w:ascii="Times New Roman" w:hAnsi="Times New Roman" w:cs="Times New Roman"/>
          <w:sz w:val="24"/>
          <w:szCs w:val="24"/>
          <w:lang w:val="en-IN"/>
        </w:rPr>
        <w:lastRenderedPageBreak/>
        <w:t xml:space="preserve">JWST Documentation: NIRCam and MIRI Instrumentation Handbooks. </w:t>
      </w:r>
    </w:p>
    <w:sectPr w:rsidR="007E0CB6" w:rsidRPr="000524BE" w:rsidSect="005402E6">
      <w:type w:val="continuous"/>
      <w:pgSz w:w="11906" w:h="16838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4030"/>
    <w:multiLevelType w:val="multilevel"/>
    <w:tmpl w:val="6CCE8D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474C3"/>
    <w:multiLevelType w:val="multilevel"/>
    <w:tmpl w:val="780848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305AB"/>
    <w:multiLevelType w:val="multilevel"/>
    <w:tmpl w:val="2E04D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5159D"/>
    <w:multiLevelType w:val="multilevel"/>
    <w:tmpl w:val="9A78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905ED"/>
    <w:multiLevelType w:val="multilevel"/>
    <w:tmpl w:val="059C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750780"/>
    <w:multiLevelType w:val="multilevel"/>
    <w:tmpl w:val="D2E8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429641">
    <w:abstractNumId w:val="3"/>
  </w:num>
  <w:num w:numId="2" w16cid:durableId="1495145999">
    <w:abstractNumId w:val="2"/>
  </w:num>
  <w:num w:numId="3" w16cid:durableId="704985049">
    <w:abstractNumId w:val="5"/>
  </w:num>
  <w:num w:numId="4" w16cid:durableId="1375960549">
    <w:abstractNumId w:val="4"/>
  </w:num>
  <w:num w:numId="5" w16cid:durableId="1420057629">
    <w:abstractNumId w:val="1"/>
  </w:num>
  <w:num w:numId="6" w16cid:durableId="504563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2E6"/>
    <w:rsid w:val="000524BE"/>
    <w:rsid w:val="00123430"/>
    <w:rsid w:val="001B2223"/>
    <w:rsid w:val="00232DA8"/>
    <w:rsid w:val="002F074B"/>
    <w:rsid w:val="00311172"/>
    <w:rsid w:val="004C19FD"/>
    <w:rsid w:val="005402E6"/>
    <w:rsid w:val="00560CB7"/>
    <w:rsid w:val="00573E34"/>
    <w:rsid w:val="005A5F71"/>
    <w:rsid w:val="005E7B35"/>
    <w:rsid w:val="00614F4F"/>
    <w:rsid w:val="006319B1"/>
    <w:rsid w:val="0067385B"/>
    <w:rsid w:val="006E1874"/>
    <w:rsid w:val="007402C5"/>
    <w:rsid w:val="007647D0"/>
    <w:rsid w:val="007E0CB6"/>
    <w:rsid w:val="00912B28"/>
    <w:rsid w:val="00A35F53"/>
    <w:rsid w:val="00AC3316"/>
    <w:rsid w:val="00B720A2"/>
    <w:rsid w:val="00B77149"/>
    <w:rsid w:val="00BB0571"/>
    <w:rsid w:val="00E96C96"/>
    <w:rsid w:val="00EE2164"/>
    <w:rsid w:val="00F74D16"/>
    <w:rsid w:val="00FD5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06CCC"/>
  <w15:chartTrackingRefBased/>
  <w15:docId w15:val="{32EC41C9-D6E0-4F8C-BF9E-9CD5115F3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02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2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2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2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2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2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2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2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2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2E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2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2E6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2E6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2E6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2E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2E6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2E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2E6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5402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2E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2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2E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5402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2E6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5402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2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2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2E6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5402E6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7714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EE21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21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21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007B5001-71F0-4A94-8ACD-07B6A6274B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3</Pages>
  <Words>817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Gouda</dc:creator>
  <cp:keywords/>
  <dc:description/>
  <cp:lastModifiedBy>Ayush Gouda</cp:lastModifiedBy>
  <cp:revision>9</cp:revision>
  <cp:lastPrinted>2026-05-06T17:24:00Z</cp:lastPrinted>
  <dcterms:created xsi:type="dcterms:W3CDTF">2026-05-01T12:51:00Z</dcterms:created>
  <dcterms:modified xsi:type="dcterms:W3CDTF">2026-05-06T20:07:00Z</dcterms:modified>
</cp:coreProperties>
</file>