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AD6" w:rsidRDefault="009D6AD6" w:rsidP="009D6AD6">
      <w:pPr>
        <w:pStyle w:val="af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Подготовка начального волнового пакета для квантового интерферометра</w:t>
      </w:r>
      <w:r>
        <w:rPr>
          <w:b/>
          <w:bCs/>
          <w:color w:val="000000"/>
          <w:sz w:val="28"/>
          <w:szCs w:val="28"/>
        </w:rPr>
        <w:t>-</w:t>
      </w:r>
      <w:r>
        <w:rPr>
          <w:b/>
          <w:bCs/>
          <w:color w:val="000000"/>
          <w:sz w:val="28"/>
          <w:szCs w:val="28"/>
        </w:rPr>
        <w:t>гравиметра</w:t>
      </w:r>
    </w:p>
    <w:p w:rsidR="00F16AC6" w:rsidRDefault="00F16AC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К.Н. Адамов</w:t>
      </w:r>
      <w:r>
        <w:rPr>
          <w:b/>
          <w:color w:val="000000"/>
          <w:sz w:val="22"/>
          <w:szCs w:val="22"/>
          <w:vertAlign w:val="superscript"/>
        </w:rPr>
        <w:t>1,2</w:t>
      </w:r>
      <w:r>
        <w:rPr>
          <w:b/>
          <w:color w:val="000000"/>
          <w:sz w:val="22"/>
          <w:szCs w:val="22"/>
        </w:rPr>
        <w:t>, Д.Н. Капуста</w:t>
      </w:r>
      <w:r>
        <w:rPr>
          <w:b/>
          <w:color w:val="000000"/>
          <w:sz w:val="22"/>
          <w:szCs w:val="22"/>
          <w:vertAlign w:val="superscript"/>
        </w:rPr>
        <w:t>1,2</w:t>
      </w:r>
      <w:r>
        <w:rPr>
          <w:b/>
          <w:color w:val="000000"/>
          <w:sz w:val="22"/>
          <w:szCs w:val="22"/>
        </w:rPr>
        <w:t>, А.Э. Бонерт</w:t>
      </w:r>
      <w:r>
        <w:rPr>
          <w:b/>
          <w:color w:val="000000"/>
          <w:sz w:val="22"/>
          <w:szCs w:val="22"/>
          <w:vertAlign w:val="superscript"/>
        </w:rPr>
        <w:t>1</w:t>
      </w:r>
      <w:r>
        <w:rPr>
          <w:b/>
          <w:color w:val="000000"/>
          <w:sz w:val="22"/>
          <w:szCs w:val="22"/>
        </w:rPr>
        <w:t>, А.Н. Гончаров</w:t>
      </w:r>
      <w:r>
        <w:rPr>
          <w:b/>
          <w:color w:val="000000"/>
          <w:sz w:val="22"/>
          <w:szCs w:val="22"/>
          <w:vertAlign w:val="superscript"/>
        </w:rPr>
        <w:t>1,2,3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1</w:t>
      </w:r>
      <w:r>
        <w:rPr>
          <w:i/>
          <w:color w:val="000000"/>
          <w:sz w:val="20"/>
          <w:szCs w:val="20"/>
        </w:rPr>
        <w:t>Институт лазерной физики СО РАН,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2</w:t>
      </w:r>
      <w:r>
        <w:rPr>
          <w:i/>
          <w:color w:val="000000"/>
          <w:sz w:val="20"/>
          <w:szCs w:val="20"/>
        </w:rPr>
        <w:t>Новосибрский государственный университет,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3</w:t>
      </w:r>
      <w:r>
        <w:rPr>
          <w:i/>
          <w:color w:val="000000"/>
          <w:sz w:val="20"/>
          <w:szCs w:val="20"/>
        </w:rPr>
        <w:t>Новосибрский государственный технический университет, Новосибирск, Россия</w:t>
      </w:r>
    </w:p>
    <w:p w:rsidR="00F16AC6" w:rsidRDefault="00B40766">
      <w:pPr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proofErr w:type="gramEnd"/>
      <w:r>
        <w:rPr>
          <w:sz w:val="20"/>
          <w:szCs w:val="20"/>
        </w:rPr>
        <w:t>: ofadamovkirill@gmail.com</w:t>
      </w:r>
    </w:p>
    <w:p w:rsidR="00F16AC6" w:rsidRDefault="00F16AC6">
      <w:pPr>
        <w:jc w:val="center"/>
        <w:rPr>
          <w:color w:val="000000"/>
          <w:sz w:val="22"/>
          <w:szCs w:val="22"/>
        </w:rPr>
      </w:pP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Измерение ускорения свободного падения с высокой точностью представляет собой актуальную задачу в области современной науки и техники. Высокочувствительные и высокоточные гравиметры, как инструмент регистрации гравитационного ускорения, играют ключевую роль как в фундаментальных исследованиях, так и в решении широкого круга прикладных задач. Особое место занимают абсолютные квантовые гравиметры, обладающие рядом существенных преимуществ: отсутствие дрейфа, отсутствие подвижных механических элементов, высокая скорость проведения измерений, возможность совмещения функционала гравиметра, гироскопа и акселерометра в одном приборе.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Точность квантового гравиметра определяется характеристиками источника ультрахолодных атомов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Rb, включая число атомов в облаке, их температуру, эффективность подготовки начального атомного волнового пакета и др. Существенное влияние на чувствительность и стабильность оказывают различные шумы, наибольший вклад среди которых вносит вибрационный шум. Для подавления вибрационных шумов применяется виброизолирующая платформа в сочетании с системой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[2] либо с активной системой компенсации вибрационных возмущений.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настоящей работе проведено исследование по подготовке ультрахолодных атомов </w:t>
      </w:r>
      <w:r w:rsidRPr="00B40766"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квантовое состояние для применения в атомном интерферометре-гравиметре. В рамках исследования выполнено численное моделирование оптической накачки атомов рубидия на уровень ∣F=1, m=0⟩ с использованием перехода ∣F=1⟩↔∣F′=0⟩ посредством численного решения скоростных уравнений, описывающих распределение населённостей магнитных подуровней основного состояния [1]. Результаты моделирования показали высокую эффективность выбранной схемы накачки (порядка ~100 %) при отсутствии значительного нагрева атомного облака. Реализация данной методики позволила подготовить атомы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>-нечувствительное состояние ∣F=1, m=0⟩ с эффективностью более 95 % и сопутствующим нагревом менее 1 </w:t>
      </w:r>
      <w:proofErr w:type="spellStart"/>
      <w:r>
        <w:rPr>
          <w:sz w:val="22"/>
          <w:szCs w:val="22"/>
        </w:rPr>
        <w:t>мкК</w:t>
      </w:r>
      <w:proofErr w:type="spellEnd"/>
      <w:r>
        <w:rPr>
          <w:sz w:val="22"/>
          <w:szCs w:val="22"/>
        </w:rPr>
        <w:t>. Использование данной методики привело к повышению чувствительности гравиметра в более чем 4 раза.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Также проведено исследование компенсации вибрационных шумов методом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с использованием акселерометра. Реализация данной методики позволила улучшить выходные метрологические характеристики гравиметра.</w:t>
      </w:r>
    </w:p>
    <w:tbl>
      <w:tblPr>
        <w:tblStyle w:val="af2"/>
        <w:tblW w:w="8041" w:type="dxa"/>
        <w:tblInd w:w="988" w:type="dxa"/>
        <w:tblLayout w:type="fixed"/>
        <w:tblLook w:val="0400" w:firstRow="0" w:lastRow="0" w:firstColumn="0" w:lastColumn="0" w:noHBand="0" w:noVBand="1"/>
      </w:tblPr>
      <w:tblGrid>
        <w:gridCol w:w="3685"/>
        <w:gridCol w:w="4356"/>
      </w:tblGrid>
      <w:tr w:rsidR="00F16AC6" w:rsidTr="009D6AD6">
        <w:trPr>
          <w:trHeight w:val="3208"/>
        </w:trPr>
        <w:tc>
          <w:tcPr>
            <w:tcW w:w="3685" w:type="dxa"/>
          </w:tcPr>
          <w:p w:rsidR="00F16AC6" w:rsidRDefault="009D6AD6">
            <w:pPr>
              <w:spacing w:after="240"/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F4229FF" wp14:editId="7D64C38D">
                  <wp:extent cx="2248447" cy="177270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880" cy="17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 w:rsidR="00F16AC6" w:rsidRDefault="009D6AD6">
            <w:pPr>
              <w:spacing w:after="240"/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90FF568" wp14:editId="5EB2E045">
                  <wp:extent cx="2025143" cy="187105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090" cy="191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6AC6" w:rsidRDefault="00B40766">
      <w:pPr>
        <w:jc w:val="center"/>
        <w:rPr>
          <w:sz w:val="22"/>
          <w:szCs w:val="22"/>
        </w:rPr>
      </w:pPr>
      <w:r>
        <w:rPr>
          <w:sz w:val="22"/>
          <w:szCs w:val="22"/>
        </w:rPr>
        <w:t>Рис. 1. Зависимость населенности атомов до и после оптической накачки от отстройки относительно</w:t>
      </w:r>
    </w:p>
    <w:p w:rsidR="00F16AC6" w:rsidRDefault="00B40766">
      <w:pPr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часового</w:t>
      </w:r>
      <w:proofErr w:type="gramEnd"/>
      <w:r>
        <w:rPr>
          <w:sz w:val="22"/>
          <w:szCs w:val="22"/>
        </w:rPr>
        <w:t xml:space="preserve"> перехода (а) и зависимость стандартного отклонения </w:t>
      </w:r>
      <w:proofErr w:type="spellStart"/>
      <w:r>
        <w:rPr>
          <w:sz w:val="22"/>
          <w:szCs w:val="22"/>
        </w:rPr>
        <w:t>σ</w:t>
      </w:r>
      <w:r>
        <w:rPr>
          <w:sz w:val="22"/>
          <w:szCs w:val="22"/>
          <w:vertAlign w:val="subscript"/>
        </w:rPr>
        <w:t>g</w:t>
      </w:r>
      <w:proofErr w:type="spellEnd"/>
      <w:r>
        <w:rPr>
          <w:sz w:val="22"/>
          <w:szCs w:val="22"/>
        </w:rPr>
        <w:t xml:space="preserve"> гравитационного ускорения от времени усреднения после оптической накачки (б).</w:t>
      </w:r>
    </w:p>
    <w:p w:rsidR="00F16AC6" w:rsidRDefault="00F16AC6">
      <w:pPr>
        <w:jc w:val="center"/>
        <w:rPr>
          <w:sz w:val="22"/>
          <w:szCs w:val="22"/>
        </w:rPr>
      </w:pPr>
    </w:p>
    <w:p w:rsidR="00F16AC6" w:rsidRPr="00B40766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[1] </w:t>
      </w:r>
      <w:proofErr w:type="spellStart"/>
      <w:r w:rsidRPr="00B40766">
        <w:rPr>
          <w:color w:val="222222"/>
          <w:sz w:val="20"/>
          <w:szCs w:val="20"/>
          <w:highlight w:val="white"/>
          <w:lang w:val="en-US"/>
        </w:rPr>
        <w:t>Atoneche</w:t>
      </w:r>
      <w:proofErr w:type="spellEnd"/>
      <w:r w:rsidRPr="00B40766">
        <w:rPr>
          <w:color w:val="222222"/>
          <w:sz w:val="20"/>
          <w:szCs w:val="20"/>
          <w:highlight w:val="white"/>
          <w:lang w:val="en-US"/>
        </w:rPr>
        <w:t xml:space="preserve"> F., </w:t>
      </w:r>
      <w:proofErr w:type="spellStart"/>
      <w:r w:rsidRPr="00B40766">
        <w:rPr>
          <w:color w:val="222222"/>
          <w:sz w:val="20"/>
          <w:szCs w:val="20"/>
          <w:highlight w:val="white"/>
          <w:lang w:val="en-US"/>
        </w:rPr>
        <w:t>Kastberg</w:t>
      </w:r>
      <w:proofErr w:type="spellEnd"/>
      <w:r w:rsidRPr="00B40766">
        <w:rPr>
          <w:color w:val="222222"/>
          <w:sz w:val="20"/>
          <w:szCs w:val="20"/>
          <w:highlight w:val="white"/>
          <w:lang w:val="en-US"/>
        </w:rPr>
        <w:t xml:space="preserve"> A. Simplified approach for quantitative calculations of optical pumping //European Journal of Physics. – 2017. – </w:t>
      </w:r>
      <w:r>
        <w:rPr>
          <w:color w:val="222222"/>
          <w:sz w:val="20"/>
          <w:szCs w:val="20"/>
          <w:highlight w:val="white"/>
        </w:rPr>
        <w:t>Т</w:t>
      </w:r>
      <w:r w:rsidRPr="00B40766">
        <w:rPr>
          <w:color w:val="222222"/>
          <w:sz w:val="20"/>
          <w:szCs w:val="20"/>
          <w:highlight w:val="white"/>
          <w:lang w:val="en-US"/>
        </w:rPr>
        <w:t xml:space="preserve">. 38. – №. 4. – </w:t>
      </w:r>
      <w:r>
        <w:rPr>
          <w:color w:val="222222"/>
          <w:sz w:val="20"/>
          <w:szCs w:val="20"/>
          <w:highlight w:val="white"/>
        </w:rPr>
        <w:t>С</w:t>
      </w:r>
      <w:r w:rsidRPr="00B40766">
        <w:rPr>
          <w:color w:val="222222"/>
          <w:sz w:val="20"/>
          <w:szCs w:val="20"/>
          <w:highlight w:val="white"/>
          <w:lang w:val="en-US"/>
        </w:rPr>
        <w:t>. 045703.</w:t>
      </w:r>
    </w:p>
    <w:p w:rsidR="00F16AC6" w:rsidRDefault="00B40766">
      <w:pPr>
        <w:jc w:val="both"/>
        <w:rPr>
          <w:sz w:val="20"/>
          <w:szCs w:val="20"/>
        </w:rPr>
      </w:pPr>
      <w:r w:rsidRPr="00B40766">
        <w:rPr>
          <w:sz w:val="20"/>
          <w:szCs w:val="20"/>
          <w:lang w:val="en-US"/>
        </w:rPr>
        <w:t xml:space="preserve">[2] </w:t>
      </w:r>
      <w:proofErr w:type="spellStart"/>
      <w:r w:rsidRPr="00B40766">
        <w:rPr>
          <w:color w:val="222222"/>
          <w:sz w:val="20"/>
          <w:szCs w:val="20"/>
          <w:highlight w:val="white"/>
          <w:lang w:val="en-US"/>
        </w:rPr>
        <w:t>Guo</w:t>
      </w:r>
      <w:proofErr w:type="spellEnd"/>
      <w:r w:rsidRPr="00B40766">
        <w:rPr>
          <w:color w:val="222222"/>
          <w:sz w:val="20"/>
          <w:szCs w:val="20"/>
          <w:highlight w:val="white"/>
          <w:lang w:val="en-US"/>
        </w:rPr>
        <w:t xml:space="preserve"> J. et al. Vibration compensation for a vehicle-mounted atom gravimeter //IEEE Sensors Journal. – 2022. – </w:t>
      </w:r>
      <w:r>
        <w:rPr>
          <w:color w:val="222222"/>
          <w:sz w:val="20"/>
          <w:szCs w:val="20"/>
          <w:highlight w:val="white"/>
        </w:rPr>
        <w:t>Т</w:t>
      </w:r>
      <w:r w:rsidRPr="00B40766">
        <w:rPr>
          <w:color w:val="222222"/>
          <w:sz w:val="20"/>
          <w:szCs w:val="20"/>
          <w:highlight w:val="white"/>
          <w:lang w:val="en-US"/>
        </w:rPr>
        <w:t xml:space="preserve">. 22. – №. </w:t>
      </w:r>
      <w:r>
        <w:rPr>
          <w:color w:val="222222"/>
          <w:sz w:val="20"/>
          <w:szCs w:val="20"/>
          <w:highlight w:val="white"/>
        </w:rPr>
        <w:t>13. – С. 12939-12946.</w:t>
      </w:r>
      <w:bookmarkStart w:id="0" w:name="_GoBack"/>
      <w:bookmarkEnd w:id="0"/>
    </w:p>
    <w:sectPr w:rsidR="00F16AC6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52723B"/>
    <w:rsid w:val="00737A9E"/>
    <w:rsid w:val="009D6AD6"/>
    <w:rsid w:val="00B40766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4</cp:revision>
  <dcterms:created xsi:type="dcterms:W3CDTF">2025-10-02T07:12:00Z</dcterms:created>
  <dcterms:modified xsi:type="dcterms:W3CDTF">2025-10-20T13:28:00Z</dcterms:modified>
</cp:coreProperties>
</file>